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Campbell Curtis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H&amp;R BLOCK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H&amp;R BLOCK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KANSAS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H&amp;R BLOCK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HRB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2"/>
        <w:gridCol w:w="774"/>
        <w:gridCol w:w="599"/>
        <w:gridCol w:w="340"/>
        <w:gridCol w:w="955"/>
        <w:gridCol w:w="432"/>
        <w:gridCol w:w="834"/>
        <w:gridCol w:w="1342"/>
        <w:gridCol w:w="970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4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49,129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92,116.261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2,833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51.65</w:t>
            </w:r>
          </w:p>
        </w:tc>
        <w:tc>
          <w:tcPr>
            <w:tcW w:w="1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89,283.261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share units granted under the H&amp;R Block, Inc. 2018 Long Term Incentive Plan. The restrictions lapse in three equal installments beginning on the first anniversary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Katharine M. Haynes, per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7308" TargetMode="External"/><Relationship Id="rId5" Type="http://schemas.openxmlformats.org/officeDocument/2006/relationships/hyperlink" Target="http://www.sec.gov/cgi-bin/browse-edgar?action=getcompany&amp;CIK=00000126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610</Words>
  <Characters>3287</Characters>
  <CharactersWithSpaces>3821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