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Darling Mark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H&amp;R BLOCK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H&amp;R BLOCK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H&amp;R BLOCK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Retail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870"/>
        <w:gridCol w:w="438"/>
        <w:gridCol w:w="834"/>
        <w:gridCol w:w="1345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28,417.146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4,129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51.65</w:t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24,288.146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 units granted under the H&amp;R Block, Inc. 2018 Long Term Incentive Plan. The restrictions lapse in three equal installments beginning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Katharine M. Haynes, per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3635" TargetMode="External"/><Relationship Id="rId5" Type="http://schemas.openxmlformats.org/officeDocument/2006/relationships/hyperlink" Target="http://www.sec.gov/cgi-bin/browse-edgar?action=getcompany&amp;CIK=00000126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3289</Characters>
  <CharactersWithSpaces>3823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