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Redler Dara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H&amp;R BLOCK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H&amp;R BLOCK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H&amp;R BLOCK INC</w:t>
              </w:r>
            </w:hyperlink>
            <w:r>
              <w:rPr/>
              <w:t xml:space="preserve"> [ </w:t>
            </w:r>
            <w:r>
              <w:rPr>
                <w:rFonts w:ascii="Times;serif" w:hAnsi="Times;serif"/>
                <w:color w:val="0000FF"/>
                <w:sz w:val="24"/>
                <w:shd w:fill="FFFFFF" w:val="clear"/>
              </w:rPr>
              <w:t>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&amp;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34"/>
        <w:gridCol w:w="134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17,271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60,628.697</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Common Stock underlying previously awarded performance share units upon determination by the Compensation Committee that performance criteria for the awards had been satisfied, which remain subject to the executive's continued service through August 31,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Katharine M. Haynes, per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6564" TargetMode="External"/><Relationship Id="rId5" Type="http://schemas.openxmlformats.org/officeDocument/2006/relationships/hyperlink" Target="http://www.sec.gov/cgi-bin/browse-edgar?action=getcompany&amp;CIK=00000126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3320</Characters>
  <CharactersWithSpaces>3862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