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FORM 8-K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xml:space="preserve">Date of Report (date of earliest event reported): August 11, 2026 </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H&amp;R BLOCK, INC. </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(Exact name of registrant as specified in charter)</w:t>
      </w:r>
    </w:p>
    <w:tbl>
      <w:tblPr>
        <w:tblW w:w="7619" w:type="dxa"/>
        <w:jc w:val="left"/>
        <w:tblInd w:w="0" w:type="dxa"/>
        <w:tblLayout w:type="fixed"/>
        <w:tblCellMar>
          <w:top w:w="28" w:type="dxa"/>
          <w:left w:w="28" w:type="dxa"/>
          <w:bottom w:w="28" w:type="dxa"/>
          <w:right w:w="28" w:type="dxa"/>
        </w:tblCellMar>
      </w:tblPr>
      <w:tblGrid>
        <w:gridCol w:w="1090"/>
        <w:gridCol w:w="959"/>
        <w:gridCol w:w="966"/>
        <w:gridCol w:w="902"/>
        <w:gridCol w:w="902"/>
        <w:gridCol w:w="910"/>
        <w:gridCol w:w="554"/>
        <w:gridCol w:w="554"/>
        <w:gridCol w:w="78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1-06089</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incorporation or organization)</w:t>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before="0" w:after="24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One H&amp;R Block Way, Kansas City, MO 64105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(816) 854-3000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Not Applicable</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20" w:after="283"/>
        <w:jc w:val="both"/>
        <w:rPr/>
      </w:pPr>
      <w:r>
        <w:rPr>
          <w:color w:val="000000"/>
        </w:rPr>
        <w:t>☐    </w:t>
      </w:r>
      <w:r>
        <w:rPr>
          <w:rFonts w:ascii="sans-serif" w:hAnsi="sans-serif"/>
          <w:b w:val="false"/>
          <w:color w:val="000000"/>
          <w:sz w:val="20"/>
        </w:rPr>
        <w:t>Written communications pursuant to Rule 425 under the Securities Act (17 CFR 230.425)</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Soliciting material pursuant to Rule 14a-12 under the Exchange Act (17 CFR 240.14a-12)</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823" w:type="dxa"/>
        <w:jc w:val="center"/>
        <w:tblInd w:w="0" w:type="dxa"/>
        <w:tblLayout w:type="fixed"/>
        <w:tblCellMar>
          <w:top w:w="28" w:type="dxa"/>
          <w:left w:w="28" w:type="dxa"/>
          <w:bottom w:w="28" w:type="dxa"/>
          <w:right w:w="28" w:type="dxa"/>
        </w:tblCellMar>
      </w:tblPr>
      <w:tblGrid>
        <w:gridCol w:w="1244"/>
        <w:gridCol w:w="1093"/>
        <w:gridCol w:w="1098"/>
        <w:gridCol w:w="629"/>
        <w:gridCol w:w="629"/>
        <w:gridCol w:w="631"/>
        <w:gridCol w:w="1317"/>
        <w:gridCol w:w="1317"/>
        <w:gridCol w:w="1865"/>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Title of each class</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Trading Symbol(s)</w:t>
            </w:r>
          </w:p>
        </w:tc>
        <w:tc>
          <w:tcPr>
            <w:tcW w:w="4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without par value</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HRB</w:t>
            </w:r>
          </w:p>
        </w:tc>
        <w:tc>
          <w:tcPr>
            <w:tcW w:w="44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lineRule="auto" w:line="288" w:before="120" w:after="283"/>
        <w:jc w:val="both"/>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sans-serif" w:hAnsi="sans-serif"/>
          <w:b/>
          <w:color w:val="000000"/>
          <w:sz w:val="24"/>
        </w:rPr>
      </w:pPr>
      <w:r>
        <w:rPr>
          <w:rFonts w:ascii="sans-serif" w:hAnsi="sans-serif"/>
          <w:b/>
          <w:color w:val="000000"/>
          <w:sz w:val="24"/>
        </w:rPr>
        <w:t>Item 2.02.    Results of Operations and Financial Condition.</w:t>
      </w:r>
    </w:p>
    <w:p>
      <w:pPr>
        <w:pStyle w:val="TextBody"/>
        <w:bidi w:val="0"/>
        <w:spacing w:lineRule="auto" w:line="288" w:before="120" w:after="283"/>
        <w:jc w:val="both"/>
        <w:rPr>
          <w:rFonts w:ascii="sans-serif" w:hAnsi="sans-serif"/>
          <w:b w:val="false"/>
          <w:color w:val="000000"/>
          <w:sz w:val="24"/>
        </w:rPr>
      </w:pPr>
      <w:r>
        <w:rPr>
          <w:rFonts w:ascii="sans-serif" w:hAnsi="sans-serif"/>
          <w:b w:val="false"/>
          <w:color w:val="000000"/>
          <w:sz w:val="24"/>
        </w:rPr>
        <w:t>On August 11, 2026, H&amp;R Block, Inc. (the "Company") issued a press release regarding the Company’s results of operations for the fiscal year ended June 30, 2026. A copy of the press release is furnished as Exhibit 99.1 to this Current Report on Form 8-K.</w:t>
      </w:r>
    </w:p>
    <w:p>
      <w:pPr>
        <w:pStyle w:val="TextBody"/>
        <w:bidi w:val="0"/>
        <w:spacing w:lineRule="auto" w:line="288" w:before="120" w:after="283"/>
        <w:jc w:val="both"/>
        <w:rPr>
          <w:rFonts w:ascii="sans-serif" w:hAnsi="sans-serif"/>
          <w:b/>
          <w:color w:val="000000"/>
          <w:sz w:val="24"/>
        </w:rPr>
      </w:pPr>
      <w:r>
        <w:rPr>
          <w:rFonts w:ascii="sans-serif" w:hAnsi="sans-serif"/>
          <w:b/>
          <w:color w:val="000000"/>
          <w:sz w:val="24"/>
        </w:rPr>
        <w:t>Item 7.01.     Regulation FD Disclosure.</w:t>
      </w:r>
    </w:p>
    <w:p>
      <w:pPr>
        <w:pStyle w:val="TextBody"/>
        <w:bidi w:val="0"/>
        <w:spacing w:lineRule="auto" w:line="288" w:before="120" w:after="283"/>
        <w:jc w:val="both"/>
        <w:rPr>
          <w:rFonts w:ascii="sans-serif" w:hAnsi="sans-serif"/>
          <w:b w:val="false"/>
          <w:color w:val="000000"/>
          <w:sz w:val="24"/>
        </w:rPr>
      </w:pPr>
      <w:r>
        <w:rPr>
          <w:rFonts w:ascii="sans-serif" w:hAnsi="sans-serif"/>
          <w:b w:val="false"/>
          <w:color w:val="000000"/>
          <w:sz w:val="24"/>
        </w:rPr>
        <w:t>As announced in the press release described under Item 2.02 and furnished as Exhibit 99.1 to this Current Report on Form 8-K, the Company’s Board of Directors has approved an increase in its quarterly dividend of 10%, to $0.46 per share, and declared a quarterly cash dividend of $0.46 per share payable on October 6, 2026 to shareholders of record as of September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000000"/>
          <w:sz w:val="24"/>
        </w:rPr>
        <w:t>Item 9.01.</w:t>
      </w:r>
      <w:r>
        <w:rPr>
          <w:color w:val="000000"/>
        </w:rPr>
        <w:t>    </w:t>
      </w:r>
      <w:r>
        <w:rPr>
          <w:rFonts w:ascii="sans-serif" w:hAnsi="sans-serif"/>
          <w:b/>
          <w:color w:val="000000"/>
          <w:sz w:val="24"/>
        </w:rPr>
        <w:t>Financial Statements and Exhibits.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(d) Exhibits</w:t>
      </w:r>
    </w:p>
    <w:tbl>
      <w:tblPr>
        <w:tblW w:w="10205" w:type="dxa"/>
        <w:jc w:val="left"/>
        <w:tblInd w:w="0" w:type="dxa"/>
        <w:tblLayout w:type="fixed"/>
        <w:tblCellMar>
          <w:top w:w="28" w:type="dxa"/>
          <w:left w:w="28" w:type="dxa"/>
          <w:bottom w:w="28" w:type="dxa"/>
          <w:right w:w="28" w:type="dxa"/>
        </w:tblCellMar>
      </w:tblPr>
      <w:tblGrid>
        <w:gridCol w:w="654"/>
        <w:gridCol w:w="575"/>
        <w:gridCol w:w="576"/>
        <w:gridCol w:w="109"/>
        <w:gridCol w:w="109"/>
        <w:gridCol w:w="109"/>
        <w:gridCol w:w="2364"/>
        <w:gridCol w:w="2359"/>
        <w:gridCol w:w="3350"/>
      </w:tblGrid>
      <w:tr>
        <w:trPr/>
        <w:tc>
          <w:tcPr>
            <w:tcW w:w="6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sans-serif" w:hAnsi="sans-serif"/>
                <w:b w:val="false"/>
                <w:color w:val="000000"/>
                <w:sz w:val="24"/>
                <w:u w:val="single"/>
              </w:rPr>
            </w:pPr>
            <w:r>
              <w:rPr>
                <w:rFonts w:ascii="sans-serif" w:hAnsi="sans-serif"/>
                <w:b w:val="false"/>
                <w:color w:val="000000"/>
                <w:sz w:val="24"/>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u w:val="single"/>
              </w:rPr>
            </w:pPr>
            <w:r>
              <w:rPr>
                <w:rFonts w:ascii="sans-serif" w:hAnsi="sans-serif"/>
                <w:b w:val="false"/>
                <w:color w:val="000000"/>
                <w:sz w:val="24"/>
                <w:u w:val="single"/>
              </w:rPr>
              <w:t>Description</w:t>
            </w:r>
          </w:p>
        </w:tc>
      </w:tr>
      <w:tr>
        <w:trPr/>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fy26earningsrelease.htm">
              <w:r>
                <w:rPr>
                  <w:rStyle w:val="InternetLink"/>
                  <w:rFonts w:ascii="sans-serif" w:hAnsi="sans-serif"/>
                  <w:b w:val="false"/>
                  <w:color w:val="0000FF"/>
                  <w:sz w:val="24"/>
                  <w:u w:val="single"/>
                </w:rPr>
                <w:t>Press Release Issued August 11, 2026</w:t>
              </w:r>
            </w:hyperlink>
          </w:p>
        </w:tc>
      </w:tr>
      <w:tr>
        <w:trPr/>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SIGNATURES</w:t>
      </w:r>
    </w:p>
    <w:p>
      <w:pPr>
        <w:pStyle w:val="TextBody"/>
        <w:bidi w:val="0"/>
        <w:spacing w:lineRule="auto" w:line="288" w:before="120" w:after="24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hereunto duly authorized.</w:t>
      </w:r>
    </w:p>
    <w:tbl>
      <w:tblPr>
        <w:tblW w:w="8217" w:type="dxa"/>
        <w:jc w:val="left"/>
        <w:tblInd w:w="0" w:type="dxa"/>
        <w:tblLayout w:type="fixed"/>
        <w:tblCellMar>
          <w:top w:w="28" w:type="dxa"/>
          <w:left w:w="28" w:type="dxa"/>
          <w:bottom w:w="28" w:type="dxa"/>
          <w:right w:w="28" w:type="dxa"/>
        </w:tblCellMar>
      </w:tblPr>
      <w:tblGrid>
        <w:gridCol w:w="277"/>
        <w:gridCol w:w="243"/>
        <w:gridCol w:w="244"/>
        <w:gridCol w:w="684"/>
        <w:gridCol w:w="684"/>
        <w:gridCol w:w="686"/>
        <w:gridCol w:w="159"/>
        <w:gridCol w:w="159"/>
        <w:gridCol w:w="161"/>
        <w:gridCol w:w="1440"/>
        <w:gridCol w:w="1440"/>
        <w:gridCol w:w="204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H&amp;R BLOCK, INC.</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Date: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August 11, 2026</w:t>
            </w:r>
          </w:p>
        </w:tc>
        <w:tc>
          <w:tcPr>
            <w:tcW w:w="4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By:</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/s/ 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 President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drawing>
          <wp:inline distT="0" distB="0" distL="0" distR="0">
            <wp:extent cx="619125"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19125" cy="609600"/>
                    </a:xfrm>
                    <a:prstGeom prst="rect">
                      <a:avLst/>
                    </a:prstGeom>
                  </pic:spPr>
                </pic:pic>
              </a:graphicData>
            </a:graphic>
          </wp:inline>
        </w:drawing>
      </w:r>
    </w:p>
    <w:p>
      <w:pPr>
        <w:pStyle w:val="TextBody"/>
        <w:bidi w:val="0"/>
        <w:spacing w:before="120" w:after="283"/>
        <w:jc w:val="righ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News Release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 Immediate Release: August 11, 2026 </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H&amp;R Block Reports Fiscal 2026 Results and Enters Fiscal 2027 with Confidence</w:t>
      </w:r>
    </w:p>
    <w:p>
      <w:pPr>
        <w:pStyle w:val="TextBody"/>
        <w:bidi w:val="0"/>
        <w:spacing w:lineRule="auto" w:line="288" w:before="12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 Delivered Revenue Growth of 5% - </w:t>
      </w:r>
    </w:p>
    <w:p>
      <w:pPr>
        <w:pStyle w:val="TextBody"/>
        <w:bidi w:val="0"/>
        <w:spacing w:lineRule="auto" w:line="288" w:before="12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 Generated Strong Operating Cash Flow, Up 23% - </w:t>
      </w:r>
    </w:p>
    <w:p>
      <w:pPr>
        <w:pStyle w:val="TextBody"/>
        <w:bidi w:val="0"/>
        <w:spacing w:lineRule="auto" w:line="288" w:before="12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 Returned $714 Million to Shareholders via Dividends and Share Repurchases - </w:t>
      </w:r>
    </w:p>
    <w:p>
      <w:pPr>
        <w:pStyle w:val="TextBody"/>
        <w:bidi w:val="0"/>
        <w:spacing w:lineRule="auto" w:line="288" w:before="12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Raises Quarterly Dividend by 10% -</w:t>
      </w:r>
    </w:p>
    <w:p>
      <w:pPr>
        <w:pStyle w:val="TextBody"/>
        <w:bidi w:val="0"/>
        <w:spacing w:before="0" w:after="0"/>
        <w:jc w:val="center"/>
        <w:rPr/>
      </w:pPr>
      <w:r>
        <w:rPr/>
      </w:r>
    </w:p>
    <w:p>
      <w:pPr>
        <w:pStyle w:val="TextBody"/>
        <w:bidi w:val="0"/>
        <w:spacing w:lineRule="auto" w:line="288" w:before="120" w:after="283"/>
        <w:jc w:val="left"/>
        <w:rPr/>
      </w:pPr>
      <w:r>
        <w:rPr>
          <w:rFonts w:ascii="Times New Roman;serif" w:hAnsi="Times New Roman;serif"/>
          <w:b w:val="false"/>
          <w:color w:val="000000"/>
          <w:sz w:val="22"/>
          <w:shd w:fill="FFFFFF" w:val="clear"/>
        </w:rPr>
        <w:t>KANSAS CITY, MO., August 11, 2026 (GLOBE NEWSWIRE) -- H&amp;R Block, Inc. (NYSE: HRB) (the "Company") today released financial results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shd w:fill="FFFFFF" w:val="clear"/>
        </w:rPr>
        <w:t>for its fiscal 2026 year ended June 30, 2026.</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"Fiscal 2026 provided meaningful evidence that the strategic choices we are making are strengthening H&amp;R Block," said Curtis Campbell, president and chief executive officer. "The results we delivered reflect continued progress in the quality of our business, improvements in the mix of our client base, and evidence that our testing and experimentation are accelerating our ability to learn, adapt, and scale what works. Together, they reinforce the value of our expert-led, technology-enabled strategy and give us confidence in the opportunities ahead."</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2026 Results and Key Financial Metrics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"Fiscal 2026 was a year of meaningful progress for H&amp;R Block. Strong execution drove accelerating revenue growth, margin expansion, and higher operating cash flow generation, while reinforcing our ability to strengthen client outcomes and deliver disciplined returns to shareholders," said Tiffany Mason, chief financial officer. "Entering fiscal 2027, we are well positioned to build on this momentum and continue delivering meaningful long-term value."</w:t>
      </w:r>
    </w:p>
    <w:p>
      <w:pPr>
        <w:pStyle w:val="TextBody"/>
        <w:bidi w:val="0"/>
        <w:spacing w:lineRule="auto" w:line="288" w:before="120" w:after="283"/>
        <w:jc w:val="left"/>
        <w:rPr/>
      </w:pPr>
      <w:r>
        <w:rPr>
          <w:rFonts w:ascii="Times New Roman;serif" w:hAnsi="Times New Roman;serif"/>
          <w:b w:val="false"/>
          <w:color w:val="000000"/>
          <w:sz w:val="22"/>
        </w:rPr>
        <w:t>Total reve</w:t>
      </w:r>
      <w:r>
        <w:rPr>
          <w:rFonts w:ascii="Times New Roman;serif" w:hAnsi="Times New Roman;serif"/>
          <w:b w:val="false"/>
          <w:color w:val="000000"/>
          <w:sz w:val="22"/>
          <w:shd w:fill="FFFFFF" w:val="clear"/>
        </w:rPr>
        <w:t>nue of $3.95 billion increased by $184.4 million, or 4.9%, versus the prior year. The increase was primarily the result of higher net average charge (NAC) and company-owned volume in U.S. assisted tax preparation, growth in international revenue, and an increase in Wave subscription revenue and payments volume.</w:t>
      </w:r>
    </w:p>
    <w:p>
      <w:pPr>
        <w:pStyle w:val="TextBody"/>
        <w:bidi w:val="0"/>
        <w:spacing w:lineRule="auto" w:line="288" w:before="120" w:after="283"/>
        <w:jc w:val="left"/>
        <w:rPr/>
      </w:pPr>
      <w:r>
        <w:rPr>
          <w:rFonts w:ascii="Times New Roman;serif" w:hAnsi="Times New Roman;serif"/>
          <w:b w:val="false"/>
          <w:color w:val="000000"/>
          <w:sz w:val="22"/>
        </w:rPr>
        <w:t>Total operating ex</w:t>
      </w:r>
      <w:r>
        <w:rPr>
          <w:rFonts w:ascii="Times New Roman;serif" w:hAnsi="Times New Roman;serif"/>
          <w:b w:val="false"/>
          <w:color w:val="000000"/>
          <w:sz w:val="22"/>
          <w:shd w:fill="FFFFFF" w:val="clear"/>
        </w:rPr>
        <w:t>penses of $3.0 billion increased by $104.7 million, or 3.6%, versus the prior year. The increase was primarily due to higher field wages as a result of increased assisted tax preparation revenue, and higher occupancy costs and technology-related expenses.</w:t>
      </w:r>
    </w:p>
    <w:p>
      <w:pPr>
        <w:pStyle w:val="TextBody"/>
        <w:bidi w:val="0"/>
        <w:spacing w:lineRule="auto" w:line="288" w:before="120" w:after="283"/>
        <w:jc w:val="left"/>
        <w:rPr/>
      </w:pPr>
      <w:r>
        <w:rPr>
          <w:rFonts w:ascii="Times New Roman;serif" w:hAnsi="Times New Roman;serif"/>
          <w:b w:val="false"/>
          <w:color w:val="000000"/>
          <w:sz w:val="22"/>
          <w:shd w:fill="FFFFFF" w:val="clear"/>
        </w:rPr>
        <w:t>Net income from continuing operations increased by $126.9 million</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color w:val="000000"/>
          <w:sz w:val="22"/>
          <w:shd w:fill="FFFFFF" w:val="clear"/>
        </w:rPr>
        <w:t>or 20.8%, to $736.3 million, and earnings per share from continuing operations</w:t>
      </w:r>
      <w:r>
        <w:rPr>
          <w:rFonts w:ascii="Times New Roman;serif" w:hAnsi="Times New Roman;serif"/>
          <w:b w:val="false"/>
          <w:color w:val="000000"/>
          <w:sz w:val="14"/>
          <w:shd w:fill="FFFFFF" w:val="clear"/>
        </w:rPr>
        <w:t>2</w:t>
      </w:r>
      <w:r>
        <w:rPr>
          <w:color w:val="000000"/>
          <w:shd w:fill="FFFFFF" w:val="clear"/>
        </w:rPr>
        <w:t xml:space="preserve"> </w:t>
      </w:r>
      <w:r>
        <w:rPr>
          <w:rFonts w:ascii="Times New Roman;serif" w:hAnsi="Times New Roman;serif"/>
          <w:b w:val="false"/>
          <w:color w:val="000000"/>
          <w:sz w:val="22"/>
          <w:shd w:fill="FFFFFF" w:val="clear"/>
        </w:rPr>
        <w:t xml:space="preserve">increased 28.7% to $5.69. </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During the third quarter, the Company recognized a one-time non-cash tax benefit related to the resolution of an IRS examination. The $84.1 million benefit reduced income tax expense, providing a $0.65 benefit to earnings per share for fiscal 2026.</w:t>
      </w:r>
    </w:p>
    <w:p>
      <w:pPr>
        <w:pStyle w:val="TextBody"/>
        <w:bidi w:val="0"/>
        <w:spacing w:lineRule="auto" w:line="276" w:before="120" w:after="283"/>
        <w:jc w:val="left"/>
        <w:rPr/>
      </w:pPr>
      <w:r>
        <w:rPr>
          <w:rFonts w:ascii="Times New Roman;serif" w:hAnsi="Times New Roman;serif"/>
          <w:b w:val="false"/>
          <w:color w:val="000000"/>
          <w:sz w:val="22"/>
        </w:rPr>
        <w:t>Adjusted net income from continuing operations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increased b</w:t>
      </w:r>
      <w:r>
        <w:rPr>
          <w:rFonts w:ascii="Times New Roman;serif" w:hAnsi="Times New Roman;serif"/>
          <w:b w:val="false"/>
          <w:color w:val="000000"/>
          <w:sz w:val="22"/>
          <w:shd w:fill="FFFFFF" w:val="clear"/>
        </w:rPr>
        <w:t>y $44.7 million, or 6.9%, to $688.0</w:t>
      </w:r>
      <w:r>
        <w:rPr>
          <w:color w:val="000000"/>
          <w:shd w:fill="FFFFFF" w:val="clear"/>
        </w:rPr>
        <w:t xml:space="preserve"> </w:t>
      </w:r>
      <w:r>
        <w:rPr>
          <w:rFonts w:ascii="Times New Roman;serif" w:hAnsi="Times New Roman;serif"/>
          <w:b w:val="false"/>
          <w:color w:val="000000"/>
          <w:sz w:val="20"/>
          <w:shd w:fill="FFFFFF" w:val="clear"/>
        </w:rPr>
        <w:t>million</w:t>
      </w:r>
      <w:r>
        <w:rPr>
          <w:rFonts w:ascii="Times New Roman;serif" w:hAnsi="Times New Roman;serif"/>
          <w:b w:val="false"/>
          <w:color w:val="000000"/>
          <w:sz w:val="22"/>
          <w:shd w:fill="FFFFFF" w:val="clear"/>
        </w:rPr>
        <w:t>, and adjusted earnings per share from continuing operations</w:t>
      </w:r>
      <w:r>
        <w:rPr>
          <w:rFonts w:ascii="Times New Roman;serif" w:hAnsi="Times New Roman;serif"/>
          <w:b w:val="false"/>
          <w:color w:val="000000"/>
          <w:sz w:val="14"/>
          <w:shd w:fill="FFFFFF" w:val="clear"/>
        </w:rPr>
        <w:t>2</w:t>
      </w:r>
      <w:r>
        <w:rPr>
          <w:color w:val="000000"/>
          <w:shd w:fill="FFFFFF" w:val="clear"/>
        </w:rPr>
        <w:t xml:space="preserve"> </w:t>
      </w:r>
      <w:r>
        <w:rPr>
          <w:rFonts w:ascii="Times New Roman;serif" w:hAnsi="Times New Roman;serif"/>
          <w:b w:val="false"/>
          <w:color w:val="000000"/>
          <w:sz w:val="22"/>
          <w:shd w:fill="FFFFFF" w:val="clear"/>
        </w:rPr>
        <w:t xml:space="preserve">increased 13.9% to </w:t>
      </w:r>
      <w:r>
        <w:rPr>
          <w:rFonts w:ascii="Times New Roman;serif" w:hAnsi="Times New Roman;serif"/>
          <w:b w:val="false"/>
          <w:color w:val="000000"/>
          <w:sz w:val="20"/>
          <w:shd w:fill="FFFFFF" w:val="clear"/>
        </w:rPr>
        <w:t xml:space="preserve">$5.31 </w:t>
      </w:r>
      <w:r>
        <w:rPr>
          <w:rFonts w:ascii="Times New Roman;serif" w:hAnsi="Times New Roman;serif"/>
          <w:b w:val="false"/>
          <w:color w:val="000000"/>
          <w:sz w:val="22"/>
          <w:shd w:fill="FFFFFF" w:val="clear"/>
        </w:rPr>
        <w:t>driv</w:t>
      </w:r>
      <w:r>
        <w:rPr>
          <w:rFonts w:ascii="Times New Roman;serif" w:hAnsi="Times New Roman;serif"/>
          <w:b w:val="false"/>
          <w:color w:val="000000"/>
          <w:sz w:val="22"/>
        </w:rPr>
        <w:t>en by fewer shares outstanding from share repurchases and higher adjusted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27125"/>
                <wp:effectExtent l="0" t="0" r="0" b="0"/>
                <wp:wrapNone/>
                <wp:docPr id="5" name="Frame4"/>
                <a:graphic xmlns:a="http://schemas.openxmlformats.org/drawingml/2006/main">
                  <a:graphicData uri="http://schemas.microsoft.com/office/word/2010/wordprocessingShape">
                    <wps:wsp>
                      <wps:cNvSpPr txBox="1"/>
                      <wps:spPr>
                        <a:xfrm>
                          <a:off x="0" y="0"/>
                          <a:ext cx="6480175" cy="1127125"/>
                        </a:xfrm>
                        <a:prstGeom prst="rect"/>
                        <a:solidFill>
                          <a:srgbClr val="FFFFFF"/>
                        </a:solidFill>
                      </wps:spPr>
                      <wps:txbx>
                        <w:txbxContent>
                          <w:p>
                            <w:pPr>
                              <w:pStyle w:val="TextBody"/>
                              <w:bidi w:val="0"/>
                              <w:spacing w:before="0" w:after="0"/>
                              <w:ind w:left="0" w:right="0" w:hanging="97"/>
                              <w:jc w:val="both"/>
                              <w:rPr/>
                            </w:pPr>
                            <w:r>
                              <w:rPr/>
                            </w:r>
                            <w:r>
                              <w:br w:type="page"/>
                            </w:r>
                          </w:p>
                          <w:p>
                            <w:pPr>
                              <w:pStyle w:val="TextBody"/>
                              <w:bidi w:val="0"/>
                              <w:spacing w:before="0" w:after="0"/>
                              <w:ind w:left="0" w:right="0" w:hanging="97"/>
                              <w:jc w:val="both"/>
                              <w:rPr/>
                            </w:pPr>
                            <w:r>
                              <w:rPr/>
                            </w:r>
                          </w:p>
                          <w:p>
                            <w:pPr>
                              <w:pStyle w:val="TextBody"/>
                              <w:bidi w:val="0"/>
                              <w:spacing w:lineRule="auto" w:line="288" w:before="0" w:after="0"/>
                              <w:ind w:left="0" w:right="0" w:hanging="97"/>
                              <w:jc w:val="both"/>
                              <w:rPr/>
                            </w:pPr>
                            <w:r>
                              <w:rPr>
                                <w:rFonts w:ascii="Times New Roman;serif" w:hAnsi="Times New Roman;serif"/>
                                <w:b w:val="false"/>
                                <w:color w:val="000000"/>
                                <w:sz w:val="8"/>
                              </w:rPr>
                              <w:t>1</w:t>
                            </w:r>
                            <w:r>
                              <w:rPr>
                                <w:color w:val="000000"/>
                              </w:rPr>
                              <w:t xml:space="preserve"> </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p>
                          <w:p>
                            <w:pPr>
                              <w:pStyle w:val="TextBody"/>
                              <w:bidi w:val="0"/>
                              <w:spacing w:lineRule="auto" w:line="268" w:before="0" w:after="0"/>
                              <w:ind w:left="0" w:right="0" w:hanging="97"/>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net income, adjusted earnings per share (EPS) and earnings before interest, tax, depreciation, and amortization (EBITDA) from continuing operations,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p>
                            <w:pPr>
                              <w:pStyle w:val="TextBody"/>
                              <w:bidi w:val="0"/>
                              <w:spacing w:before="0" w:after="0"/>
                              <w:ind w:left="0" w:right="0" w:hanging="97"/>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97"/>
                        <w:jc w:val="both"/>
                        <w:rPr/>
                      </w:pPr>
                      <w:r>
                        <w:rPr/>
                      </w:r>
                    </w:p>
                    <w:p>
                      <w:pPr>
                        <w:pStyle w:val="TextBody"/>
                        <w:bidi w:val="0"/>
                        <w:spacing w:before="0" w:after="0"/>
                        <w:ind w:left="0" w:right="0" w:hanging="97"/>
                        <w:jc w:val="both"/>
                        <w:rPr/>
                      </w:pPr>
                      <w:r>
                        <w:rPr/>
                      </w:r>
                    </w:p>
                    <w:p>
                      <w:pPr>
                        <w:pStyle w:val="TextBody"/>
                        <w:bidi w:val="0"/>
                        <w:spacing w:lineRule="auto" w:line="288" w:before="0" w:after="0"/>
                        <w:ind w:left="0" w:right="0" w:hanging="97"/>
                        <w:jc w:val="both"/>
                        <w:rPr/>
                      </w:pPr>
                      <w:r>
                        <w:rPr>
                          <w:rFonts w:ascii="Times New Roman;serif" w:hAnsi="Times New Roman;serif"/>
                          <w:b w:val="false"/>
                          <w:color w:val="000000"/>
                          <w:sz w:val="8"/>
                        </w:rPr>
                        <w:t>1</w:t>
                      </w:r>
                      <w:r>
                        <w:rPr>
                          <w:color w:val="000000"/>
                        </w:rPr>
                        <w:t xml:space="preserve"> </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p>
                    <w:p>
                      <w:pPr>
                        <w:pStyle w:val="TextBody"/>
                        <w:bidi w:val="0"/>
                        <w:spacing w:lineRule="auto" w:line="268" w:before="0" w:after="0"/>
                        <w:ind w:left="0" w:right="0" w:hanging="97"/>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net income, adjusted earnings per share (EPS) and earnings before interest, tax, depreciation, and amortization (EBITDA) from continuing operations,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p>
                      <w:pPr>
                        <w:pStyle w:val="TextBody"/>
                        <w:bidi w:val="0"/>
                        <w:spacing w:before="0" w:after="0"/>
                        <w:ind w:left="0" w:right="0" w:hanging="97"/>
                        <w:jc w:val="both"/>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Capital Allocation</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announced today that the Board of Directors increased the quarterly divid</w:t>
      </w:r>
      <w:r>
        <w:rPr>
          <w:rFonts w:ascii="Times New Roman;serif" w:hAnsi="Times New Roman;serif"/>
          <w:b w:val="false"/>
          <w:color w:val="000000"/>
          <w:sz w:val="22"/>
        </w:rPr>
        <w:t>end by 10%, representing nine consecutive annual increases. The quarterly cash dividend is now $0.46 per</w:t>
      </w:r>
      <w:r>
        <w:rPr>
          <w:color w:val="000000"/>
          <w:shd w:fill="FFFFFF" w:val="clear"/>
        </w:rPr>
        <w:t xml:space="preserve"> </w:t>
      </w:r>
      <w:r>
        <w:rPr>
          <w:rFonts w:ascii="Times New Roman;serif" w:hAnsi="Times New Roman;serif"/>
          <w:b w:val="false"/>
          <w:color w:val="000000"/>
          <w:sz w:val="22"/>
          <w:shd w:fill="FFFFFF" w:val="clear"/>
        </w:rPr>
        <w:t xml:space="preserve">share, </w:t>
      </w:r>
      <w:r>
        <w:rPr>
          <w:rFonts w:ascii="Times New Roman;serif" w:hAnsi="Times New Roman;serif"/>
          <w:b w:val="false"/>
          <w:color w:val="000000"/>
          <w:sz w:val="22"/>
        </w:rPr>
        <w:t>payable on</w:t>
      </w:r>
      <w:r>
        <w:rPr>
          <w:color w:val="000000"/>
          <w:shd w:fill="FFFFFF" w:val="clear"/>
        </w:rPr>
        <w:t xml:space="preserve"> </w:t>
      </w:r>
      <w:r>
        <w:rPr>
          <w:rFonts w:ascii="Times New Roman;serif" w:hAnsi="Times New Roman;serif"/>
          <w:b w:val="false"/>
          <w:color w:val="000000"/>
          <w:sz w:val="22"/>
          <w:shd w:fill="FFFFFF" w:val="clear"/>
        </w:rPr>
        <w:t>October 6th to shareholders of record as of September 3rd.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In fiscal 2026, the Company repurchased and retired approximately 10.5 million shares, or 7.9% of shares outstanding, at an aggregate price of $500.3 million, or $47.48 per share.</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has approximately $600 million remaining on its $1.5 billion share repurchase program.</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During fiscal 2026, the Company returned a total of $713.7 million to shareholders via dividends and share repurchases as part of its disciplined capital allocation priorities. </w:t>
      </w:r>
    </w:p>
    <w:p>
      <w:pPr>
        <w:pStyle w:val="TextBody"/>
        <w:bidi w:val="0"/>
        <w:spacing w:lineRule="auto" w:line="288" w:before="120" w:after="283"/>
        <w:jc w:val="left"/>
        <w:rPr/>
      </w:pPr>
      <w:r>
        <w:rPr>
          <w:rFonts w:ascii="Times New Roman;serif" w:hAnsi="Times New Roman;serif"/>
          <w:b w:val="false"/>
          <w:color w:val="000000"/>
          <w:sz w:val="22"/>
          <w:shd w:fill="FFFFFF" w:val="clear"/>
        </w:rPr>
        <w:t>H&amp;R Block has paid quarterly dividends consecutively since the Company became public in 1962. Since 2016, the Company has returned more than $5.2 billion to shareholders in the form of dividends and share repurchases, buying back over 48% of its shares outstanding</w:t>
      </w:r>
      <w:r>
        <w:rPr>
          <w:rFonts w:ascii="Times New Roman;serif" w:hAnsi="Times New Roman;serif"/>
          <w:b w:val="false"/>
          <w:color w:val="000000"/>
          <w:sz w:val="14"/>
          <w:shd w:fill="FFFFFF" w:val="clear"/>
        </w:rPr>
        <w:t>3</w:t>
      </w:r>
      <w:r>
        <w:rPr>
          <w:rFonts w:ascii="Times New Roman;serif" w:hAnsi="Times New Roman;serif"/>
          <w:b w:val="false"/>
          <w:color w:val="000000"/>
          <w:sz w:val="22"/>
          <w:shd w:fill="FFFFFF" w:val="clear"/>
        </w:rPr>
        <w:t>.</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Year 2027 Outlook</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fiscal year 2027, the Company expects: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Revenue to be in the range of $4.11 to $4.16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to be in the range of $1.11 to $1.14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Effective tax rate to be approximately 23%.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Adjusted Diluted Earnings Per Share</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to be in the range of $6.04 to $6.24.</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Conference Call &amp; Webcast</w:t>
      </w:r>
    </w:p>
    <w:p>
      <w:pPr>
        <w:pStyle w:val="TextBody"/>
        <w:bidi w:val="0"/>
        <w:spacing w:lineRule="auto" w:line="276" w:before="120" w:after="283"/>
        <w:jc w:val="left"/>
        <w:rPr/>
      </w:pPr>
      <w:r>
        <w:rPr>
          <w:rFonts w:ascii="Times New Roman;serif" w:hAnsi="Times New Roman;serif"/>
          <w:b w:val="false"/>
          <w:color w:val="000000"/>
          <w:sz w:val="22"/>
        </w:rPr>
        <w:t>The Company will host a conference call for analysts and investors to discuss fourth quarter 2026 results at 4:30 p.m. ET on Tuesday, August 11, 2026. To join live, participants must register at https://register-conf.media-server.com/register/BI60bdfcc5143e4b4bab4f944036d27add</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Once registered, the participant will receive a dial-in number and unique PIN to access the call. Please join approximately 5 minutes prior to the scheduled start time.</w:t>
      </w:r>
    </w:p>
    <w:p>
      <w:pPr>
        <w:pStyle w:val="TextBody"/>
        <w:bidi w:val="0"/>
        <w:spacing w:lineRule="auto" w:line="276" w:before="120" w:after="283"/>
        <w:jc w:val="left"/>
        <w:rPr/>
      </w:pPr>
      <w:r>
        <w:rPr>
          <w:rFonts w:ascii="Times New Roman;serif" w:hAnsi="Times New Roman;serif"/>
          <w:b w:val="false"/>
          <w:color w:val="000000"/>
          <w:sz w:val="22"/>
        </w:rPr>
        <w:t>The call, along with a presentation for viewing, will also be webcast in a listen-only format for the media and general public. The webcast can be accessed directly a</w:t>
      </w:r>
      <w:r>
        <w:rPr>
          <w:rFonts w:ascii="Times New Roman;serif" w:hAnsi="Times New Roman;serif"/>
          <w:b w:val="false"/>
          <w:color w:val="000000"/>
          <w:sz w:val="22"/>
          <w:shd w:fill="FFFFFF" w:val="clear"/>
        </w:rPr>
        <w:t>t https://edge.media-server.com/mmc/p/yc868747/lan/en</w:t>
      </w:r>
      <w:r>
        <w:rPr>
          <w:color w:val="000000"/>
        </w:rPr>
        <w:t xml:space="preserve"> </w:t>
      </w:r>
      <w:r>
        <w:rPr>
          <w:rFonts w:ascii="Times New Roman;serif" w:hAnsi="Times New Roman;serif"/>
          <w:b w:val="false"/>
          <w:color w:val="000000"/>
          <w:sz w:val="22"/>
        </w:rPr>
        <w:t>and will be available for replay 2 hours after the call is concluded and continuing for 90 days.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About H&amp;R Block</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H&amp;R Block, Inc. (NYSE: HRB) provides help and inspires confidence in its clients and communities everywhere through global tax preparation services, financial products, and small-business solutions. The company blends digital innovation with human expertise and care as it helps people get the best outcome at tax time and also be better with money using its mobile banking app, Spruce. Through Block Advisors and Wave, the company helps small-business owners thrive with year-round bookkeeping, payroll, advisory, and payment processing solutions. For more information, visit H&amp;R Block News.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About Non-GAAP Financial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and the accompanying tables include non-GAAP financial information. For a description of these non-GAAP financial measures, including the reasons management uses each measure, and reconciliations of these non-GAAP financial measures to the most directly comparable financial measures prepared in accordance with generally accepted accounting principles, please see the section of the accompanying tables titled "Non-GAAP Financial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50265"/>
                <wp:effectExtent l="0" t="0" r="0" b="0"/>
                <wp:wrapNone/>
                <wp:docPr id="6" name="Frame5"/>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p>
                            <w:pPr>
                              <w:pStyle w:val="TextBody"/>
                              <w:bidi w:val="0"/>
                              <w:spacing w:before="0" w:after="0"/>
                              <w:ind w:left="0" w:right="0" w:hanging="90"/>
                              <w:jc w:val="both"/>
                              <w:rPr/>
                            </w:pPr>
                            <w:r>
                              <w:rPr/>
                            </w:r>
                            <w:r>
                              <w:br w:type="page"/>
                            </w:r>
                          </w:p>
                          <w:p>
                            <w:pPr>
                              <w:pStyle w:val="TextBody"/>
                              <w:bidi w:val="0"/>
                              <w:spacing w:lineRule="auto" w:line="268" w:before="0" w:after="0"/>
                              <w:jc w:val="both"/>
                              <w:rPr/>
                            </w:pPr>
                            <w:r>
                              <w:rPr>
                                <w:rFonts w:ascii="Times New Roman;serif" w:hAnsi="Times New Roman;serif"/>
                                <w:b w:val="false"/>
                                <w:color w:val="000000"/>
                                <w:sz w:val="8"/>
                              </w:rPr>
                              <w:t>3</w:t>
                            </w:r>
                            <w:r>
                              <w:rPr>
                                <w:color w:val="000000"/>
                              </w:rPr>
                              <w:t xml:space="preserve"> </w:t>
                            </w:r>
                            <w:r>
                              <w:rPr>
                                <w:rFonts w:ascii="Times New Roman;serif" w:hAnsi="Times New Roman;serif"/>
                                <w:b w:val="false"/>
                                <w:color w:val="000000"/>
                                <w:sz w:val="12"/>
                              </w:rPr>
                              <w:t>Shares outstanding calculated as of April 30, 2016.</w:t>
                            </w:r>
                          </w:p>
                          <w:p>
                            <w:pPr>
                              <w:pStyle w:val="TextBody"/>
                              <w:bidi w:val="0"/>
                              <w:spacing w:lineRule="auto" w:line="268" w:before="0" w:after="0"/>
                              <w:ind w:left="0" w:right="0" w:hanging="90"/>
                              <w:jc w:val="both"/>
                              <w:rPr/>
                            </w:pPr>
                            <w:r>
                              <w:rPr>
                                <w:rFonts w:ascii="Times New Roman;serif" w:hAnsi="Times New Roman;serif"/>
                                <w:b w:val="false"/>
                                <w:color w:val="000000"/>
                                <w:sz w:val="8"/>
                              </w:rPr>
                              <w:t>4</w:t>
                            </w:r>
                            <w:r>
                              <w:rPr>
                                <w:rFonts w:ascii="Times New Roman;serif" w:hAnsi="Times New Roman;serif"/>
                                <w:b w:val="false"/>
                                <w:color w:val="000000"/>
                                <w:sz w:val="12"/>
                              </w:rPr>
                              <w:t>Adjusted Diluted EPS and Adjusted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90"/>
                        <w:jc w:val="both"/>
                        <w:rPr/>
                      </w:pPr>
                      <w:r>
                        <w:rPr/>
                      </w:r>
                    </w:p>
                    <w:p>
                      <w:pPr>
                        <w:pStyle w:val="TextBody"/>
                        <w:bidi w:val="0"/>
                        <w:spacing w:lineRule="auto" w:line="268" w:before="0" w:after="0"/>
                        <w:jc w:val="both"/>
                        <w:rPr/>
                      </w:pPr>
                      <w:r>
                        <w:rPr>
                          <w:rFonts w:ascii="Times New Roman;serif" w:hAnsi="Times New Roman;serif"/>
                          <w:b w:val="false"/>
                          <w:color w:val="000000"/>
                          <w:sz w:val="8"/>
                        </w:rPr>
                        <w:t>3</w:t>
                      </w:r>
                      <w:r>
                        <w:rPr>
                          <w:color w:val="000000"/>
                        </w:rPr>
                        <w:t xml:space="preserve"> </w:t>
                      </w:r>
                      <w:r>
                        <w:rPr>
                          <w:rFonts w:ascii="Times New Roman;serif" w:hAnsi="Times New Roman;serif"/>
                          <w:b w:val="false"/>
                          <w:color w:val="000000"/>
                          <w:sz w:val="12"/>
                        </w:rPr>
                        <w:t>Shares outstanding calculated as of April 30, 2016.</w:t>
                      </w:r>
                    </w:p>
                    <w:p>
                      <w:pPr>
                        <w:pStyle w:val="TextBody"/>
                        <w:bidi w:val="0"/>
                        <w:spacing w:lineRule="auto" w:line="268" w:before="0" w:after="0"/>
                        <w:ind w:left="0" w:right="0" w:hanging="90"/>
                        <w:jc w:val="both"/>
                        <w:rPr/>
                      </w:pPr>
                      <w:r>
                        <w:rPr>
                          <w:rFonts w:ascii="Times New Roman;serif" w:hAnsi="Times New Roman;serif"/>
                          <w:b w:val="false"/>
                          <w:color w:val="000000"/>
                          <w:sz w:val="8"/>
                        </w:rPr>
                        <w:t>4</w:t>
                      </w:r>
                      <w:r>
                        <w:rPr>
                          <w:rFonts w:ascii="Times New Roman;serif" w:hAnsi="Times New Roman;serif"/>
                          <w:b w:val="false"/>
                          <w:color w:val="000000"/>
                          <w:sz w:val="12"/>
                        </w:rPr>
                        <w:t>Adjusted Diluted EPS and Adjusted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press release contains forward-looking statements within the meaning of the securities laws.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or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products or services,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and regulatory factors, many of which are beyond the Company's control, that are described in our Annual Report on Form 10-K for the most recently completed fiscal year in the section entitled "Risk Factors" and additional factors we may describe from time to time in other filings with the Securities and Exchange Commission. You may get such filings for free at our website at https://investors.hrblock.com. In addition, factors that may cause the Company’s actual estimated effective tax rate to differ from estimates include the Company’s actual results from operations compared to current estimates, future discrete items, changes in interpretations and assumptions the Company has made, future actions of the Company, or increases in applicable tax rates in jurisdictions where the Company operates. You should understand that it is not possible to predict or identify all such factors and, consequently, you should not consider any such list to be a complete set of all potential risks or uncertainties.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For Further Information</w:t>
      </w:r>
    </w:p>
    <w:tbl>
      <w:tblPr>
        <w:tblW w:w="7887" w:type="dxa"/>
        <w:jc w:val="left"/>
        <w:tblInd w:w="0" w:type="dxa"/>
        <w:tblLayout w:type="fixed"/>
        <w:tblCellMar>
          <w:top w:w="28" w:type="dxa"/>
          <w:left w:w="28" w:type="dxa"/>
          <w:bottom w:w="28" w:type="dxa"/>
          <w:right w:w="28" w:type="dxa"/>
        </w:tblCellMar>
      </w:tblPr>
      <w:tblGrid>
        <w:gridCol w:w="679"/>
        <w:gridCol w:w="596"/>
        <w:gridCol w:w="600"/>
        <w:gridCol w:w="109"/>
        <w:gridCol w:w="109"/>
        <w:gridCol w:w="109"/>
        <w:gridCol w:w="1664"/>
        <w:gridCol w:w="1664"/>
        <w:gridCol w:w="235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2"/>
              </w:rPr>
            </w:pPr>
            <w:r>
              <w:rPr>
                <w:rFonts w:ascii="Times New Roman;serif" w:hAnsi="Times New Roman;serif"/>
                <w:b w:val="false"/>
                <w:color w:val="000000"/>
                <w:sz w:val="22"/>
              </w:rPr>
              <w:t>Jessica Hazel, (816) 854-4214, jessica.hazel@hrblock.com</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Desk, mediadesk@hrblock.com</w:t>
            </w:r>
          </w:p>
        </w:tc>
      </w:tr>
    </w:tbl>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TABLE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97"/>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97"/>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176"/>
        <w:gridCol w:w="883"/>
        <w:gridCol w:w="887"/>
        <w:gridCol w:w="109"/>
        <w:gridCol w:w="109"/>
        <w:gridCol w:w="109"/>
        <w:gridCol w:w="226"/>
        <w:gridCol w:w="1156"/>
        <w:gridCol w:w="109"/>
        <w:gridCol w:w="109"/>
        <w:gridCol w:w="109"/>
        <w:gridCol w:w="109"/>
        <w:gridCol w:w="226"/>
        <w:gridCol w:w="1126"/>
        <w:gridCol w:w="109"/>
        <w:gridCol w:w="109"/>
        <w:gridCol w:w="109"/>
        <w:gridCol w:w="109"/>
        <w:gridCol w:w="226"/>
        <w:gridCol w:w="1156"/>
        <w:gridCol w:w="109"/>
        <w:gridCol w:w="109"/>
        <w:gridCol w:w="109"/>
        <w:gridCol w:w="109"/>
        <w:gridCol w:w="226"/>
        <w:gridCol w:w="1126"/>
        <w:gridCol w:w="156"/>
      </w:tblGrid>
      <w:tr>
        <w:trPr/>
        <w:tc>
          <w:tcPr>
            <w:tcW w:w="11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(unaudited, in 000s - except per share amounts)</w:t>
            </w:r>
          </w:p>
        </w:tc>
      </w:tr>
      <w:tr>
        <w:trPr/>
        <w:tc>
          <w:tcPr>
            <w:tcW w:w="2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Year ended June 30,</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714,197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686,009 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2,560,895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2,413,229 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46,290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185,429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192,877 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148,821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384,618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383,738 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23,716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145,132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137,526 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87,326 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17,334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21,657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62,978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58,318 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1,002,539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3,457,848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3,302,934 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68,815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72,888 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28,958 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14,258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99,468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101,846 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94,884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265,382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246,993 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33,188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109,222 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1,144,869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1,111,011 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3,945,392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3,760,995 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255,261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996,666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927,360 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79,801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310,788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306,999 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61,772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256,574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250,729 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396,834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383,095 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1,564,028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1,485,088 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117,499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457,199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438,868 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69,086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277,811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285,800 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31,998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12,074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74,584 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140,606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540,327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531,858 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768,097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739,732 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3,037,706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2,933,025 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26,813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(80,611)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(78,113)</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372,984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853,888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781,403 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117,570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171,953 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294,472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300,409 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736,318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609,450 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293,680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299,439 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733,596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605,773 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WEIGHTED AVERAGE DILUTED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126,989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128,866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137,340 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diluted EPS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EBITDA</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420,506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1,056,939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976,343 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xml:space="preserve">     </w:t>
      </w:r>
      <w:r>
        <w:rPr>
          <w:rFonts w:ascii="sans-serif" w:hAnsi="sans-serif"/>
          <w:b w:val="false"/>
          <w:color w:val="000000"/>
          <w:sz w:val="14"/>
        </w:rPr>
        <w:t>All non-GAAP measures are results from continuing operations. See "</w:t>
      </w:r>
      <w:hyperlink w:anchor="i6b2ec9b7b41043ecba7a89bc12e15e8c_22">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for a reconciliation of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798"/>
        <w:gridCol w:w="1554"/>
        <w:gridCol w:w="1560"/>
        <w:gridCol w:w="109"/>
        <w:gridCol w:w="109"/>
        <w:gridCol w:w="109"/>
        <w:gridCol w:w="392"/>
        <w:gridCol w:w="2010"/>
        <w:gridCol w:w="189"/>
        <w:gridCol w:w="189"/>
        <w:gridCol w:w="189"/>
        <w:gridCol w:w="189"/>
        <w:gridCol w:w="189"/>
        <w:gridCol w:w="109"/>
        <w:gridCol w:w="226"/>
        <w:gridCol w:w="1126"/>
        <w:gridCol w:w="158"/>
      </w:tblGrid>
      <w:tr>
        <w:trPr/>
        <w:tc>
          <w:tcPr>
            <w:tcW w:w="17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 except per share data)</w:t>
            </w:r>
          </w:p>
        </w:tc>
        <w:tc>
          <w:tcPr>
            <w:tcW w:w="1619" w:type="dxa"/>
            <w:gridSpan w:val="4"/>
            <w:tcBorders/>
          </w:tcPr>
          <w:p>
            <w:pPr>
              <w:pStyle w:val="TableContents"/>
              <w:bidi w:val="0"/>
              <w:spacing w:before="0" w:after="283"/>
              <w:jc w:val="left"/>
              <w:rPr>
                <w:sz w:val="4"/>
                <w:szCs w:val="4"/>
              </w:rPr>
            </w:pPr>
            <w:r>
              <w:rPr>
                <w:sz w:val="4"/>
                <w:szCs w:val="4"/>
              </w:rPr>
            </w:r>
          </w:p>
        </w:tc>
      </w:tr>
      <w:tr>
        <w:trPr/>
        <w:tc>
          <w:tcPr>
            <w:tcW w:w="4912"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5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4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0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958,706</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983,277 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19,195</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58,248</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89,408</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95,788 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1,125,557</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1,162,548 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141,456</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135,068</w:t>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 of 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597,641</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521,215</w:t>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266,986</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259,412 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812,543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802,053 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 and income taxes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239,745</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317,691 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72,423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3,256,351</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0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156,330</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144,046 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121,878</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107,375 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income taxes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266,184</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296,244 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349,893 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228,760</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209,203 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220,273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191,849 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993,425</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1,298,610 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1,491,493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1,143,305 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163,660</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306,134 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382,100</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322,847 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108,185</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3,138,863</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3,175,002 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no par, stated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1,538</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784,363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766,998 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(64,088)</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(47,755)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30,782</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(635,107)</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(644,052)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117,488</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88,896 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3,256,351</w:t>
            </w: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19125" cy="6096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2446"/>
        <w:gridCol w:w="2122"/>
        <w:gridCol w:w="2131"/>
        <w:gridCol w:w="109"/>
        <w:gridCol w:w="109"/>
        <w:gridCol w:w="109"/>
        <w:gridCol w:w="235"/>
        <w:gridCol w:w="999"/>
        <w:gridCol w:w="109"/>
        <w:gridCol w:w="109"/>
        <w:gridCol w:w="109"/>
        <w:gridCol w:w="109"/>
        <w:gridCol w:w="226"/>
        <w:gridCol w:w="1126"/>
        <w:gridCol w:w="157"/>
      </w:tblGrid>
      <w:tr>
        <w:trPr/>
        <w:tc>
          <w:tcPr>
            <w:tcW w:w="2446"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w:t>
            </w:r>
          </w:p>
        </w:tc>
      </w:tr>
      <w:tr>
        <w:trPr/>
        <w:tc>
          <w:tcPr>
            <w:tcW w:w="6699"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Year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6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733,596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605,773 </w:t>
            </w:r>
          </w:p>
        </w:tc>
        <w:tc>
          <w:tcPr>
            <w:tcW w:w="15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64,878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13,996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30,478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32,503 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assets and liabilities, net of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(62,247)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accrued expenses,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13,565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(23,009)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other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receivables, accrued income taxes and income tax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(97,079)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(20,613)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838,695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680,883 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(82,614)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(82,034)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made for business acquisitions,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(57,639)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(35,518)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Franchise loans 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(21,705)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from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28,097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23,786 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(124,809)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(105,373)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(2,375,000)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(1,950,000)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2,375,000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1,950,000 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346,980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(211,005)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(197,330)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of common stock, including shares 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(512,905)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(437,133)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(734,220)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(647,443)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 changes on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(decrease) in cash and cash equivalents, including restricted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(25,238)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(72,054)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1,003,139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1,075,193 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977,901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1,003,139 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SUPPLEMENTARY 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paid, net (includes payments for purchased investment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202,134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226,820 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76,728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additions to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dividends payable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52,627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50,208 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19125" cy="6096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1145"/>
        <w:gridCol w:w="958"/>
        <w:gridCol w:w="963"/>
        <w:gridCol w:w="109"/>
        <w:gridCol w:w="109"/>
        <w:gridCol w:w="109"/>
        <w:gridCol w:w="226"/>
        <w:gridCol w:w="961"/>
        <w:gridCol w:w="109"/>
        <w:gridCol w:w="109"/>
        <w:gridCol w:w="109"/>
        <w:gridCol w:w="109"/>
        <w:gridCol w:w="226"/>
        <w:gridCol w:w="946"/>
        <w:gridCol w:w="109"/>
        <w:gridCol w:w="109"/>
        <w:gridCol w:w="109"/>
        <w:gridCol w:w="109"/>
        <w:gridCol w:w="226"/>
        <w:gridCol w:w="1156"/>
        <w:gridCol w:w="109"/>
        <w:gridCol w:w="109"/>
        <w:gridCol w:w="109"/>
        <w:gridCol w:w="109"/>
        <w:gridCol w:w="226"/>
        <w:gridCol w:w="946"/>
        <w:gridCol w:w="109"/>
        <w:gridCol w:w="109"/>
        <w:gridCol w:w="109"/>
        <w:gridCol w:w="109"/>
        <w:gridCol w:w="155"/>
      </w:tblGrid>
      <w:tr>
        <w:trPr/>
        <w:tc>
          <w:tcPr>
            <w:tcW w:w="114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99CC33"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op w:val="single" w:sz="8" w:space="0" w:color="000000"/>
              <w:left w:val="single" w:sz="8" w:space="0" w:color="000000"/>
            </w:tcBorders>
            <w:shd w:fill="99CC33" w:val="clear"/>
            <w:tcMar>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066"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NON-GAAP FINANCIAL MEASURE -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shd w:fill="99CC3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293,680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733,596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294,472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300,409 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736,318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117,570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80,611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31,998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126,034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112,781 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320,621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366,893 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EBITDA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420,506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1,056,939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976,343 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tbl>
      <w:tblPr>
        <w:tblW w:w="10205" w:type="dxa"/>
        <w:jc w:val="center"/>
        <w:tblInd w:w="0" w:type="dxa"/>
        <w:tblLayout w:type="fixed"/>
        <w:tblCellMar>
          <w:top w:w="28" w:type="dxa"/>
          <w:left w:w="28" w:type="dxa"/>
          <w:bottom w:w="28" w:type="dxa"/>
          <w:right w:w="28" w:type="dxa"/>
        </w:tblCellMar>
      </w:tblPr>
      <w:tblGrid>
        <w:gridCol w:w="1216"/>
        <w:gridCol w:w="1021"/>
        <w:gridCol w:w="1024"/>
        <w:gridCol w:w="109"/>
        <w:gridCol w:w="109"/>
        <w:gridCol w:w="109"/>
        <w:gridCol w:w="226"/>
        <w:gridCol w:w="961"/>
        <w:gridCol w:w="109"/>
        <w:gridCol w:w="109"/>
        <w:gridCol w:w="109"/>
        <w:gridCol w:w="109"/>
        <w:gridCol w:w="226"/>
        <w:gridCol w:w="946"/>
        <w:gridCol w:w="109"/>
        <w:gridCol w:w="109"/>
        <w:gridCol w:w="109"/>
        <w:gridCol w:w="109"/>
        <w:gridCol w:w="226"/>
        <w:gridCol w:w="961"/>
        <w:gridCol w:w="109"/>
        <w:gridCol w:w="109"/>
        <w:gridCol w:w="109"/>
        <w:gridCol w:w="109"/>
        <w:gridCol w:w="226"/>
        <w:gridCol w:w="946"/>
        <w:gridCol w:w="109"/>
        <w:gridCol w:w="109"/>
        <w:gridCol w:w="109"/>
        <w:gridCol w:w="109"/>
        <w:gridCol w:w="155"/>
      </w:tblGrid>
      <w:tr>
        <w:trPr/>
        <w:tc>
          <w:tcPr>
            <w:tcW w:w="12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shd w:fill="99CC33"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op w:val="single" w:sz="8" w:space="0" w:color="000000"/>
              <w:left w:val="single" w:sz="8" w:space="0" w:color="000000"/>
            </w:tcBorders>
            <w:shd w:fill="99CC33" w:val="clear"/>
            <w:tcMar>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261"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xml:space="preserve">NON-GAAP FINANCIAL MEASURES - </w:t>
              <w:br/>
              <w:t>ADJUSTED NET INCOME AND ADJUSTED EPS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shd w:fill="99CC3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294,472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736,318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 related to acquisitions (pretax)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12,469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46,870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Discrete tax impact of IRS examination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(84,113)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Tax effect of adjustments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304,203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309,012 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687,956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643,258 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earnings per share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sans-serif" w:hAnsi="sans-serif"/>
          <w:b w:val="false"/>
          <w:color w:val="000000"/>
          <w:sz w:val="10"/>
        </w:rPr>
        <w:t xml:space="preserve">(1) </w:t>
      </w:r>
      <w:r>
        <w:rPr>
          <w:rFonts w:ascii="sans-serif" w:hAnsi="sans-serif"/>
          <w:b w:val="false"/>
          <w:color w:val="000000"/>
          <w:sz w:val="16"/>
        </w:rPr>
        <w:t>The tax effect of adjustments is the difference between the tax provision calculation on a GAAP basis and on an adjusted non-GAAP basis.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consider our non-GAAP financial measures to be performance measures and a useful metric for management and investors to evaluate and compare the ongoing operating performance of our business. We make adjustments for certain non-GAAP financial measures related to material discrete tax impacts of IRS examination settlements, amortization of intangibles from acquisitions and goodwill impairments. We may consider whether other significant items that arise in the future should be excluded from our non-GAAP financial measures, such as organizational restructuring initiatives and legal settlements, when such items are not indicative of our ongoing operating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measure the performance of our business using a variety of metrics, including earnings before interest, taxes, depreciation and amortization (EBITDA) from continuing operations, adjusted EBITDA from continuing operations, adjusted net income from continuing operations, and adjusted diluted earnings per share from continuing operations. We also use EBITDA from continuing operations and pretax income from continuing operations, each subject to permitted adjustments, as performance metrics in incentive compensation calculations for our employees.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3488</Words>
  <Characters>20543</Characters>
  <CharactersWithSpaces>23676</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