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center"/>
        <w:rPr>
          <w:rFonts w:ascii="sans-serif" w:hAnsi="sans-serif"/>
          <w:b/>
          <w:color w:val="000000"/>
          <w:sz w:val="20"/>
        </w:rPr>
      </w:pPr>
      <w:r>
        <w:rPr>
          <w:rFonts w:ascii="sans-serif" w:hAnsi="sans-serif"/>
          <w:b/>
          <w:color w:val="000000"/>
          <w:sz w:val="20"/>
        </w:rPr>
        <w:t>UNITED STATES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SECURITIES AND EXCHANGE COMMISSION</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Washington, D.C. 20549</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FORM 10-Q </w:t>
      </w:r>
    </w:p>
    <w:tbl>
      <w:tblPr>
        <w:tblW w:w="10205" w:type="dxa"/>
        <w:jc w:val="left"/>
        <w:tblInd w:w="0" w:type="dxa"/>
        <w:tblLayout w:type="fixed"/>
        <w:tblCellMar>
          <w:top w:w="28" w:type="dxa"/>
          <w:left w:w="28" w:type="dxa"/>
          <w:bottom w:w="28" w:type="dxa"/>
          <w:right w:w="28" w:type="dxa"/>
        </w:tblCellMar>
      </w:tblPr>
      <w:tblGrid>
        <w:gridCol w:w="148"/>
        <w:gridCol w:w="130"/>
        <w:gridCol w:w="130"/>
        <w:gridCol w:w="130"/>
        <w:gridCol w:w="130"/>
        <w:gridCol w:w="130"/>
        <w:gridCol w:w="1579"/>
        <w:gridCol w:w="1534"/>
        <w:gridCol w:w="1562"/>
        <w:gridCol w:w="1418"/>
        <w:gridCol w:w="1358"/>
        <w:gridCol w:w="1956"/>
      </w:tblGrid>
      <w:tr>
        <w:trPr/>
        <w:tc>
          <w:tcPr>
            <w:tcW w:w="1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r>
      <w:tr>
        <w:trPr/>
        <w:tc>
          <w:tcPr>
            <w:tcW w:w="54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(Mark One)</w:t>
            </w:r>
          </w:p>
        </w:tc>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QUARTERLY REPORT PURSUANT TO SECTION 13 OR 15(d) OF THE SECURITIES EXCHANGE ACT OF 1934</w:t>
            </w:r>
          </w:p>
        </w:tc>
      </w:tr>
      <w:tr>
        <w:trPr/>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For the quarterly period ended</w:t>
            </w:r>
          </w:p>
        </w:tc>
        <w:tc>
          <w:tcPr>
            <w:tcW w:w="4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20"/>
              </w:rPr>
            </w:pPr>
            <w:r>
              <w:rPr>
                <w:rFonts w:ascii="sans-serif" w:hAnsi="sans-serif"/>
                <w:b/>
                <w:color w:val="000000"/>
                <w:sz w:val="20"/>
              </w:rPr>
              <w:t>March 31,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OR</w:t>
            </w:r>
          </w:p>
        </w:tc>
      </w:tr>
      <w:tr>
        <w:trPr/>
        <w:tc>
          <w:tcPr>
            <w:tcW w:w="4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TRANSITION REPORT PURSUANT TO SECTION 13 OR 15(d) OF THE SECURITIES EXCHANGE ACT OF 1934</w:t>
            </w:r>
          </w:p>
        </w:tc>
      </w:tr>
      <w:tr>
        <w:trPr/>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 xml:space="preserve">For the transition period from to </w:t>
            </w:r>
          </w:p>
        </w:tc>
      </w:tr>
    </w:tbl>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 xml:space="preserve">Commission file number 1-06089 </w:t>
      </w:r>
    </w:p>
    <w:p>
      <w:pPr>
        <w:pStyle w:val="TextBody"/>
        <w:bidi w:val="0"/>
        <w:spacing w:before="120" w:after="283"/>
        <w:jc w:val="center"/>
        <w:rPr/>
      </w:pPr>
      <w:r>
        <w:rPr/>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 xml:space="preserve">H&amp;R Block, Inc. </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(Exact name of registrant as specified in its charter)</w:t>
      </w:r>
    </w:p>
    <w:tbl>
      <w:tblPr>
        <w:tblW w:w="4555" w:type="dxa"/>
        <w:jc w:val="left"/>
        <w:tblInd w:w="0" w:type="dxa"/>
        <w:tblLayout w:type="fixed"/>
        <w:tblCellMar>
          <w:top w:w="28" w:type="dxa"/>
          <w:left w:w="28" w:type="dxa"/>
          <w:bottom w:w="28" w:type="dxa"/>
          <w:right w:w="28" w:type="dxa"/>
        </w:tblCellMar>
      </w:tblPr>
      <w:tblGrid>
        <w:gridCol w:w="950"/>
        <w:gridCol w:w="836"/>
        <w:gridCol w:w="838"/>
        <w:gridCol w:w="109"/>
        <w:gridCol w:w="109"/>
        <w:gridCol w:w="109"/>
        <w:gridCol w:w="470"/>
        <w:gridCol w:w="470"/>
        <w:gridCol w:w="664"/>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Missouri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44-0607856</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(I.R.S. Employer</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Identification No.)</w:t>
            </w:r>
          </w:p>
        </w:tc>
      </w:tr>
    </w:tbl>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 xml:space="preserve">One H&amp;R Block Way, Kansas City, Missouri 64105 </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(Address of principal executive offices, including zip code)</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 xml:space="preserve">(816) 854-3000 </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(Registrant's telephone number, including area code)</w:t>
      </w:r>
    </w:p>
    <w:p>
      <w:pPr>
        <w:pStyle w:val="TextBody"/>
        <w:bidi w:val="0"/>
        <w:spacing w:lineRule="auto" w:line="288" w:before="60" w:after="283"/>
        <w:jc w:val="center"/>
        <w:rPr>
          <w:rFonts w:ascii="sans-serif" w:hAnsi="sans-serif"/>
          <w:b/>
          <w:color w:val="000000"/>
          <w:sz w:val="18"/>
        </w:rPr>
      </w:pPr>
      <w:r>
        <w:rPr>
          <w:rFonts w:ascii="sans-serif" w:hAnsi="sans-serif"/>
          <w:b/>
          <w:color w:val="000000"/>
          <w:sz w:val="18"/>
        </w:rPr>
        <w:t>Securities registered pursuant to Section 12(b) of the Act:</w:t>
      </w:r>
    </w:p>
    <w:tbl>
      <w:tblPr>
        <w:tblW w:w="9314" w:type="dxa"/>
        <w:jc w:val="left"/>
        <w:tblInd w:w="0" w:type="dxa"/>
        <w:tblLayout w:type="fixed"/>
        <w:tblCellMar>
          <w:top w:w="28" w:type="dxa"/>
          <w:left w:w="28" w:type="dxa"/>
          <w:bottom w:w="28" w:type="dxa"/>
          <w:right w:w="28" w:type="dxa"/>
        </w:tblCellMar>
      </w:tblPr>
      <w:tblGrid>
        <w:gridCol w:w="1160"/>
        <w:gridCol w:w="1020"/>
        <w:gridCol w:w="1030"/>
        <w:gridCol w:w="609"/>
        <w:gridCol w:w="609"/>
        <w:gridCol w:w="611"/>
        <w:gridCol w:w="1252"/>
        <w:gridCol w:w="1252"/>
        <w:gridCol w:w="1771"/>
      </w:tblGrid>
      <w:tr>
        <w:trPr/>
        <w:tc>
          <w:tcPr>
            <w:tcW w:w="11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Trading Symbol(s)</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Name of each exchange on which registered</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Common Stock, without par value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HRB</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bl>
    <w:p>
      <w:pPr>
        <w:pStyle w:val="TextBody"/>
        <w:bidi w:val="0"/>
        <w:spacing w:lineRule="auto" w:line="288" w:before="120" w:after="283"/>
        <w:jc w:val="both"/>
        <w:rPr>
          <w:rFonts w:ascii="sans-serif" w:hAnsi="sans-serif"/>
          <w:b w:val="false"/>
          <w:color w:val="000000"/>
          <w:sz w:val="18"/>
        </w:rPr>
      </w:pPr>
      <w:r>
        <w:rPr>
          <w:rFonts w:ascii="sans-serif" w:hAnsi="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283"/>
        <w:jc w:val="both"/>
        <w:rPr/>
      </w:pPr>
      <w:r>
        <w:rPr>
          <w:rFonts w:ascii="sans-serif" w:hAnsi="sans-serif"/>
          <w:b w:val="false"/>
          <w:color w:val="000000"/>
          <w:sz w:val="18"/>
        </w:rPr>
        <w:t xml:space="preserve">Yes </w:t>
      </w:r>
      <w:r>
        <w:rPr>
          <w:color w:val="000000"/>
        </w:rPr>
        <w:t>☑     </w:t>
      </w:r>
      <w:r>
        <w:rPr>
          <w:rFonts w:ascii="sans-serif" w:hAnsi="sans-serif"/>
          <w:b w:val="false"/>
          <w:color w:val="000000"/>
          <w:sz w:val="18"/>
        </w:rPr>
        <w:t xml:space="preserve">No </w:t>
      </w:r>
      <w:r>
        <w:rPr>
          <w:color w:val="000000"/>
        </w:rPr>
        <w:t>☐</w:t>
      </w:r>
    </w:p>
    <w:p>
      <w:pPr>
        <w:pStyle w:val="TextBody"/>
        <w:bidi w:val="0"/>
        <w:spacing w:lineRule="auto" w:line="288" w:before="120" w:after="283"/>
        <w:jc w:val="both"/>
        <w:rPr>
          <w:rFonts w:ascii="sans-serif" w:hAnsi="sans-serif"/>
          <w:b w:val="false"/>
          <w:color w:val="000000"/>
          <w:sz w:val="18"/>
        </w:rPr>
      </w:pPr>
      <w:r>
        <w:rPr>
          <w:rFonts w:ascii="sans-serif" w:hAnsi="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60" w:after="283"/>
        <w:jc w:val="both"/>
        <w:rPr/>
      </w:pPr>
      <w:r>
        <w:rPr>
          <w:rFonts w:ascii="sans-serif" w:hAnsi="sans-serif"/>
          <w:b w:val="false"/>
          <w:color w:val="000000"/>
          <w:sz w:val="18"/>
        </w:rPr>
        <w:t xml:space="preserve">Yes </w:t>
      </w:r>
      <w:r>
        <w:rPr>
          <w:color w:val="000000"/>
        </w:rPr>
        <w:t>☑     </w:t>
      </w:r>
      <w:r>
        <w:rPr>
          <w:rFonts w:ascii="sans-serif" w:hAnsi="sans-serif"/>
          <w:b w:val="false"/>
          <w:color w:val="000000"/>
          <w:sz w:val="18"/>
        </w:rPr>
        <w:t xml:space="preserve">No </w:t>
      </w:r>
      <w:r>
        <w:rPr>
          <w:color w:val="000000"/>
        </w:rPr>
        <w:t>☐</w:t>
      </w:r>
    </w:p>
    <w:p>
      <w:pPr>
        <w:pStyle w:val="TextBody"/>
        <w:bidi w:val="0"/>
        <w:spacing w:lineRule="auto" w:line="288" w:before="120" w:after="283"/>
        <w:jc w:val="both"/>
        <w:rPr>
          <w:rFonts w:ascii="sans-serif" w:hAnsi="sans-serif"/>
          <w:b w:val="false"/>
          <w:color w:val="000000"/>
          <w:sz w:val="18"/>
        </w:rPr>
      </w:pPr>
      <w:r>
        <w:rPr>
          <w:rFonts w:ascii="sans-serif" w:hAnsi="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lineRule="auto" w:line="288" w:before="120" w:after="283"/>
        <w:jc w:val="both"/>
        <w:rPr/>
      </w:pPr>
      <w:r>
        <w:rPr>
          <w:rFonts w:ascii="sans-serif" w:hAnsi="sans-serif"/>
          <w:b w:val="false"/>
          <w:color w:val="000000"/>
          <w:sz w:val="15"/>
        </w:rPr>
        <w:t xml:space="preserve">Large accelerated filer </w:t>
      </w:r>
      <w:r>
        <w:rPr>
          <w:color w:val="000000"/>
        </w:rPr>
        <w:t>☑           </w:t>
      </w:r>
      <w:r>
        <w:rPr>
          <w:rFonts w:ascii="sans-serif" w:hAnsi="sans-serif"/>
          <w:b w:val="false"/>
          <w:color w:val="000000"/>
          <w:sz w:val="15"/>
        </w:rPr>
        <w:t xml:space="preserve">Accelerated filer </w:t>
      </w:r>
      <w:r>
        <w:rPr>
          <w:color w:val="000000"/>
        </w:rPr>
        <w:t xml:space="preserve">☐         </w:t>
      </w:r>
      <w:r>
        <w:rPr>
          <w:rFonts w:ascii="sans-serif" w:hAnsi="sans-serif"/>
          <w:b w:val="false"/>
          <w:color w:val="000000"/>
          <w:sz w:val="15"/>
        </w:rPr>
        <w:t xml:space="preserve">Non-accelerated filer </w:t>
      </w:r>
      <w:r>
        <w:rPr>
          <w:color w:val="000000"/>
        </w:rPr>
        <w:t xml:space="preserve">☐          </w:t>
      </w:r>
      <w:r>
        <w:rPr>
          <w:rFonts w:ascii="sans-serif" w:hAnsi="sans-serif"/>
          <w:b w:val="false"/>
          <w:color w:val="000000"/>
          <w:sz w:val="15"/>
        </w:rPr>
        <w:t>Smaller reporting company </w:t>
      </w:r>
      <w:r>
        <w:rPr>
          <w:color w:val="000000"/>
        </w:rPr>
        <w:t xml:space="preserve">☐ </w:t>
      </w:r>
      <w:r>
        <w:rPr>
          <w:rFonts w:ascii="sans-serif" w:hAnsi="sans-serif"/>
          <w:b w:val="false"/>
          <w:color w:val="000000"/>
          <w:sz w:val="15"/>
        </w:rPr>
        <w:t xml:space="preserve">Emerging growth company </w:t>
      </w:r>
      <w:r>
        <w:rPr>
          <w:color w:val="00000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60" w:after="283"/>
        <w:jc w:val="both"/>
        <w:rPr/>
      </w:pPr>
      <w:r>
        <w:rPr>
          <w:rFonts w:ascii="sans-serif" w:hAnsi="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rFonts w:ascii="sans-serif" w:hAnsi="sans-serif"/>
          <w:b w:val="false"/>
          <w:color w:val="000000"/>
          <w:sz w:val="18"/>
        </w:rPr>
      </w:pPr>
      <w:r>
        <w:rPr>
          <w:rFonts w:ascii="sans-serif" w:hAnsi="sans-serif"/>
          <w:b w:val="false"/>
          <w:color w:val="000000"/>
          <w:sz w:val="18"/>
        </w:rPr>
        <w:t xml:space="preserve">Indicate by check mark whether the registrant is a shell company (as defined in Rule 12b-2 of the Exchange Act). </w:t>
      </w:r>
    </w:p>
    <w:p>
      <w:pPr>
        <w:pStyle w:val="TextBody"/>
        <w:bidi w:val="0"/>
        <w:spacing w:lineRule="auto" w:line="288" w:before="60" w:after="283"/>
        <w:jc w:val="both"/>
        <w:rPr/>
      </w:pPr>
      <w:r>
        <w:rPr>
          <w:rFonts w:ascii="sans-serif" w:hAnsi="sans-serif"/>
          <w:b w:val="false"/>
          <w:color w:val="000000"/>
          <w:sz w:val="18"/>
        </w:rPr>
        <w:t xml:space="preserve">Yes </w:t>
      </w:r>
      <w:r>
        <w:rPr>
          <w:color w:val="000000"/>
        </w:rPr>
        <w:t>☐    </w:t>
      </w:r>
      <w:r>
        <w:rPr>
          <w:rFonts w:ascii="sans-serif" w:hAnsi="sans-serif"/>
          <w:b w:val="false"/>
          <w:color w:val="000000"/>
          <w:sz w:val="18"/>
        </w:rPr>
        <w:t>No  </w:t>
      </w:r>
      <w:r>
        <w:rPr>
          <w:color w:val="000000"/>
        </w:rPr>
        <w:t>☑</w:t>
      </w:r>
    </w:p>
    <w:p>
      <w:pPr>
        <w:pStyle w:val="TextBody"/>
        <w:bidi w:val="0"/>
        <w:spacing w:lineRule="auto" w:line="288" w:before="120" w:after="120"/>
        <w:jc w:val="both"/>
        <w:rPr>
          <w:rFonts w:ascii="sans-serif" w:hAnsi="sans-serif"/>
          <w:b w:val="false"/>
          <w:color w:val="000000"/>
          <w:sz w:val="18"/>
        </w:rPr>
      </w:pPr>
      <w:r>
        <w:rPr>
          <w:rFonts w:ascii="sans-serif" w:hAnsi="sans-serif"/>
          <w:b w:val="false"/>
          <w:color w:val="000000"/>
          <w:sz w:val="18"/>
        </w:rPr>
        <w:t>The number of shares outstanding of the registrant's Common Stock, without par value, at the close of business on April 30, 2025: 133,880,414 shares.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before="100" w:after="283"/>
        <w:jc w:val="center"/>
        <w:rPr/>
      </w:pPr>
      <w:r>
        <w:rPr/>
      </w:r>
    </w:p>
    <w:p>
      <w:pPr>
        <w:pStyle w:val="TextBody"/>
        <w:bidi w:val="0"/>
        <w:spacing w:lineRule="auto" w:line="288" w:before="100" w:after="283"/>
        <w:jc w:val="center"/>
        <w:rPr>
          <w:rFonts w:ascii="sans-serif" w:hAnsi="sans-serif"/>
          <w:b/>
          <w:color w:val="000000"/>
          <w:sz w:val="24"/>
        </w:rPr>
      </w:pPr>
      <w:r>
        <w:rPr>
          <w:rFonts w:ascii="sans-serif" w:hAnsi="sans-serif"/>
          <w:b/>
          <w:color w:val="000000"/>
          <w:sz w:val="24"/>
        </w:rPr>
        <w:t xml:space="preserve">Form 10-Q for the Period ended March 31, 2025 </w:t>
      </w:r>
    </w:p>
    <w:p>
      <w:pPr>
        <w:pStyle w:val="TextBody"/>
        <w:bidi w:val="0"/>
        <w:spacing w:lineRule="auto" w:line="288" w:before="120" w:after="283"/>
        <w:jc w:val="center"/>
        <w:rPr>
          <w:rFonts w:ascii="sans-serif" w:hAnsi="sans-serif"/>
          <w:b/>
          <w:color w:val="000000"/>
          <w:sz w:val="24"/>
        </w:rPr>
      </w:pPr>
      <w:r>
        <w:rPr>
          <w:rFonts w:ascii="sans-serif" w:hAnsi="sans-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412"/>
        <w:gridCol w:w="363"/>
        <w:gridCol w:w="366"/>
        <w:gridCol w:w="2863"/>
        <w:gridCol w:w="2863"/>
        <w:gridCol w:w="2885"/>
        <w:gridCol w:w="132"/>
        <w:gridCol w:w="132"/>
        <w:gridCol w:w="189"/>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10">
              <w:r>
                <w:rPr>
                  <w:rStyle w:val="InternetLink"/>
                  <w:rFonts w:ascii="sans-serif" w:hAnsi="sans-serif"/>
                  <w:b/>
                  <w:strike w:val="false"/>
                  <w:dstrike w:val="false"/>
                  <w:color w:val="000000"/>
                  <w:sz w:val="24"/>
                  <w:u w:val="none"/>
                  <w:effect w:val="none"/>
                </w:rPr>
                <w:t>PART I</w:t>
              </w:r>
            </w:hyperlink>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13">
              <w:r>
                <w:rPr>
                  <w:rStyle w:val="InternetLink"/>
                  <w:rFonts w:ascii="sans-serif" w:hAnsi="sans-serif"/>
                  <w:b w:val="false"/>
                  <w:color w:val="0000FF"/>
                  <w:sz w:val="24"/>
                  <w:u w:val="single"/>
                </w:rPr>
                <w:t>Item 1.</w:t>
              </w:r>
            </w:hyperlink>
          </w:p>
        </w:tc>
        <w:tc>
          <w:tcPr>
            <w:tcW w:w="8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59b23a2756a49d68fc721e4261fd2a6_16">
              <w:r>
                <w:rPr>
                  <w:rStyle w:val="InternetLink"/>
                  <w:rFonts w:ascii="sans-serif" w:hAnsi="sans-serif"/>
                  <w:b w:val="false"/>
                  <w:color w:val="0000FF"/>
                  <w:sz w:val="24"/>
                  <w:u w:val="single"/>
                </w:rPr>
                <w:t>Consolidated Statements of Operations and Comprehensive Income</w:t>
              </w:r>
            </w:hyperlink>
          </w:p>
          <w:p>
            <w:pPr>
              <w:pStyle w:val="TableContents"/>
              <w:bidi w:val="0"/>
              <w:spacing w:lineRule="auto" w:line="240" w:before="0" w:after="0"/>
              <w:ind w:left="0" w:right="0" w:hanging="270"/>
              <w:jc w:val="left"/>
              <w:rPr/>
            </w:pPr>
            <w:r>
              <w:rPr>
                <w:color w:val="000000"/>
              </w:rPr>
              <w:t>    </w:t>
            </w:r>
            <w:hyperlink w:anchor="i359b23a2756a49d68fc721e4261fd2a6_16">
              <w:r>
                <w:rPr>
                  <w:rStyle w:val="InternetLink"/>
                  <w:rFonts w:ascii="sans-serif" w:hAnsi="sans-serif"/>
                  <w:b w:val="false"/>
                  <w:color w:val="0000FF"/>
                  <w:sz w:val="24"/>
                  <w:u w:val="single"/>
                </w:rPr>
                <w:t>Three and nine months ended March 31, 2025 and 2024</w:t>
              </w:r>
            </w:hyperlink>
          </w:p>
        </w:tc>
        <w:tc>
          <w:tcPr>
            <w:tcW w:w="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13">
              <w:r>
                <w:rPr>
                  <w:rStyle w:val="InternetLink"/>
                  <w:rFonts w:ascii="sans-serif" w:hAnsi="sans-serif"/>
                  <w:b w:val="false"/>
                  <w:color w:val="0000FF"/>
                  <w:sz w:val="24"/>
                  <w:u w:val="single"/>
                </w:rPr>
                <w:t>1</w:t>
              </w:r>
            </w:hyperlink>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59b23a2756a49d68fc721e4261fd2a6_19">
              <w:r>
                <w:rPr>
                  <w:rStyle w:val="InternetLink"/>
                  <w:rFonts w:ascii="sans-serif" w:hAnsi="sans-serif"/>
                  <w:b w:val="false"/>
                  <w:color w:val="0000FF"/>
                  <w:sz w:val="24"/>
                  <w:u w:val="single"/>
                </w:rPr>
                <w:t xml:space="preserve">Consolidated Balance Sheets </w:t>
              </w:r>
            </w:hyperlink>
          </w:p>
          <w:p>
            <w:pPr>
              <w:pStyle w:val="TableContents"/>
              <w:bidi w:val="0"/>
              <w:spacing w:lineRule="auto" w:line="240" w:before="0" w:after="0"/>
              <w:ind w:left="0" w:right="0" w:hanging="270"/>
              <w:jc w:val="left"/>
              <w:rPr/>
            </w:pPr>
            <w:r>
              <w:rPr>
                <w:color w:val="000000"/>
              </w:rPr>
              <w:t>         </w:t>
            </w:r>
            <w:hyperlink w:anchor="i359b23a2756a49d68fc721e4261fd2a6_19">
              <w:r>
                <w:rPr>
                  <w:rStyle w:val="InternetLink"/>
                  <w:rFonts w:ascii="sans-serif" w:hAnsi="sans-serif"/>
                  <w:b w:val="false"/>
                  <w:color w:val="0000FF"/>
                  <w:sz w:val="24"/>
                  <w:u w:val="single"/>
                </w:rPr>
                <w:t>As of March 31, 2025 and June 30, 2024</w:t>
              </w:r>
            </w:hyperlink>
          </w:p>
        </w:tc>
        <w:tc>
          <w:tcPr>
            <w:tcW w:w="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19">
              <w:r>
                <w:rPr>
                  <w:rStyle w:val="InternetLink"/>
                  <w:rFonts w:ascii="sans-serif" w:hAnsi="sans-serif"/>
                  <w:b w:val="false"/>
                  <w:color w:val="0000FF"/>
                  <w:sz w:val="24"/>
                  <w:u w:val="single"/>
                </w:rPr>
                <w:t>2</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59b23a2756a49d68fc721e4261fd2a6_25">
              <w:r>
                <w:rPr>
                  <w:rStyle w:val="InternetLink"/>
                  <w:rFonts w:ascii="sans-serif" w:hAnsi="sans-serif"/>
                  <w:b w:val="false"/>
                  <w:color w:val="0000FF"/>
                  <w:sz w:val="24"/>
                  <w:u w:val="single"/>
                </w:rPr>
                <w:t xml:space="preserve">Consolidated Statements of Cash Flows </w:t>
              </w:r>
            </w:hyperlink>
          </w:p>
          <w:p>
            <w:pPr>
              <w:pStyle w:val="TableContents"/>
              <w:bidi w:val="0"/>
              <w:spacing w:lineRule="auto" w:line="240" w:before="0" w:after="0"/>
              <w:ind w:left="0" w:right="0" w:hanging="270"/>
              <w:jc w:val="left"/>
              <w:rPr/>
            </w:pPr>
            <w:r>
              <w:rPr>
                <w:color w:val="000000"/>
              </w:rPr>
              <w:t>    </w:t>
            </w:r>
            <w:hyperlink w:anchor="i359b23a2756a49d68fc721e4261fd2a6_25">
              <w:r>
                <w:rPr>
                  <w:rStyle w:val="InternetLink"/>
                  <w:rFonts w:ascii="sans-serif" w:hAnsi="sans-serif"/>
                  <w:b w:val="false"/>
                  <w:color w:val="0000FF"/>
                  <w:sz w:val="24"/>
                  <w:u w:val="single"/>
                </w:rPr>
                <w:t>Nine months ended March 31, 2025 and 2024</w:t>
              </w:r>
            </w:hyperlink>
          </w:p>
        </w:tc>
        <w:tc>
          <w:tcPr>
            <w:tcW w:w="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25">
              <w:r>
                <w:rPr>
                  <w:rStyle w:val="InternetLink"/>
                  <w:rFonts w:ascii="sans-serif" w:hAnsi="sans-serif"/>
                  <w:b w:val="false"/>
                  <w:color w:val="0000FF"/>
                  <w:sz w:val="24"/>
                  <w:u w:val="single"/>
                </w:rPr>
                <w:t>3</w:t>
              </w:r>
            </w:hyperlink>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59b23a2756a49d68fc721e4261fd2a6_28">
              <w:r>
                <w:rPr>
                  <w:rStyle w:val="InternetLink"/>
                  <w:rFonts w:ascii="sans-serif" w:hAnsi="sans-serif"/>
                  <w:b w:val="false"/>
                  <w:color w:val="0000FF"/>
                  <w:sz w:val="24"/>
                  <w:u w:val="single"/>
                </w:rPr>
                <w:t xml:space="preserve">Consolidated Statements of Stockholders' Equity </w:t>
              </w:r>
            </w:hyperlink>
          </w:p>
          <w:p>
            <w:pPr>
              <w:pStyle w:val="TableContents"/>
              <w:bidi w:val="0"/>
              <w:spacing w:lineRule="auto" w:line="240" w:before="0" w:after="0"/>
              <w:ind w:left="0" w:right="0" w:hanging="180"/>
              <w:jc w:val="left"/>
              <w:rPr/>
            </w:pPr>
            <w:r>
              <w:rPr>
                <w:color w:val="000000"/>
              </w:rPr>
              <w:t>    </w:t>
            </w:r>
            <w:hyperlink w:anchor="i359b23a2756a49d68fc721e4261fd2a6_28">
              <w:r>
                <w:rPr>
                  <w:rStyle w:val="InternetLink"/>
                  <w:rFonts w:ascii="sans-serif" w:hAnsi="sans-serif"/>
                  <w:b w:val="false"/>
                  <w:color w:val="0000FF"/>
                  <w:sz w:val="24"/>
                  <w:u w:val="single"/>
                </w:rPr>
                <w:t>Three and nine months ended March 31, 2025 and 2024</w:t>
              </w:r>
            </w:hyperlink>
          </w:p>
        </w:tc>
        <w:tc>
          <w:tcPr>
            <w:tcW w:w="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28">
              <w:r>
                <w:rPr>
                  <w:rStyle w:val="InternetLink"/>
                  <w:rFonts w:ascii="sans-serif" w:hAnsi="sans-serif"/>
                  <w:b w:val="false"/>
                  <w:color w:val="0000FF"/>
                  <w:sz w:val="24"/>
                  <w:u w:val="single"/>
                </w:rPr>
                <w:t>4</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31">
              <w:r>
                <w:rPr>
                  <w:rStyle w:val="InternetLink"/>
                  <w:rFonts w:ascii="sans-serif" w:hAnsi="sans-serif"/>
                  <w:b w:val="false"/>
                  <w:color w:val="0000FF"/>
                  <w:sz w:val="24"/>
                  <w:u w:val="single"/>
                </w:rPr>
                <w:t>Notes to Consolidated Financial Statements</w:t>
              </w:r>
            </w:hyperlink>
          </w:p>
        </w:tc>
        <w:tc>
          <w:tcPr>
            <w:tcW w:w="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31">
              <w:r>
                <w:rPr>
                  <w:rStyle w:val="InternetLink"/>
                  <w:rFonts w:ascii="sans-serif" w:hAnsi="sans-serif"/>
                  <w:b w:val="false"/>
                  <w:color w:val="0000FF"/>
                  <w:sz w:val="24"/>
                  <w:u w:val="single"/>
                </w:rPr>
                <w:t>6</w:t>
              </w:r>
            </w:hyperlink>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64">
              <w:r>
                <w:rPr>
                  <w:rStyle w:val="InternetLink"/>
                  <w:rFonts w:ascii="sans-serif" w:hAnsi="sans-serif"/>
                  <w:b w:val="false"/>
                  <w:color w:val="0000FF"/>
                  <w:sz w:val="24"/>
                  <w:u w:val="single"/>
                </w:rPr>
                <w:t>Item 2.</w:t>
              </w:r>
            </w:hyperlink>
          </w:p>
        </w:tc>
        <w:tc>
          <w:tcPr>
            <w:tcW w:w="8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59b23a2756a49d68fc721e4261fd2a6_64">
              <w:r>
                <w:rPr>
                  <w:rStyle w:val="InternetLink"/>
                  <w:rFonts w:ascii="sans-serif" w:hAnsi="sans-serif"/>
                  <w:b w:val="false"/>
                  <w:color w:val="0000FF"/>
                  <w:sz w:val="24"/>
                  <w:u w:val="single"/>
                </w:rPr>
                <w:t>Management's Discussion and Analysis of Financial Condition and Results of Operations</w:t>
              </w:r>
            </w:hyperlink>
          </w:p>
        </w:tc>
        <w:tc>
          <w:tcPr>
            <w:tcW w:w="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64">
              <w:r>
                <w:rPr>
                  <w:rStyle w:val="InternetLink"/>
                  <w:rFonts w:ascii="sans-serif" w:hAnsi="sans-serif"/>
                  <w:b w:val="false"/>
                  <w:color w:val="0000FF"/>
                  <w:sz w:val="24"/>
                  <w:u w:val="single"/>
                </w:rPr>
                <w:t>15</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88">
              <w:r>
                <w:rPr>
                  <w:rStyle w:val="InternetLink"/>
                  <w:rFonts w:ascii="sans-serif" w:hAnsi="sans-serif"/>
                  <w:b w:val="false"/>
                  <w:color w:val="0000FF"/>
                  <w:sz w:val="24"/>
                  <w:u w:val="single"/>
                </w:rPr>
                <w:t>Item 3.</w:t>
              </w:r>
            </w:hyperlink>
          </w:p>
        </w:tc>
        <w:tc>
          <w:tcPr>
            <w:tcW w:w="8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88">
              <w:r>
                <w:rPr>
                  <w:rStyle w:val="InternetLink"/>
                  <w:rFonts w:ascii="sans-serif" w:hAnsi="sans-serif"/>
                  <w:b w:val="false"/>
                  <w:color w:val="0000FF"/>
                  <w:sz w:val="24"/>
                  <w:u w:val="single"/>
                </w:rPr>
                <w:t>Quantitative and Qualitative Disclosures About Market Risk</w:t>
              </w:r>
            </w:hyperlink>
          </w:p>
        </w:tc>
        <w:tc>
          <w:tcPr>
            <w:tcW w:w="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88">
              <w:r>
                <w:rPr>
                  <w:rStyle w:val="InternetLink"/>
                  <w:rFonts w:ascii="sans-serif" w:hAnsi="sans-serif"/>
                  <w:b w:val="false"/>
                  <w:color w:val="0000FF"/>
                  <w:sz w:val="24"/>
                  <w:u w:val="single"/>
                </w:rPr>
                <w:t>24</w:t>
              </w:r>
            </w:hyperlink>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91">
              <w:r>
                <w:rPr>
                  <w:rStyle w:val="InternetLink"/>
                  <w:rFonts w:ascii="sans-serif" w:hAnsi="sans-serif"/>
                  <w:b w:val="false"/>
                  <w:color w:val="0000FF"/>
                  <w:sz w:val="24"/>
                  <w:u w:val="single"/>
                </w:rPr>
                <w:t>Item 4.</w:t>
              </w:r>
            </w:hyperlink>
          </w:p>
        </w:tc>
        <w:tc>
          <w:tcPr>
            <w:tcW w:w="8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91">
              <w:r>
                <w:rPr>
                  <w:rStyle w:val="InternetLink"/>
                  <w:rFonts w:ascii="sans-serif" w:hAnsi="sans-serif"/>
                  <w:b w:val="false"/>
                  <w:color w:val="0000FF"/>
                  <w:sz w:val="24"/>
                  <w:u w:val="single"/>
                </w:rPr>
                <w:t>Controls and Procedures</w:t>
              </w:r>
            </w:hyperlink>
          </w:p>
        </w:tc>
        <w:tc>
          <w:tcPr>
            <w:tcW w:w="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91">
              <w:r>
                <w:rPr>
                  <w:rStyle w:val="InternetLink"/>
                  <w:rFonts w:ascii="sans-serif" w:hAnsi="sans-serif"/>
                  <w:b w:val="false"/>
                  <w:color w:val="0000FF"/>
                  <w:sz w:val="24"/>
                  <w:u w:val="single"/>
                </w:rPr>
                <w:t>24</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94">
              <w:r>
                <w:rPr>
                  <w:rStyle w:val="InternetLink"/>
                  <w:rFonts w:ascii="sans-serif" w:hAnsi="sans-serif"/>
                  <w:b/>
                  <w:strike w:val="false"/>
                  <w:dstrike w:val="false"/>
                  <w:color w:val="000000"/>
                  <w:sz w:val="24"/>
                  <w:u w:val="none"/>
                  <w:effect w:val="none"/>
                </w:rPr>
                <w:t>PART II</w:t>
              </w:r>
            </w:hyperlink>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97">
              <w:r>
                <w:rPr>
                  <w:rStyle w:val="InternetLink"/>
                  <w:rFonts w:ascii="sans-serif" w:hAnsi="sans-serif"/>
                  <w:b w:val="false"/>
                  <w:color w:val="0000FF"/>
                  <w:sz w:val="24"/>
                  <w:u w:val="single"/>
                </w:rPr>
                <w:t>Item 1.</w:t>
              </w:r>
            </w:hyperlink>
          </w:p>
        </w:tc>
        <w:tc>
          <w:tcPr>
            <w:tcW w:w="8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97">
              <w:r>
                <w:rPr>
                  <w:rStyle w:val="InternetLink"/>
                  <w:rFonts w:ascii="sans-serif" w:hAnsi="sans-serif"/>
                  <w:b w:val="false"/>
                  <w:color w:val="0000FF"/>
                  <w:sz w:val="24"/>
                  <w:u w:val="single"/>
                </w:rPr>
                <w:t>Legal Proceedings</w:t>
              </w:r>
            </w:hyperlink>
          </w:p>
        </w:tc>
        <w:tc>
          <w:tcPr>
            <w:tcW w:w="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97">
              <w:r>
                <w:rPr>
                  <w:rStyle w:val="InternetLink"/>
                  <w:rFonts w:ascii="sans-serif" w:hAnsi="sans-serif"/>
                  <w:b w:val="false"/>
                  <w:color w:val="0000FF"/>
                  <w:sz w:val="24"/>
                  <w:u w:val="single"/>
                </w:rPr>
                <w:t>24</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100">
              <w:r>
                <w:rPr>
                  <w:rStyle w:val="InternetLink"/>
                  <w:rFonts w:ascii="sans-serif" w:hAnsi="sans-serif"/>
                  <w:b w:val="false"/>
                  <w:color w:val="0000FF"/>
                  <w:sz w:val="24"/>
                  <w:u w:val="single"/>
                </w:rPr>
                <w:t>Item 1A.</w:t>
              </w:r>
            </w:hyperlink>
          </w:p>
        </w:tc>
        <w:tc>
          <w:tcPr>
            <w:tcW w:w="8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100">
              <w:r>
                <w:rPr>
                  <w:rStyle w:val="InternetLink"/>
                  <w:rFonts w:ascii="sans-serif" w:hAnsi="sans-serif"/>
                  <w:b w:val="false"/>
                  <w:color w:val="0000FF"/>
                  <w:sz w:val="24"/>
                  <w:u w:val="single"/>
                </w:rPr>
                <w:t>Risk Factors</w:t>
              </w:r>
            </w:hyperlink>
          </w:p>
        </w:tc>
        <w:tc>
          <w:tcPr>
            <w:tcW w:w="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100">
              <w:r>
                <w:rPr>
                  <w:rStyle w:val="InternetLink"/>
                  <w:rFonts w:ascii="sans-serif" w:hAnsi="sans-serif"/>
                  <w:b w:val="false"/>
                  <w:color w:val="0000FF"/>
                  <w:sz w:val="24"/>
                  <w:u w:val="single"/>
                </w:rPr>
                <w:t>24</w:t>
              </w:r>
            </w:hyperlink>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103">
              <w:r>
                <w:rPr>
                  <w:rStyle w:val="InternetLink"/>
                  <w:rFonts w:ascii="sans-serif" w:hAnsi="sans-serif"/>
                  <w:b w:val="false"/>
                  <w:color w:val="0000FF"/>
                  <w:sz w:val="24"/>
                  <w:u w:val="single"/>
                </w:rPr>
                <w:t>Item 2.</w:t>
              </w:r>
            </w:hyperlink>
          </w:p>
        </w:tc>
        <w:tc>
          <w:tcPr>
            <w:tcW w:w="8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103">
              <w:r>
                <w:rPr>
                  <w:rStyle w:val="InternetLink"/>
                  <w:rFonts w:ascii="sans-serif" w:hAnsi="sans-serif"/>
                  <w:b w:val="false"/>
                  <w:color w:val="0000FF"/>
                  <w:sz w:val="24"/>
                  <w:u w:val="single"/>
                </w:rPr>
                <w:t>Unregistered Sales of Equity Securities and Use of Proceeds</w:t>
              </w:r>
            </w:hyperlink>
          </w:p>
        </w:tc>
        <w:tc>
          <w:tcPr>
            <w:tcW w:w="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103">
              <w:r>
                <w:rPr>
                  <w:rStyle w:val="InternetLink"/>
                  <w:rFonts w:ascii="sans-serif" w:hAnsi="sans-serif"/>
                  <w:b w:val="false"/>
                  <w:color w:val="0000FF"/>
                  <w:sz w:val="24"/>
                  <w:u w:val="single"/>
                </w:rPr>
                <w:t>25</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106">
              <w:r>
                <w:rPr>
                  <w:rStyle w:val="InternetLink"/>
                  <w:rFonts w:ascii="sans-serif" w:hAnsi="sans-serif"/>
                  <w:b w:val="false"/>
                  <w:color w:val="0000FF"/>
                  <w:sz w:val="24"/>
                  <w:u w:val="single"/>
                </w:rPr>
                <w:t>Item 3.</w:t>
              </w:r>
            </w:hyperlink>
          </w:p>
        </w:tc>
        <w:tc>
          <w:tcPr>
            <w:tcW w:w="8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106">
              <w:r>
                <w:rPr>
                  <w:rStyle w:val="InternetLink"/>
                  <w:rFonts w:ascii="sans-serif" w:hAnsi="sans-serif"/>
                  <w:b w:val="false"/>
                  <w:color w:val="0000FF"/>
                  <w:sz w:val="24"/>
                  <w:u w:val="single"/>
                </w:rPr>
                <w:t>Defaults Upon Senior Securities</w:t>
              </w:r>
            </w:hyperlink>
          </w:p>
        </w:tc>
        <w:tc>
          <w:tcPr>
            <w:tcW w:w="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106">
              <w:r>
                <w:rPr>
                  <w:rStyle w:val="InternetLink"/>
                  <w:rFonts w:ascii="sans-serif" w:hAnsi="sans-serif"/>
                  <w:b w:val="false"/>
                  <w:color w:val="0000FF"/>
                  <w:sz w:val="24"/>
                  <w:u w:val="single"/>
                </w:rPr>
                <w:t>25</w:t>
              </w:r>
            </w:hyperlink>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109">
              <w:r>
                <w:rPr>
                  <w:rStyle w:val="InternetLink"/>
                  <w:rFonts w:ascii="sans-serif" w:hAnsi="sans-serif"/>
                  <w:b w:val="false"/>
                  <w:color w:val="0000FF"/>
                  <w:sz w:val="24"/>
                  <w:u w:val="single"/>
                </w:rPr>
                <w:t>Item 4.</w:t>
              </w:r>
            </w:hyperlink>
          </w:p>
        </w:tc>
        <w:tc>
          <w:tcPr>
            <w:tcW w:w="8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109">
              <w:r>
                <w:rPr>
                  <w:rStyle w:val="InternetLink"/>
                  <w:rFonts w:ascii="sans-serif" w:hAnsi="sans-serif"/>
                  <w:b w:val="false"/>
                  <w:color w:val="0000FF"/>
                  <w:sz w:val="24"/>
                  <w:u w:val="single"/>
                </w:rPr>
                <w:t>Mine Safety Disclosures</w:t>
              </w:r>
            </w:hyperlink>
          </w:p>
        </w:tc>
        <w:tc>
          <w:tcPr>
            <w:tcW w:w="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109">
              <w:r>
                <w:rPr>
                  <w:rStyle w:val="InternetLink"/>
                  <w:rFonts w:ascii="sans-serif" w:hAnsi="sans-serif"/>
                  <w:b w:val="false"/>
                  <w:color w:val="0000FF"/>
                  <w:sz w:val="24"/>
                  <w:u w:val="single"/>
                </w:rPr>
                <w:t>25</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112">
              <w:r>
                <w:rPr>
                  <w:rStyle w:val="InternetLink"/>
                  <w:rFonts w:ascii="sans-serif" w:hAnsi="sans-serif"/>
                  <w:b w:val="false"/>
                  <w:color w:val="0000FF"/>
                  <w:sz w:val="24"/>
                  <w:u w:val="single"/>
                </w:rPr>
                <w:t>Item 5.</w:t>
              </w:r>
            </w:hyperlink>
          </w:p>
        </w:tc>
        <w:tc>
          <w:tcPr>
            <w:tcW w:w="8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112">
              <w:r>
                <w:rPr>
                  <w:rStyle w:val="InternetLink"/>
                  <w:rFonts w:ascii="sans-serif" w:hAnsi="sans-serif"/>
                  <w:b w:val="false"/>
                  <w:color w:val="0000FF"/>
                  <w:sz w:val="24"/>
                  <w:u w:val="single"/>
                </w:rPr>
                <w:t>Other Information</w:t>
              </w:r>
            </w:hyperlink>
          </w:p>
        </w:tc>
        <w:tc>
          <w:tcPr>
            <w:tcW w:w="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112">
              <w:r>
                <w:rPr>
                  <w:rStyle w:val="InternetLink"/>
                  <w:rFonts w:ascii="sans-serif" w:hAnsi="sans-serif"/>
                  <w:b w:val="false"/>
                  <w:color w:val="0000FF"/>
                  <w:sz w:val="24"/>
                  <w:u w:val="single"/>
                </w:rPr>
                <w:t>25</w:t>
              </w:r>
            </w:hyperlink>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115">
              <w:r>
                <w:rPr>
                  <w:rStyle w:val="InternetLink"/>
                  <w:rFonts w:ascii="sans-serif" w:hAnsi="sans-serif"/>
                  <w:b w:val="false"/>
                  <w:color w:val="0000FF"/>
                  <w:sz w:val="24"/>
                  <w:u w:val="single"/>
                </w:rPr>
                <w:t>Item 6.</w:t>
              </w:r>
            </w:hyperlink>
          </w:p>
        </w:tc>
        <w:tc>
          <w:tcPr>
            <w:tcW w:w="8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115">
              <w:r>
                <w:rPr>
                  <w:rStyle w:val="InternetLink"/>
                  <w:rFonts w:ascii="sans-serif" w:hAnsi="sans-serif"/>
                  <w:b w:val="false"/>
                  <w:color w:val="0000FF"/>
                  <w:sz w:val="24"/>
                  <w:u w:val="single"/>
                </w:rPr>
                <w:t>Exhibits</w:t>
              </w:r>
            </w:hyperlink>
          </w:p>
        </w:tc>
        <w:tc>
          <w:tcPr>
            <w:tcW w:w="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115">
              <w:r>
                <w:rPr>
                  <w:rStyle w:val="InternetLink"/>
                  <w:rFonts w:ascii="sans-serif" w:hAnsi="sans-serif"/>
                  <w:b w:val="false"/>
                  <w:color w:val="0000FF"/>
                  <w:sz w:val="24"/>
                  <w:u w:val="single"/>
                </w:rPr>
                <w:t>26</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9b23a2756a49d68fc721e4261fd2a6_118">
              <w:r>
                <w:rPr>
                  <w:rStyle w:val="InternetLink"/>
                  <w:rFonts w:ascii="sans-serif" w:hAnsi="sans-serif"/>
                  <w:b w:val="false"/>
                  <w:color w:val="0000FF"/>
                  <w:sz w:val="24"/>
                  <w:u w:val="single"/>
                </w:rPr>
                <w:t>Signatures</w:t>
              </w:r>
            </w:hyperlink>
          </w:p>
        </w:tc>
        <w:tc>
          <w:tcPr>
            <w:tcW w:w="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59b23a2756a49d68fc721e4261fd2a6_118">
              <w:r>
                <w:rPr>
                  <w:rStyle w:val="InternetLink"/>
                  <w:rFonts w:ascii="sans-serif" w:hAnsi="sans-serif"/>
                  <w:b w:val="false"/>
                  <w:color w:val="0000FF"/>
                  <w:sz w:val="24"/>
                  <w:u w:val="single"/>
                </w:rPr>
                <w:t>27</w:t>
              </w:r>
            </w:hyperlink>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60" w:after="283"/>
        <w:jc w:val="left"/>
        <w:rPr>
          <w:rFonts w:ascii="sans-serif" w:hAnsi="sans-serif"/>
          <w:b/>
          <w:color w:val="14AA40"/>
          <w:sz w:val="28"/>
        </w:rPr>
      </w:pPr>
      <w:r>
        <w:rPr>
          <w:rFonts w:ascii="sans-serif" w:hAnsi="sans-serif"/>
          <w:b/>
          <w:color w:val="14AA40"/>
          <w:sz w:val="2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sans-serif" w:hAnsi="sans-serif"/>
          <w:b/>
          <w:color w:val="14AA40"/>
          <w:sz w:val="28"/>
        </w:rPr>
      </w:pPr>
      <w:r>
        <w:rPr>
          <w:rFonts w:ascii="sans-serif" w:hAnsi="sans-serif"/>
          <w:b/>
          <w:color w:val="14AA40"/>
          <w:sz w:val="2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27"/>
        <w:gridCol w:w="538"/>
        <w:gridCol w:w="541"/>
        <w:gridCol w:w="126"/>
        <w:gridCol w:w="126"/>
        <w:gridCol w:w="126"/>
        <w:gridCol w:w="262"/>
        <w:gridCol w:w="1343"/>
        <w:gridCol w:w="126"/>
        <w:gridCol w:w="126"/>
        <w:gridCol w:w="126"/>
        <w:gridCol w:w="126"/>
        <w:gridCol w:w="262"/>
        <w:gridCol w:w="1308"/>
        <w:gridCol w:w="126"/>
        <w:gridCol w:w="109"/>
        <w:gridCol w:w="109"/>
        <w:gridCol w:w="109"/>
        <w:gridCol w:w="229"/>
        <w:gridCol w:w="1175"/>
        <w:gridCol w:w="110"/>
        <w:gridCol w:w="110"/>
        <w:gridCol w:w="110"/>
        <w:gridCol w:w="110"/>
        <w:gridCol w:w="229"/>
        <w:gridCol w:w="1144"/>
        <w:gridCol w:w="172"/>
      </w:tblGrid>
      <w:tr>
        <w:trPr/>
        <w:tc>
          <w:tcPr>
            <w:tcW w:w="122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489"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8"/>
              </w:rPr>
            </w:pPr>
            <w:r>
              <w:rPr>
                <w:rFonts w:ascii="sans-serif" w:hAnsi="sans-serif"/>
                <w:b/>
                <w:color w:val="000000"/>
                <w:sz w:val="28"/>
              </w:rPr>
              <w:t>CONSOLIDATED STATEMENTS OF OPERATIONS AND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(unaudited, in 000s, except per share amounts)</w:t>
            </w:r>
          </w:p>
        </w:tc>
      </w:tr>
      <w:tr>
        <w:trPr/>
        <w:tc>
          <w:tcPr>
            <w:tcW w:w="2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March 31,</w:t>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r>
      <w:tr>
        <w:trPr/>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REVENUES: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Service revenues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2,099,481</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1,993,556 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2,434,220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2,314,363 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Royalty, product and other revenues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177,623</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191,278 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215,764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233,354 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2,277,104</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2,184,834 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2,649,984</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2,547,717 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OPERATING EXPENSES: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Costs of revenues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969,392</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926,008 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1,553,182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1,485,193 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Selling, general and administrative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329,399</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330,622 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640,111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608,078 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1,298,791</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1,256,630 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2,193,293</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2,093,271 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 (expense), net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4,554</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19,215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 on borrowings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(24,686)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(26,070)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(62,285)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(63,304)</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from continuing operations before income taxes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958,181</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907,358 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413,621</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412,124 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235,253</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215,772 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104,580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72,527 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from continuing operations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722,928</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691,586 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309,041</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339,597 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8"/>
              </w:rPr>
            </w:pPr>
            <w:r>
              <w:rPr>
                <w:rFonts w:ascii="sans-serif" w:hAnsi="sans-serif"/>
                <w:b w:val="false"/>
                <w:color w:val="000000"/>
                <w:sz w:val="18"/>
              </w:rPr>
              <w:t>Net loss from discontinued operations, net of tax benefits of $180, $254, $811 and $627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(598)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(2,707)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INCOME</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722,330</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690,737 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306,334</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337,500 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BASIC EARNINGS PER SHARE: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Continuing operations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5.38</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2.26</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2.37 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Discontinued operations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(0.01)</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Consolidated</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5.37</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2.24</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DILUTED EARNINGS PER SHARE: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Continuing operations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5.32</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Discontinued operations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Consolidated</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5.31</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2.21</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DIVIDENDS DECLARED PER SHARE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0.375</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1.125</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0.96 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COMPREHENSIVE INCOME:</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722,330</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690,737 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306,334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337,500 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 in foreign currency translation adjustments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445</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(9,882)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(22,472)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(9,237)</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income (loss)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445</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(9,882)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(22,472)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(9,237)</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Comprehensive income</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722,775</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680,855 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283,862</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328,263 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right"/>
        <w:rPr>
          <w:rFonts w:ascii="sans-serif" w:hAnsi="sans-serif"/>
          <w:b w:val="false"/>
          <w:color w:val="000000"/>
          <w:sz w:val="16"/>
        </w:rPr>
      </w:pPr>
      <w:r>
        <w:rPr>
          <w:rFonts w:ascii="sans-serif" w:hAns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779645"/>
                <wp:effectExtent l="0" t="0" r="0" b="0"/>
                <wp:wrapNone/>
                <wp:docPr id="3" name="Frame3"/>
                <a:graphic xmlns:a="http://schemas.openxmlformats.org/drawingml/2006/main">
                  <a:graphicData uri="http://schemas.microsoft.com/office/word/2010/wordprocessingShape">
                    <wps:wsp>
                      <wps:cNvSpPr txBox="1"/>
                      <wps:spPr>
                        <a:xfrm>
                          <a:off x="0" y="0"/>
                          <a:ext cx="6480175" cy="4779645"/>
                        </a:xfrm>
                        <a:prstGeom prst="rect"/>
                        <a:solidFill>
                          <a:srgbClr val="FFFFFF"/>
                        </a:solidFill>
                      </wps:spPr>
                      <wps:txbx>
                        <w:txbxContent>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tbl>
      <w:tblPr>
        <w:tblW w:w="10205" w:type="dxa"/>
        <w:jc w:val="right"/>
        <w:tblInd w:w="0" w:type="dxa"/>
        <w:tblLayout w:type="fixed"/>
        <w:tblCellMar>
          <w:top w:w="28" w:type="dxa"/>
          <w:left w:w="28" w:type="dxa"/>
          <w:bottom w:w="28" w:type="dxa"/>
          <w:right w:w="28" w:type="dxa"/>
        </w:tblCellMar>
      </w:tblPr>
      <w:tblGrid>
        <w:gridCol w:w="2352"/>
        <w:gridCol w:w="2066"/>
        <w:gridCol w:w="2072"/>
        <w:gridCol w:w="109"/>
        <w:gridCol w:w="109"/>
        <w:gridCol w:w="109"/>
        <w:gridCol w:w="235"/>
        <w:gridCol w:w="1204"/>
        <w:gridCol w:w="113"/>
        <w:gridCol w:w="109"/>
        <w:gridCol w:w="109"/>
        <w:gridCol w:w="109"/>
        <w:gridCol w:w="226"/>
        <w:gridCol w:w="1126"/>
        <w:gridCol w:w="157"/>
      </w:tblGrid>
      <w:tr>
        <w:trPr/>
        <w:tc>
          <w:tcPr>
            <w:tcW w:w="2352"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8"/>
              </w:rPr>
            </w:pPr>
            <w:r>
              <w:rPr>
                <w:rFonts w:ascii="sans-serif" w:hAnsi="sans-serif"/>
                <w:b/>
                <w:color w:val="000000"/>
                <w:sz w:val="28"/>
              </w:rP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(unaudited, in 000s, except </w:t>
              <w:br/>
              <w:t>share and per share amounts)</w:t>
            </w:r>
          </w:p>
        </w:tc>
      </w:tr>
      <w:tr>
        <w:trPr/>
        <w:tc>
          <w:tcPr>
            <w:tcW w:w="64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March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June 30, 2024</w:t>
            </w:r>
          </w:p>
        </w:tc>
      </w:tr>
      <w:tr>
        <w:trPr/>
        <w:tc>
          <w:tcPr>
            <w:tcW w:w="6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772,946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1,053,326 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 restricted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16,744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Receivables, less allowance for credit losses of $49,315 and $61,182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352,398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69,075 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104,450</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95,208 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1,246,538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1,239,476 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8"/>
              </w:rPr>
            </w:pPr>
            <w:r>
              <w:rPr>
                <w:rFonts w:ascii="sans-serif" w:hAnsi="sans-serif"/>
                <w:b w:val="false"/>
                <w:color w:val="000000"/>
                <w:sz w:val="18"/>
              </w:rPr>
              <w:t>Property and equipment, at cost, less accumulated depreciation and amortization of $864,681 and $838,814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146,456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131,319 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417,197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461,986 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270,007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264,102 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785,936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785,226 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assets and 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308,989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271,658 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69,888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65,043 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3,245,011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3,218,810 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243,754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155,830 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salaries, wages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269,849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105,548 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income taxes and reserves for 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346,733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318,830 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349,787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173,902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206,070 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205,778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191,050 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1,589,803</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977,328 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 and line of credit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1,142,890</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1,491,095 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liabilities and reserves for 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337,634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291,063 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252,630</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265,373 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and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114,892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103,357 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3,437,849</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3,128,216 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8"/>
              </w:rPr>
            </w:pPr>
            <w:r>
              <w:rPr>
                <w:rFonts w:ascii="sans-serif" w:hAnsi="sans-serif"/>
                <w:b w:val="false"/>
                <w:color w:val="000000"/>
                <w:sz w:val="18"/>
              </w:rPr>
              <w:t>Common stock, no par, stated value $0.01 per share, 800,000,000 shares authorized, shares issued of 164,367,434 and 170,915,771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1,644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758,821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762,583 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(71,317)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(48,845)</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(236,909)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8"/>
              </w:rPr>
            </w:pPr>
            <w:r>
              <w:rPr>
                <w:rFonts w:ascii="sans-serif" w:hAnsi="sans-serif"/>
                <w:b w:val="false"/>
                <w:color w:val="000000"/>
                <w:sz w:val="18"/>
              </w:rPr>
              <w:t>Less treasury shares, at cost, of 30,487,639 and 31,324,609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(645,077)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(637,507)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stockholders' equity (deficiency)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(192,838)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90,594 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3,245,011</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3,218,810 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right"/>
        <w:rPr>
          <w:rFonts w:ascii="sans-serif" w:hAnsi="sans-serif"/>
          <w:b w:val="false"/>
          <w:color w:val="000000"/>
          <w:sz w:val="16"/>
        </w:rPr>
      </w:pPr>
      <w:r>
        <w:rPr>
          <w:rFonts w:ascii="sans-serif" w:hAns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37845"/>
                <wp:effectExtent l="0" t="0" r="0" b="0"/>
                <wp:wrapNone/>
                <wp:docPr id="4" name="Frame4"/>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628"/>
        <w:gridCol w:w="1431"/>
        <w:gridCol w:w="1434"/>
        <w:gridCol w:w="109"/>
        <w:gridCol w:w="109"/>
        <w:gridCol w:w="109"/>
        <w:gridCol w:w="230"/>
        <w:gridCol w:w="978"/>
        <w:gridCol w:w="109"/>
        <w:gridCol w:w="109"/>
        <w:gridCol w:w="109"/>
        <w:gridCol w:w="109"/>
        <w:gridCol w:w="228"/>
        <w:gridCol w:w="95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162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8"/>
              </w:rPr>
            </w:pPr>
            <w:r>
              <w:rPr>
                <w:rFonts w:ascii="sans-serif" w:hAnsi="sans-serif"/>
                <w:b/>
                <w:color w:val="000000"/>
                <w:sz w:val="28"/>
              </w:rPr>
              <w:t>CONSOLIDATED STATEMENTS OF CASH FLOWS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(unaudited, in 000s)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Nine months ended 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306,334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87,247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56,042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(12,503)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25,420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Changes in assets and liabilities, net of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(335,605)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(348,106)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accrued expenses, salaries, wages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240,246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other current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20,684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receivables, accrued income taxes and income tax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50,049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429,322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420,264 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(71,784)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made for business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(35,323)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Franchise loans funded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(21,455)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from franchisees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11,478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6,194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(110,890)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(99,643)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Repayments of line of credit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line of credit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1,950,000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(147,136)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Repurchase of common stock, including shares surrendered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(436,516)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(379,018)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(11,854)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(595,506)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(520,503)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Effects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(8,429)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decrease in cash and cash equivalents, including restricted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(285,503)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1,075,193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789,690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812,695 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SUPPLEMENTARY CASH FLOW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 paid, net (includes payments for purchased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65,505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paid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63,251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additions to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New operating right of use assets and related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135,372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dividends payable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50,194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right"/>
        <w:rPr>
          <w:rFonts w:ascii="sans-serif" w:hAnsi="sans-serif"/>
          <w:b w:val="false"/>
          <w:color w:val="000000"/>
          <w:sz w:val="16"/>
        </w:rPr>
      </w:pPr>
      <w:r>
        <w:rPr>
          <w:rFonts w:ascii="sans-serif" w:hAns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94995"/>
                <wp:effectExtent l="0" t="0" r="0" b="0"/>
                <wp:wrapNone/>
                <wp:docPr id="5" name="Frame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927" w:type="dxa"/>
                              <w:jc w:val="right"/>
                              <w:tblInd w:w="0" w:type="dxa"/>
                              <w:tblLayout w:type="fixed"/>
                              <w:tblCellMar>
                                <w:top w:w="28" w:type="dxa"/>
                                <w:left w:w="28" w:type="dxa"/>
                                <w:bottom w:w="28" w:type="dxa"/>
                                <w:right w:w="28" w:type="dxa"/>
                              </w:tblCellMar>
                            </w:tblPr>
                            <w:tblGrid>
                              <w:gridCol w:w="1285"/>
                              <w:gridCol w:w="1130"/>
                              <w:gridCol w:w="1140"/>
                              <w:gridCol w:w="109"/>
                              <w:gridCol w:w="109"/>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927" w:type="dxa"/>
                        <w:jc w:val="right"/>
                        <w:tblInd w:w="0" w:type="dxa"/>
                        <w:tblLayout w:type="fixed"/>
                        <w:tblCellMar>
                          <w:top w:w="28" w:type="dxa"/>
                          <w:left w:w="28" w:type="dxa"/>
                          <w:bottom w:w="28" w:type="dxa"/>
                          <w:right w:w="28" w:type="dxa"/>
                        </w:tblCellMar>
                      </w:tblPr>
                      <w:tblGrid>
                        <w:gridCol w:w="1285"/>
                        <w:gridCol w:w="1130"/>
                        <w:gridCol w:w="1140"/>
                        <w:gridCol w:w="109"/>
                        <w:gridCol w:w="109"/>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tbl>
      <w:tblPr>
        <w:tblW w:w="15652" w:type="dxa"/>
        <w:jc w:val="center"/>
        <w:tblInd w:w="0" w:type="dxa"/>
        <w:tblLayout w:type="fixed"/>
        <w:tblCellMar>
          <w:top w:w="28" w:type="dxa"/>
          <w:left w:w="28" w:type="dxa"/>
          <w:bottom w:w="28" w:type="dxa"/>
          <w:right w:w="28" w:type="dxa"/>
        </w:tblCellMar>
      </w:tblPr>
      <w:tblGrid>
        <w:gridCol w:w="930"/>
        <w:gridCol w:w="384"/>
        <w:gridCol w:w="187"/>
        <w:gridCol w:w="109"/>
        <w:gridCol w:w="109"/>
        <w:gridCol w:w="109"/>
        <w:gridCol w:w="563"/>
        <w:gridCol w:w="398"/>
        <w:gridCol w:w="109"/>
        <w:gridCol w:w="109"/>
        <w:gridCol w:w="109"/>
        <w:gridCol w:w="109"/>
        <w:gridCol w:w="226"/>
        <w:gridCol w:w="721"/>
        <w:gridCol w:w="109"/>
        <w:gridCol w:w="109"/>
        <w:gridCol w:w="109"/>
        <w:gridCol w:w="109"/>
        <w:gridCol w:w="109"/>
        <w:gridCol w:w="109"/>
        <w:gridCol w:w="946"/>
        <w:gridCol w:w="109"/>
        <w:gridCol w:w="251"/>
        <w:gridCol w:w="1068"/>
        <w:gridCol w:w="122"/>
        <w:gridCol w:w="109"/>
        <w:gridCol w:w="109"/>
        <w:gridCol w:w="109"/>
        <w:gridCol w:w="226"/>
        <w:gridCol w:w="856"/>
        <w:gridCol w:w="109"/>
        <w:gridCol w:w="109"/>
        <w:gridCol w:w="109"/>
        <w:gridCol w:w="109"/>
        <w:gridCol w:w="226"/>
        <w:gridCol w:w="976"/>
        <w:gridCol w:w="109"/>
        <w:gridCol w:w="109"/>
        <w:gridCol w:w="109"/>
        <w:gridCol w:w="109"/>
        <w:gridCol w:w="428"/>
        <w:gridCol w:w="428"/>
        <w:gridCol w:w="231"/>
        <w:gridCol w:w="109"/>
        <w:gridCol w:w="109"/>
        <w:gridCol w:w="109"/>
        <w:gridCol w:w="226"/>
        <w:gridCol w:w="976"/>
        <w:gridCol w:w="109"/>
        <w:gridCol w:w="255"/>
        <w:gridCol w:w="255"/>
        <w:gridCol w:w="256"/>
        <w:gridCol w:w="226"/>
        <w:gridCol w:w="97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8"/>
              </w:rPr>
            </w:pPr>
            <w:r>
              <w:rPr>
                <w:rFonts w:ascii="sans-serif" w:hAnsi="sans-serif"/>
                <w:b/>
                <w:color w:val="000000"/>
                <w:sz w:val="28"/>
              </w:rPr>
              <w:t>CONSOLIDATED STATEMENTS OF STOCKHOLDERS' EQUITY</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(amounts in 000s, except per share amounts)</w:t>
            </w:r>
          </w:p>
        </w:tc>
        <w:tc>
          <w:tcPr>
            <w:tcW w:w="3760" w:type="dxa"/>
            <w:gridSpan w:val="12"/>
            <w:tcBorders/>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 xml:space="preserve">Accumulated Other </w:t>
            </w:r>
          </w:p>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Comprehensive</w:t>
            </w:r>
          </w:p>
          <w:p>
            <w:pPr>
              <w:pStyle w:val="TableContents"/>
              <w:bidi w:val="0"/>
              <w:spacing w:lineRule="auto" w:line="240" w:before="0" w:after="0"/>
              <w:jc w:val="right"/>
              <w:rPr/>
            </w:pPr>
            <w:r>
              <w:rPr>
                <w:rFonts w:ascii="sans-serif" w:hAnsi="sans-serif"/>
                <w:b w:val="false"/>
                <w:color w:val="000000"/>
                <w:sz w:val="16"/>
              </w:rPr>
              <w:t>Loss</w:t>
            </w:r>
            <w:r>
              <w:rPr>
                <w:rFonts w:ascii="sans-serif" w:hAnsi="sans-serif"/>
                <w:b w:val="false"/>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Retained</w:t>
              <w:br/>
              <w:t xml:space="preserve">Earnings </w:t>
              <w:br/>
              <w:t>(Deficit)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Treasury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Total</w:t>
              <w:br/>
              <w:t>Stockholders’</w:t>
              <w:br/>
              <w:t>Equity</w:t>
            </w:r>
          </w:p>
        </w:tc>
        <w:tc>
          <w:tcPr>
            <w:tcW w:w="2122" w:type="dxa"/>
            <w:gridSpan w:val="6"/>
            <w:tcBorders/>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July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170,916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1,709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762,583</w:t>
            </w:r>
            <w:r>
              <w:rPr>
                <w:color w:val="000000"/>
              </w:rPr>
              <w:t>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(48,845)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12,654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(31,325)</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(637,507)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90,594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(172,576)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(172,576)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6,117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6,117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7,463</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7,463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(23,990)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1,319</w:t>
            </w: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Acquisition of treasury shares</w:t>
            </w:r>
            <w:r>
              <w:rPr>
                <w:rFonts w:ascii="sans-serif" w:hAns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(567)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(35,882)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(35,882)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(209,708)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(211,721)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 $0.375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(52,307)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(52,307)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167,615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744,076</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(42,728)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(424,548)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(30,573)</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(646,541)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(368,065)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(243,420)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(243,420)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(29,034)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(29,034)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9,156</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9,156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810</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54</w:t>
            </w: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1,709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Acquisition of treasury shares</w:t>
            </w:r>
            <w:r>
              <w:rPr>
                <w:rFonts w:ascii="sans-serif" w:hAns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(1,949)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(190,396)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(192,377)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 $0.375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(50,176)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(50,176)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164,367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752,093</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(71,762)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(908,785)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(30,523)</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(645,650)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(872,460)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722,330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722,330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445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7,424</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7,424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(696)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41</w:t>
            </w: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Acquisition of treasury shares</w:t>
            </w:r>
            <w:r>
              <w:rPr>
                <w:rFonts w:ascii="sans-serif" w:hAns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 $0.375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(50,194)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(50,194)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164,367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758,821</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(71,317)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(236,909)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(30,488)</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(645,077)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(192,838)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10"/>
        </w:rPr>
        <w:t xml:space="preserve">(1) </w:t>
      </w:r>
      <w:r>
        <w:rPr>
          <w:rFonts w:ascii="sans-serif" w:hAnsi="sans-serif"/>
          <w:b w:val="false"/>
          <w:color w:val="000000"/>
          <w:sz w:val="16"/>
        </w:rPr>
        <w:t>The balance of our accumulated other comprehensive loss consists of foreign currency translation adjustments.</w:t>
      </w:r>
    </w:p>
    <w:p>
      <w:pPr>
        <w:pStyle w:val="TextBody"/>
        <w:bidi w:val="0"/>
        <w:spacing w:lineRule="auto" w:line="288" w:before="0" w:after="0"/>
        <w:ind w:left="0" w:right="0" w:hanging="180"/>
        <w:jc w:val="both"/>
        <w:rPr/>
      </w:pPr>
      <w:r>
        <w:rPr>
          <w:rFonts w:ascii="sans-serif" w:hAnsi="sans-serif"/>
          <w:b w:val="false"/>
          <w:color w:val="000000"/>
          <w:sz w:val="10"/>
        </w:rPr>
        <w:t xml:space="preserve">(2) </w:t>
      </w:r>
      <w:r>
        <w:rPr>
          <w:rFonts w:ascii="sans-serif" w:hAnsi="sans-serif"/>
          <w:b w:val="false"/>
          <w:color w:val="000000"/>
          <w:sz w:val="16"/>
        </w:rPr>
        <w:t>Represents shares swapped or surrendered to us in connection with the vesting or exercise of stock-based awards.</w:t>
      </w:r>
    </w:p>
    <w:p>
      <w:pPr>
        <w:pStyle w:val="TextBody"/>
        <w:bidi w:val="0"/>
        <w:spacing w:lineRule="auto" w:line="288" w:before="60" w:after="283"/>
        <w:jc w:val="right"/>
        <w:rPr>
          <w:rFonts w:ascii="sans-serif" w:hAnsi="sans-serif"/>
          <w:b w:val="false"/>
          <w:color w:val="000000"/>
          <w:sz w:val="16"/>
        </w:rPr>
      </w:pPr>
      <w:r>
        <w:rPr>
          <w:rFonts w:ascii="sans-serif" w:hAnsi="sans-serif"/>
          <w:b w:val="false"/>
          <w:color w:val="000000"/>
          <w:sz w:val="16"/>
        </w:rPr>
        <w:t>See accompanying notes to consolidated financial statements.</w:t>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37845"/>
                <wp:effectExtent l="0" t="0" r="0" b="0"/>
                <wp:wrapNone/>
                <wp:docPr id="6" name="Frame6"/>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tbl>
      <w:tblPr>
        <w:tblW w:w="15669" w:type="dxa"/>
        <w:jc w:val="center"/>
        <w:tblInd w:w="0" w:type="dxa"/>
        <w:tblLayout w:type="fixed"/>
        <w:tblCellMar>
          <w:top w:w="28" w:type="dxa"/>
          <w:left w:w="28" w:type="dxa"/>
          <w:bottom w:w="28" w:type="dxa"/>
          <w:right w:w="28" w:type="dxa"/>
        </w:tblCellMar>
      </w:tblPr>
      <w:tblGrid>
        <w:gridCol w:w="917"/>
        <w:gridCol w:w="291"/>
        <w:gridCol w:w="293"/>
        <w:gridCol w:w="109"/>
        <w:gridCol w:w="109"/>
        <w:gridCol w:w="109"/>
        <w:gridCol w:w="473"/>
        <w:gridCol w:w="473"/>
        <w:gridCol w:w="231"/>
        <w:gridCol w:w="109"/>
        <w:gridCol w:w="109"/>
        <w:gridCol w:w="109"/>
        <w:gridCol w:w="226"/>
        <w:gridCol w:w="706"/>
        <w:gridCol w:w="109"/>
        <w:gridCol w:w="109"/>
        <w:gridCol w:w="109"/>
        <w:gridCol w:w="109"/>
        <w:gridCol w:w="109"/>
        <w:gridCol w:w="109"/>
        <w:gridCol w:w="946"/>
        <w:gridCol w:w="109"/>
        <w:gridCol w:w="254"/>
        <w:gridCol w:w="1064"/>
        <w:gridCol w:w="123"/>
        <w:gridCol w:w="109"/>
        <w:gridCol w:w="109"/>
        <w:gridCol w:w="109"/>
        <w:gridCol w:w="226"/>
        <w:gridCol w:w="841"/>
        <w:gridCol w:w="109"/>
        <w:gridCol w:w="109"/>
        <w:gridCol w:w="109"/>
        <w:gridCol w:w="109"/>
        <w:gridCol w:w="226"/>
        <w:gridCol w:w="961"/>
        <w:gridCol w:w="109"/>
        <w:gridCol w:w="109"/>
        <w:gridCol w:w="109"/>
        <w:gridCol w:w="109"/>
        <w:gridCol w:w="420"/>
        <w:gridCol w:w="421"/>
        <w:gridCol w:w="231"/>
        <w:gridCol w:w="109"/>
        <w:gridCol w:w="109"/>
        <w:gridCol w:w="109"/>
        <w:gridCol w:w="226"/>
        <w:gridCol w:w="961"/>
        <w:gridCol w:w="109"/>
        <w:gridCol w:w="255"/>
        <w:gridCol w:w="255"/>
        <w:gridCol w:w="256"/>
        <w:gridCol w:w="226"/>
        <w:gridCol w:w="961"/>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2664" w:type="dxa"/>
            <w:gridSpan w:val="46"/>
            <w:tcBorders/>
          </w:tcPr>
          <w:p>
            <w:pPr>
              <w:pStyle w:val="TableContents"/>
              <w:bidi w:val="0"/>
              <w:spacing w:before="0" w:after="283"/>
              <w:jc w:val="left"/>
              <w:rPr>
                <w:sz w:val="4"/>
                <w:szCs w:val="4"/>
              </w:rPr>
            </w:pPr>
            <w:r>
              <w:rPr>
                <w:sz w:val="4"/>
                <w:szCs w:val="4"/>
              </w:rPr>
            </w:r>
          </w:p>
        </w:tc>
      </w:tr>
      <w:tr>
        <w:trPr/>
        <w:tc>
          <w:tcPr>
            <w:tcW w:w="5864"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(amounts in 000s, except per share amounts)</w:t>
            </w:r>
          </w:p>
        </w:tc>
        <w:tc>
          <w:tcPr>
            <w:tcW w:w="3730" w:type="dxa"/>
            <w:gridSpan w:val="12"/>
            <w:tcBorders/>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Additional</w:t>
              <w:br/>
              <w:t>Paid-in</w:t>
              <w:br/>
              <w:t>Capital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 xml:space="preserve">Accumulated Other </w:t>
            </w:r>
          </w:p>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Comprehensive</w:t>
            </w:r>
          </w:p>
          <w:p>
            <w:pPr>
              <w:pStyle w:val="TableContents"/>
              <w:bidi w:val="0"/>
              <w:spacing w:lineRule="auto" w:line="240" w:before="0" w:after="0"/>
              <w:jc w:val="right"/>
              <w:rPr/>
            </w:pPr>
            <w:r>
              <w:rPr>
                <w:rFonts w:ascii="sans-serif" w:hAnsi="sans-serif"/>
                <w:b w:val="false"/>
                <w:color w:val="000000"/>
                <w:sz w:val="16"/>
              </w:rPr>
              <w:t>Loss</w:t>
            </w:r>
            <w:r>
              <w:rPr>
                <w:rFonts w:ascii="sans-serif" w:hAnsi="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Retained</w:t>
              <w:br/>
              <w:t xml:space="preserve">Earnings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Total</w:t>
              <w:br/>
              <w:t>Stockholders’</w:t>
              <w:br/>
              <w:t>Equity</w:t>
            </w:r>
          </w:p>
        </w:tc>
        <w:tc>
          <w:tcPr>
            <w:tcW w:w="2107" w:type="dxa"/>
            <w:gridSpan w:val="6"/>
            <w:tcBorders/>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178,936 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770,376 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(37,099)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(48,677)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(32,786)</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(654,325)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32,064 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(163,482)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(163,482)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(34,226)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1,867 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Acquisition of treasury shares</w:t>
            </w:r>
            <w:r>
              <w:rPr>
                <w:rFonts w:ascii="sans-serif" w:hAns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 $0.32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(46,901)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175,671 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740,434 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(393,621)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(31,742)</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(645,441)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(344,884)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(189,755)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9,270 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Acquisition of treasury shares</w:t>
            </w:r>
            <w:r>
              <w:rPr>
                <w:rFonts w:ascii="sans-serif" w:hAns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(4,755)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(2,805)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(220,320)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 $0.32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170,916 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746,734 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(846,162)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(31,397)</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(638,479)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(772,652)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690,737 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690,737 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Acquisition of treasury shares</w:t>
            </w:r>
            <w:r>
              <w:rPr>
                <w:rFonts w:ascii="sans-serif" w:hAns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 $0.32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170,916 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753,605 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(31,388)</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(638,488)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(129,806)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10"/>
        </w:rPr>
        <w:t xml:space="preserve">(1) </w:t>
      </w:r>
      <w:r>
        <w:rPr>
          <w:rFonts w:ascii="sans-serif" w:hAnsi="sans-serif"/>
          <w:b w:val="false"/>
          <w:color w:val="000000"/>
          <w:sz w:val="16"/>
        </w:rPr>
        <w:t>The balance of our accumulated other comprehensive loss consists of foreign currency translation adjustments.</w:t>
      </w:r>
    </w:p>
    <w:p>
      <w:pPr>
        <w:pStyle w:val="TextBody"/>
        <w:bidi w:val="0"/>
        <w:spacing w:lineRule="auto" w:line="288" w:before="0" w:after="0"/>
        <w:ind w:left="0" w:right="0" w:hanging="180"/>
        <w:jc w:val="both"/>
        <w:rPr/>
      </w:pPr>
      <w:r>
        <w:rPr>
          <w:rFonts w:ascii="sans-serif" w:hAnsi="sans-serif"/>
          <w:b w:val="false"/>
          <w:color w:val="000000"/>
          <w:sz w:val="10"/>
        </w:rPr>
        <w:t xml:space="preserve">(2) </w:t>
      </w:r>
      <w:r>
        <w:rPr>
          <w:rFonts w:ascii="sans-serif" w:hAnsi="sans-serif"/>
          <w:b w:val="false"/>
          <w:color w:val="000000"/>
          <w:sz w:val="16"/>
        </w:rPr>
        <w:t>Represents shares swapped or surrendered to us in connection with the vesting or exercise of stock-based awards.</w:t>
      </w:r>
    </w:p>
    <w:p>
      <w:pPr>
        <w:pStyle w:val="TextBody"/>
        <w:bidi w:val="0"/>
        <w:spacing w:lineRule="auto" w:line="288" w:before="60" w:after="283"/>
        <w:jc w:val="right"/>
        <w:rPr>
          <w:rFonts w:ascii="sans-serif" w:hAnsi="sans-serif"/>
          <w:b w:val="false"/>
          <w:color w:val="000000"/>
          <w:sz w:val="16"/>
        </w:rPr>
      </w:pPr>
      <w:r>
        <w:rPr>
          <w:rFonts w:ascii="sans-serif" w:hAnsi="sans-serif"/>
          <w:b w:val="false"/>
          <w:color w:val="000000"/>
          <w:sz w:val="16"/>
        </w:rPr>
        <w:t>See accompanying notes to consolidated financial statements.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94995"/>
                <wp:effectExtent l="0" t="0" r="0" b="0"/>
                <wp:wrapNone/>
                <wp:docPr id="7" name="Frame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pPr>
      <w:r>
        <w:rPr>
          <w:rFonts w:ascii="sans-serif" w:hAnsi="sans-serif"/>
          <w:b/>
          <w:color w:val="14AA40"/>
          <w:sz w:val="28"/>
        </w:rPr>
        <w:t>NOTES TO CONSOLIDATED FINANCIAL STATEMENTS</w:t>
      </w:r>
      <w:r>
        <w:rPr>
          <w:color w:val="000000"/>
        </w:rPr>
        <w:t xml:space="preserve">             </w:t>
      </w:r>
      <w:r>
        <w:rPr>
          <w:rFonts w:ascii="sans-serif" w:hAnsi="sans-serif"/>
          <w:b w:val="false"/>
          <w:color w:val="000000"/>
          <w:sz w:val="24"/>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sans-serif" w:hAnsi="sans-serif"/>
          <w:b/>
          <w:color w:val="14AA40"/>
          <w:sz w:val="28"/>
        </w:rPr>
        <w:t>NOTE 1: SUMMARY OF SIGNIFICANT ACCOUNTING POLICIES</w:t>
      </w:r>
      <w:r>
        <w:rPr>
          <w:color w:val="14AA40"/>
        </w:rPr>
        <w:t xml:space="preserve"> </w:t>
      </w:r>
    </w:p>
    <w:p>
      <w:pPr>
        <w:pStyle w:val="TextBody"/>
        <w:bidi w:val="0"/>
        <w:spacing w:lineRule="auto" w:line="288" w:before="120" w:after="283"/>
        <w:jc w:val="both"/>
        <w:rPr/>
      </w:pPr>
      <w:r>
        <w:rPr>
          <w:rFonts w:ascii="sans-serif" w:hAnsi="sans-serif"/>
          <w:b/>
          <w:color w:val="000000"/>
          <w:sz w:val="20"/>
        </w:rPr>
        <w:t>BASIS OF PRESENTATION</w:t>
      </w:r>
      <w:r>
        <w:rPr>
          <w:color w:val="000000"/>
        </w:rPr>
        <w:t xml:space="preserve"> – </w:t>
      </w:r>
      <w:r>
        <w:rPr>
          <w:rFonts w:ascii="sans-serif" w:hAnsi="sans-serif"/>
          <w:b w:val="false"/>
          <w:color w:val="000000"/>
          <w:sz w:val="20"/>
        </w:rPr>
        <w:t xml:space="preserve">The consolidated balance sheets as of March 31, 2025 and June 30, 2024, the consolidated statements of operations and comprehensive income for the three and nine months ended March 31, 2025 and 2024, the consolidated statements of cash flows for the nine months ended March 31, 2025 and 2024, and the consolidated statements of stockholders' equity for the three and nine months ended March 31, 2025 and 2024 have been prepared by the Company, without audit. In the opinion of management, all adjustments, which include only normal recurring adjustments, necessary to present fairly the financial position, results of operations, and cash flows as of March 31, 2025 and 2024 and for all periods presented, have been made.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"H&amp;R Block," "the Company," "we," "our," and "us" are used interchangeably to refer to H&amp;R Block, Inc., to H&amp;R Block, Inc. and its subsidiaries, or to H&amp;R Block, Inc.'s operating subsidiaries, as appropriate to the context.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June 30, 2024 Annual Report on Form 10-K. All amounts presented herein as of June 30, 2024 or for the year then ended are derived from our Annual Report on Form 10-K.</w:t>
      </w:r>
    </w:p>
    <w:p>
      <w:pPr>
        <w:pStyle w:val="TextBody"/>
        <w:bidi w:val="0"/>
        <w:spacing w:lineRule="auto" w:line="288" w:before="120" w:after="283"/>
        <w:ind w:left="0" w:right="0" w:firstLine="225"/>
        <w:jc w:val="both"/>
        <w:rPr/>
      </w:pPr>
      <w:r>
        <w:rPr>
          <w:rFonts w:ascii="sans-serif" w:hAnsi="sans-serif"/>
          <w:b/>
          <w:color w:val="000000"/>
          <w:sz w:val="20"/>
        </w:rPr>
        <w:t>MANAGEMENT ESTIMATES</w:t>
      </w:r>
      <w:r>
        <w:rPr>
          <w:color w:val="000000"/>
        </w:rPr>
        <w:t xml:space="preserve"> – </w:t>
      </w:r>
      <w:r>
        <w:rPr>
          <w:rFonts w:ascii="sans-serif" w:hAnsi="sans-serif"/>
          <w:b w:val="false"/>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associated with pending claims and litigation, reserves for uncertain tax positions, and fair value of reporting units. Estimates have been prepared based on the best information available as of each balance sheet date. As such, actual results could differ materially from those estimates. </w:t>
      </w:r>
    </w:p>
    <w:p>
      <w:pPr>
        <w:pStyle w:val="TextBody"/>
        <w:bidi w:val="0"/>
        <w:spacing w:lineRule="auto" w:line="288" w:before="120" w:after="283"/>
        <w:ind w:left="0" w:right="0" w:firstLine="225"/>
        <w:jc w:val="both"/>
        <w:rPr/>
      </w:pPr>
      <w:r>
        <w:rPr>
          <w:rFonts w:ascii="sans-serif" w:hAnsi="sans-serif"/>
          <w:b/>
          <w:color w:val="000000"/>
          <w:sz w:val="20"/>
        </w:rPr>
        <w:t>SEASONALITY OF BUSINESS</w:t>
      </w:r>
      <w:r>
        <w:rPr>
          <w:color w:val="000000"/>
        </w:rPr>
        <w:t xml:space="preserve"> – </w:t>
      </w:r>
      <w:r>
        <w:rPr>
          <w:rFonts w:ascii="sans-serif" w:hAnsi="sans-serif"/>
          <w:b w:val="false"/>
          <w:color w:val="000000"/>
          <w:sz w:val="20"/>
        </w:rPr>
        <w:t>Our operating revenues are seasonal in nature with peak revenues typically occurring in the months of February through April. Therefore, results for interim periods are not indicative of results to be expected for the full year.</w:t>
      </w:r>
    </w:p>
    <w:p>
      <w:pPr>
        <w:pStyle w:val="TextBody"/>
        <w:bidi w:val="0"/>
        <w:spacing w:lineRule="auto" w:line="288" w:before="120" w:after="283"/>
        <w:ind w:left="0" w:right="0" w:firstLine="225"/>
        <w:jc w:val="both"/>
        <w:rPr/>
      </w:pPr>
      <w:r>
        <w:rPr>
          <w:rFonts w:ascii="sans-serif" w:hAnsi="sans-serif"/>
          <w:b/>
          <w:color w:val="000000"/>
          <w:sz w:val="20"/>
        </w:rPr>
        <w:t>DISCONTINUED OPERATIONS</w:t>
      </w:r>
      <w:r>
        <w:rPr>
          <w:color w:val="000000"/>
        </w:rPr>
        <w:t> – </w:t>
      </w:r>
      <w:r>
        <w:rPr>
          <w:rFonts w:ascii="sans-serif" w:hAnsi="sans-serif"/>
          <w:b w:val="false"/>
          <w:color w:val="000000"/>
          <w:sz w:val="20"/>
        </w:rPr>
        <w:t>Our discontinued operations include the results of operations of Sand Canyon Corporation, previously known as Option One Mortgage Corporation, which exited its mortgage business in fiscal year 2008.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37845"/>
                <wp:effectExtent l="0" t="0" r="0" b="0"/>
                <wp:wrapNone/>
                <wp:docPr id="8" name="Frame8"/>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jc w:val="left"/>
        <w:rPr/>
      </w:pPr>
      <w:r>
        <w:rPr>
          <w:rFonts w:ascii="sans-serif" w:hAnsi="sans-serif"/>
          <w:b/>
          <w:color w:val="14AA40"/>
          <w:sz w:val="28"/>
        </w:rPr>
        <w:t>NOTE 2: REVENUE RECOGNITION</w:t>
      </w:r>
      <w:r>
        <w:rPr>
          <w:color w:val="14AA40"/>
        </w:rPr>
        <w:t xml:space="preserv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majority of our revenues are from our United States (U.S.) tax services business. The following table disaggregates our U.S. revenues by major service line, with revenues from our international tax services businesses and from Wave included as separate lines:</w:t>
      </w:r>
    </w:p>
    <w:tbl>
      <w:tblPr>
        <w:tblW w:w="10205" w:type="dxa"/>
        <w:jc w:val="left"/>
        <w:tblInd w:w="0" w:type="dxa"/>
        <w:tblLayout w:type="fixed"/>
        <w:tblCellMar>
          <w:top w:w="28" w:type="dxa"/>
          <w:left w:w="28" w:type="dxa"/>
          <w:bottom w:w="28" w:type="dxa"/>
          <w:right w:w="28" w:type="dxa"/>
        </w:tblCellMar>
      </w:tblPr>
      <w:tblGrid>
        <w:gridCol w:w="1098"/>
        <w:gridCol w:w="921"/>
        <w:gridCol w:w="928"/>
        <w:gridCol w:w="109"/>
        <w:gridCol w:w="109"/>
        <w:gridCol w:w="109"/>
        <w:gridCol w:w="226"/>
        <w:gridCol w:w="1156"/>
        <w:gridCol w:w="109"/>
        <w:gridCol w:w="109"/>
        <w:gridCol w:w="109"/>
        <w:gridCol w:w="109"/>
        <w:gridCol w:w="226"/>
        <w:gridCol w:w="1126"/>
        <w:gridCol w:w="109"/>
        <w:gridCol w:w="109"/>
        <w:gridCol w:w="109"/>
        <w:gridCol w:w="109"/>
        <w:gridCol w:w="226"/>
        <w:gridCol w:w="1156"/>
        <w:gridCol w:w="109"/>
        <w:gridCol w:w="109"/>
        <w:gridCol w:w="109"/>
        <w:gridCol w:w="109"/>
        <w:gridCol w:w="226"/>
        <w:gridCol w:w="1126"/>
        <w:gridCol w:w="155"/>
      </w:tblGrid>
      <w:tr>
        <w:trPr/>
        <w:tc>
          <w:tcPr>
            <w:tcW w:w="109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March 31,</w:t>
            </w:r>
          </w:p>
        </w:tc>
      </w:tr>
      <w:tr>
        <w:trPr/>
        <w:tc>
          <w:tcPr>
            <w:tcW w:w="2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r>
      <w:tr>
        <w:trPr/>
        <w:tc>
          <w:tcPr>
            <w:tcW w:w="2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U.S. assisted tax preparation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1,635,877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1,727,220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1,622,430 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U.S.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133,961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143,312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153,070 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U.S. DIY tax preparation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214,666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231,646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215,529 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Refund Transfers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113,732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115,229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120,892 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Peace of Mind® Extended Service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15,625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54,867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59,100 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Tax Identity Shield®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7,025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14,947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Emerald Card® and Spruce</w:t>
            </w:r>
            <w:r>
              <w:rPr>
                <w:rFonts w:ascii="sans-serif" w:hAnsi="sans-serif"/>
                <w:b w:val="false"/>
                <w:color w:val="000000"/>
                <w:sz w:val="12"/>
              </w:rPr>
              <w:t>SM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40,195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59,169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61,493 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and fee income on Emerald Advance®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14,286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26,594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36,702 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60,438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157,104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158,398 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26,717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79,681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70,656 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14,582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40,215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2,277,104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2,184,834 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2,649,984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2,547,717 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Changes in the balances of deferred revenue and wages for our Peace of Mind® Extended Service Plan (POM) are as follows:</w:t>
      </w:r>
    </w:p>
    <w:tbl>
      <w:tblPr>
        <w:tblW w:w="10197" w:type="dxa"/>
        <w:jc w:val="left"/>
        <w:tblInd w:w="0" w:type="dxa"/>
        <w:tblLayout w:type="fixed"/>
        <w:tblCellMar>
          <w:top w:w="28" w:type="dxa"/>
          <w:left w:w="28" w:type="dxa"/>
          <w:bottom w:w="28" w:type="dxa"/>
          <w:right w:w="28" w:type="dxa"/>
        </w:tblCellMar>
      </w:tblPr>
      <w:tblGrid>
        <w:gridCol w:w="1420"/>
        <w:gridCol w:w="1245"/>
        <w:gridCol w:w="1265"/>
        <w:gridCol w:w="109"/>
        <w:gridCol w:w="109"/>
        <w:gridCol w:w="109"/>
        <w:gridCol w:w="226"/>
        <w:gridCol w:w="961"/>
        <w:gridCol w:w="109"/>
        <w:gridCol w:w="109"/>
        <w:gridCol w:w="109"/>
        <w:gridCol w:w="109"/>
        <w:gridCol w:w="226"/>
        <w:gridCol w:w="946"/>
        <w:gridCol w:w="109"/>
        <w:gridCol w:w="109"/>
        <w:gridCol w:w="109"/>
        <w:gridCol w:w="109"/>
        <w:gridCol w:w="226"/>
        <w:gridCol w:w="841"/>
        <w:gridCol w:w="109"/>
        <w:gridCol w:w="109"/>
        <w:gridCol w:w="109"/>
        <w:gridCol w:w="109"/>
        <w:gridCol w:w="226"/>
        <w:gridCol w:w="826"/>
        <w:gridCol w:w="154"/>
      </w:tblGrid>
      <w:tr>
        <w:trPr/>
        <w:tc>
          <w:tcPr>
            <w:tcW w:w="142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POM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Deferred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Deferred Wages</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156,610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167,257 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20,212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21,828 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Amounts 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70,536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Amounts recognized on previous deferrals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(64,885)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162,261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171,181 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19,038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shd w:fill="FFFFFF" w:val="clear"/>
        </w:rPr>
      </w:pPr>
      <w:r>
        <w:rPr>
          <w:rFonts w:ascii="sans-serif" w:hAnsi="sans-serif"/>
          <w:b w:val="false"/>
          <w:color w:val="000000"/>
          <w:sz w:val="20"/>
          <w:shd w:fill="FFFFFF" w:val="clear"/>
        </w:rPr>
        <w:t xml:space="preserve">As of March 31, 2025, deferred revenue related to POM was $162.3 million. We expect that $91.8 million will be recognized over the next twelve months, while the remaining balance will be recognized over the following five years. </w:t>
      </w:r>
    </w:p>
    <w:p>
      <w:pPr>
        <w:pStyle w:val="TextBody"/>
        <w:bidi w:val="0"/>
        <w:spacing w:lineRule="auto" w:line="288" w:before="120" w:after="283"/>
        <w:ind w:left="0" w:right="0" w:firstLine="270"/>
        <w:jc w:val="both"/>
        <w:rPr>
          <w:rFonts w:ascii="sans-serif" w:hAnsi="sans-serif"/>
          <w:b w:val="false"/>
          <w:color w:val="000000"/>
          <w:sz w:val="20"/>
          <w:shd w:fill="FFFFFF" w:val="clear"/>
        </w:rPr>
      </w:pPr>
      <w:r>
        <w:rPr>
          <w:rFonts w:ascii="sans-serif" w:hAnsi="sans-serif"/>
          <w:b w:val="false"/>
          <w:color w:val="000000"/>
          <w:sz w:val="20"/>
          <w:shd w:fill="FFFFFF" w:val="clear"/>
        </w:rPr>
        <w:t>As of March 31, 2025 and 2024, Tax Identity Shield® (TIS) deferred revenue was $31.2 million and $31.6 million, respectively. Deferred revenue related to TIS was $21.4 million and $25.2 million as of June 30, 2024 and 2023, respectively. All deferred revenue related to TIS will be recognized through April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NOTE 3: EARNINGS PER SHARE AND STOCKHOLDERS' EQUITY </w:t>
      </w:r>
    </w:p>
    <w:p>
      <w:pPr>
        <w:pStyle w:val="TextBody"/>
        <w:bidi w:val="0"/>
        <w:spacing w:lineRule="auto" w:line="288" w:before="120" w:after="283"/>
        <w:jc w:val="both"/>
        <w:rPr/>
      </w:pPr>
      <w:r>
        <w:rPr>
          <w:rFonts w:ascii="sans-serif" w:hAnsi="sans-serif"/>
          <w:b/>
          <w:color w:val="000000"/>
          <w:sz w:val="20"/>
        </w:rPr>
        <w:t xml:space="preserve">EARNINGS PER SHARE </w:t>
      </w:r>
      <w:r>
        <w:rPr>
          <w:color w:val="000000"/>
        </w:rPr>
        <w:t xml:space="preserve">– </w:t>
      </w:r>
      <w:r>
        <w:rPr>
          <w:rFonts w:ascii="sans-serif" w:hAnsi="sans-serif"/>
          <w:b w:val="false"/>
          <w:color w:val="000000"/>
          <w:sz w:val="20"/>
        </w:rPr>
        <w:t xml:space="preserve">Basic and diluted earnings (loss) per share is computed using the two-class method. The two-class method is an earnings allocation formula that determines net income per share for each class of common stock and participating security according to dividends declared and participation rights in undistributed earnings. Per share amounts are computed by dividing net income (loss) from continuing operations attributable to common shareholders by the weighted average shares outstanding during each period. Diluted earnings per share excludes the impact of shares of common stock issuable upon the lapse of certain restrictions or the exercise of options to purchase 0.6 million and 0.5 million shares for the three and nine months ended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94995"/>
                <wp:effectExtent l="0" t="0" r="0" b="0"/>
                <wp:wrapNone/>
                <wp:docPr id="9" name="Frame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pPr>
      <w:r>
        <w:rPr>
          <w:rFonts w:ascii="sans-serif" w:hAnsi="sans-serif"/>
          <w:b w:val="false"/>
          <w:color w:val="000000"/>
          <w:sz w:val="20"/>
        </w:rPr>
        <w:t xml:space="preserve">respectively, and one thousand and 0.2 million shares for the three and nine months ended March 31, 2024, respectively, </w:t>
      </w:r>
      <w:r>
        <w:rPr>
          <w:rFonts w:ascii="sans-serif" w:hAnsi="sans-serif"/>
          <w:b w:val="false"/>
          <w:color w:val="000000"/>
          <w:sz w:val="20"/>
          <w:shd w:fill="FFFFFF" w:val="clear"/>
        </w:rPr>
        <w:t>as the effect would be antidilutive.</w:t>
      </w:r>
    </w:p>
    <w:p>
      <w:pPr>
        <w:pStyle w:val="TextBody"/>
        <w:bidi w:val="0"/>
        <w:spacing w:lineRule="auto" w:line="288" w:before="120" w:after="283"/>
        <w:ind w:left="0" w:right="0" w:firstLine="225"/>
        <w:jc w:val="left"/>
        <w:rPr>
          <w:rFonts w:ascii="sans-serif" w:hAnsi="sans-serif"/>
          <w:b w:val="false"/>
          <w:color w:val="000000"/>
          <w:sz w:val="20"/>
        </w:rPr>
      </w:pPr>
      <w:r>
        <w:rPr>
          <w:rFonts w:ascii="sans-serif" w:hAnsi="sans-serif"/>
          <w:b w:val="false"/>
          <w:color w:val="000000"/>
          <w:sz w:val="20"/>
        </w:rPr>
        <w:t>The computations of basic and diluted earnings per share from continuing operations are as follows:</w:t>
      </w:r>
    </w:p>
    <w:tbl>
      <w:tblPr>
        <w:tblW w:w="10205" w:type="dxa"/>
        <w:jc w:val="left"/>
        <w:tblInd w:w="0" w:type="dxa"/>
        <w:tblLayout w:type="fixed"/>
        <w:tblCellMar>
          <w:top w:w="28" w:type="dxa"/>
          <w:left w:w="28" w:type="dxa"/>
          <w:bottom w:w="28" w:type="dxa"/>
          <w:right w:w="28" w:type="dxa"/>
        </w:tblCellMar>
      </w:tblPr>
      <w:tblGrid>
        <w:gridCol w:w="1330"/>
        <w:gridCol w:w="1169"/>
        <w:gridCol w:w="1175"/>
        <w:gridCol w:w="109"/>
        <w:gridCol w:w="109"/>
        <w:gridCol w:w="109"/>
        <w:gridCol w:w="227"/>
        <w:gridCol w:w="969"/>
        <w:gridCol w:w="109"/>
        <w:gridCol w:w="109"/>
        <w:gridCol w:w="109"/>
        <w:gridCol w:w="109"/>
        <w:gridCol w:w="227"/>
        <w:gridCol w:w="953"/>
        <w:gridCol w:w="109"/>
        <w:gridCol w:w="109"/>
        <w:gridCol w:w="109"/>
        <w:gridCol w:w="109"/>
        <w:gridCol w:w="226"/>
        <w:gridCol w:w="961"/>
        <w:gridCol w:w="109"/>
        <w:gridCol w:w="109"/>
        <w:gridCol w:w="109"/>
        <w:gridCol w:w="109"/>
        <w:gridCol w:w="226"/>
        <w:gridCol w:w="946"/>
        <w:gridCol w:w="161"/>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36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March 31,</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sans-serif" w:hAnsi="sans-serif"/>
                <w:b w:val="false"/>
                <w:color w:val="000000"/>
                <w:sz w:val="18"/>
              </w:rPr>
            </w:pPr>
            <w:r>
              <w:rPr>
                <w:rFonts w:ascii="sans-serif" w:hAnsi="sans-serif"/>
                <w:b w:val="false"/>
                <w:color w:val="000000"/>
                <w:sz w:val="18"/>
              </w:rPr>
              <w:t>2024</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from continuing operations attributable to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722,928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691,586 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309,041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339,597 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Amounts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(1,350)</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from continuing operations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719,486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688,798 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307,633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338,247 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 weighted average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133,853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136,207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142,724 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Potential dilutive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Dilutive weighted average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135,329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137,944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144,594 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Earnings per share from continuing operations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shd w:fill="FFFFFF" w:val="clear"/>
        </w:rPr>
      </w:pPr>
      <w:r>
        <w:rPr>
          <w:rFonts w:ascii="sans-serif" w:hAnsi="sans-serif"/>
          <w:b w:val="false"/>
          <w:color w:val="000000"/>
          <w:sz w:val="20"/>
          <w:shd w:fill="FFFFFF" w:val="clear"/>
        </w:rPr>
        <w:t xml:space="preserve">The decrease in the weighted average shares outstanding is due to share repurchases completed in the current and prior fiscal years. </w:t>
      </w:r>
    </w:p>
    <w:p>
      <w:pPr>
        <w:pStyle w:val="TextBody"/>
        <w:bidi w:val="0"/>
        <w:spacing w:lineRule="auto" w:line="288" w:before="120" w:after="283"/>
        <w:ind w:left="0" w:right="0" w:firstLine="270"/>
        <w:jc w:val="both"/>
        <w:rPr/>
      </w:pPr>
      <w:r>
        <w:rPr>
          <w:rFonts w:ascii="sans-serif" w:hAnsi="sans-serif"/>
          <w:b/>
          <w:color w:val="000000"/>
          <w:sz w:val="20"/>
          <w:shd w:fill="FFFFFF" w:val="clear"/>
        </w:rPr>
        <w:t>STOCK-BASED COMPENSATION</w:t>
      </w:r>
      <w:r>
        <w:rPr>
          <w:color w:val="000000"/>
        </w:rPr>
        <w:t xml:space="preserve"> – </w:t>
      </w:r>
      <w:r>
        <w:rPr>
          <w:rFonts w:ascii="sans-serif" w:hAnsi="sans-serif"/>
          <w:b w:val="false"/>
          <w:color w:val="000000"/>
          <w:sz w:val="20"/>
        </w:rPr>
        <w:t xml:space="preserve">We granted 1.1 million and 1.7 million shares, including adjustments for performance achievement and dividend equivalents, under our stock-based compensation plans during the nine months ended March 31, 2025 and 2024, respectively. Stock-based compensation expense of our continuing operations totaled $7.5 million and $25.4 million for the three and nine months ended March 31, 2025, respectively, and $7.8 million and $25.3 million for the three and nine months ended March 31, 2024, respectively. As of March 31, 2025, unrecognized compensation cost for nonvested shares and units totaled $50.8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NOTE 4: RECEIVABLES </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Receivables, net of their related allowance, consist of the following:</w:t>
      </w:r>
    </w:p>
    <w:tbl>
      <w:tblPr>
        <w:tblW w:w="10205" w:type="dxa"/>
        <w:jc w:val="left"/>
        <w:tblInd w:w="0" w:type="dxa"/>
        <w:tblLayout w:type="fixed"/>
        <w:tblCellMar>
          <w:top w:w="28" w:type="dxa"/>
          <w:left w:w="28" w:type="dxa"/>
          <w:bottom w:w="28" w:type="dxa"/>
          <w:right w:w="28" w:type="dxa"/>
        </w:tblCellMar>
      </w:tblPr>
      <w:tblGrid>
        <w:gridCol w:w="1477"/>
        <w:gridCol w:w="1287"/>
        <w:gridCol w:w="1293"/>
        <w:gridCol w:w="109"/>
        <w:gridCol w:w="109"/>
        <w:gridCol w:w="109"/>
        <w:gridCol w:w="226"/>
        <w:gridCol w:w="961"/>
        <w:gridCol w:w="109"/>
        <w:gridCol w:w="109"/>
        <w:gridCol w:w="109"/>
        <w:gridCol w:w="109"/>
        <w:gridCol w:w="226"/>
        <w:gridCol w:w="841"/>
        <w:gridCol w:w="109"/>
        <w:gridCol w:w="109"/>
        <w:gridCol w:w="109"/>
        <w:gridCol w:w="109"/>
        <w:gridCol w:w="226"/>
        <w:gridCol w:w="826"/>
        <w:gridCol w:w="109"/>
        <w:gridCol w:w="109"/>
        <w:gridCol w:w="109"/>
        <w:gridCol w:w="109"/>
        <w:gridCol w:w="226"/>
        <w:gridCol w:w="826"/>
        <w:gridCol w:w="155"/>
      </w:tblGrid>
      <w:tr>
        <w:trPr/>
        <w:tc>
          <w:tcPr>
            <w:tcW w:w="147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4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June 30, 2024</w:t>
            </w:r>
          </w:p>
        </w:tc>
      </w:tr>
      <w:tr>
        <w:trPr/>
        <w:tc>
          <w:tcPr>
            <w:tcW w:w="4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Long-term</w:t>
            </w:r>
          </w:p>
        </w:tc>
      </w:tr>
      <w:tr>
        <w:trPr/>
        <w:tc>
          <w:tcPr>
            <w:tcW w:w="4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Loans to franchisees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17,267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17,979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16,498 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Receivables for U.S. assisted and DIY tax preparation and 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221,510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9,282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8"/>
              </w:rPr>
            </w:pPr>
            <w:r>
              <w:rPr>
                <w:rFonts w:ascii="sans-serif" w:hAnsi="sans-serif"/>
                <w:b w:val="false"/>
                <w:color w:val="000000"/>
                <w:sz w:val="18"/>
              </w:rPr>
              <w:t>H&amp;R Block's Instant Refund®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24,162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Emerald Advance®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22,385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22,635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21,360 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Software receivables from retailers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11,097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Royalties and other receivables from franchisees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32,394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Wave payment processing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1,801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21,782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352,398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51,316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43,824 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37845"/>
                <wp:effectExtent l="0" t="0" r="0" b="0"/>
                <wp:wrapNone/>
                <wp:docPr id="10" name="Frame10"/>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8</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8</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00" w:after="283"/>
        <w:ind w:left="0" w:right="0" w:firstLine="270"/>
        <w:jc w:val="both"/>
        <w:rPr>
          <w:rFonts w:ascii="sans-serif" w:hAnsi="sans-serif"/>
          <w:b w:val="false"/>
          <w:color w:val="000000"/>
          <w:sz w:val="20"/>
        </w:rPr>
      </w:pPr>
      <w:r>
        <w:rPr>
          <w:rFonts w:ascii="sans-serif" w:hAnsi="sans-serif"/>
          <w:b w:val="false"/>
          <w:color w:val="000000"/>
          <w:sz w:val="20"/>
        </w:rPr>
        <w:t xml:space="preserve">Balances presented above as short-term are included in receivables, while the long-term portions are included in other noncurrent assets in the consolidated balance sheets. </w:t>
      </w:r>
    </w:p>
    <w:p>
      <w:pPr>
        <w:pStyle w:val="TextBody"/>
        <w:bidi w:val="0"/>
        <w:spacing w:lineRule="auto" w:line="288" w:before="120" w:after="283"/>
        <w:ind w:left="0" w:right="0" w:firstLine="225"/>
        <w:jc w:val="both"/>
        <w:rPr/>
      </w:pPr>
      <w:r>
        <w:rPr>
          <w:rFonts w:ascii="sans-serif" w:hAnsi="sans-serif"/>
          <w:b/>
          <w:color w:val="000000"/>
          <w:sz w:val="20"/>
        </w:rPr>
        <w:t xml:space="preserve">LOANS TO FRANCHISEES </w:t>
      </w:r>
      <w:r>
        <w:rPr>
          <w:color w:val="000000"/>
        </w:rPr>
        <w:t xml:space="preserve">– </w:t>
      </w:r>
      <w:r>
        <w:rPr>
          <w:rFonts w:ascii="sans-serif" w:hAnsi="sans-serif"/>
          <w:b w:val="false"/>
          <w:color w:val="000000"/>
          <w:sz w:val="20"/>
        </w:rPr>
        <w:t xml:space="preserve">Franchisee loan balances consist of term loans made primarily to finance the purchase of franchises and revolving lines of credit primarily for the purpose of funding working capital needs. Loans with a principal balance more than 90 days past due or on non-accrual status were $2.2 million and $1.1 million as of </w:t>
      </w:r>
      <w:r>
        <w:rPr>
          <w:rFonts w:ascii="sans-serif" w:hAnsi="sans-serif"/>
          <w:b w:val="false"/>
          <w:color w:val="000000"/>
          <w:sz w:val="20"/>
          <w:shd w:fill="FFFFFF" w:val="clear"/>
        </w:rPr>
        <w:t xml:space="preserve">March 31, 2025 </w:t>
      </w:r>
      <w:r>
        <w:rPr>
          <w:rFonts w:ascii="sans-serif" w:hAnsi="sans-serif"/>
          <w:b w:val="false"/>
          <w:color w:val="000000"/>
          <w:sz w:val="20"/>
        </w:rPr>
        <w:t xml:space="preserve">and June 30, 2024, respectively. </w:t>
      </w:r>
    </w:p>
    <w:p>
      <w:pPr>
        <w:pStyle w:val="TextBody"/>
        <w:bidi w:val="0"/>
        <w:spacing w:lineRule="auto" w:line="288" w:before="120" w:after="283"/>
        <w:ind w:left="0" w:right="0" w:firstLine="225"/>
        <w:jc w:val="both"/>
        <w:rPr/>
      </w:pPr>
      <w:r>
        <w:rPr>
          <w:rFonts w:ascii="sans-serif" w:hAnsi="sans-serif"/>
          <w:b/>
          <w:color w:val="000000"/>
          <w:sz w:val="20"/>
        </w:rPr>
        <w:t>H&amp;R BLOCK'S INSTANT REFUND</w:t>
      </w:r>
      <w:r>
        <w:rPr>
          <w:rFonts w:ascii="sans-serif" w:hAnsi="sans-serif"/>
          <w:b w:val="false"/>
          <w:color w:val="000000"/>
          <w:sz w:val="20"/>
        </w:rPr>
        <w:t>®</w:t>
      </w:r>
      <w:r>
        <w:rPr>
          <w:color w:val="000000"/>
        </w:rPr>
        <w:t xml:space="preserve"> – </w:t>
      </w:r>
      <w:r>
        <w:rPr>
          <w:rFonts w:ascii="sans-serif" w:hAnsi="sans-serif"/>
          <w:b w:val="false"/>
          <w:color w:val="000000"/>
          <w:sz w:val="20"/>
        </w:rPr>
        <w:t xml:space="preserve">H&amp;R Block's Instant Refund® amounts are generally received from the Canada Revenue Agency within 60 days of filing the client's return, with the remaining balance collectible from the client.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review the credit quality of our Instant Refund receivables based on pools, which are segregated by the tax return year of origination, with older years being deemed more unlikely to be repaid. We establish an allowance for credit losses at an amount that we believe reflects the receivable at net realizable value. In December of each year, we charge-off the receivables and the related allowance to an amount we believe represents the net realizable value.</w:t>
      </w:r>
    </w:p>
    <w:p>
      <w:pPr>
        <w:pStyle w:val="TextBody"/>
        <w:bidi w:val="0"/>
        <w:spacing w:lineRule="auto" w:line="288" w:before="120" w:after="283"/>
        <w:ind w:left="0" w:right="0" w:firstLine="225"/>
        <w:jc w:val="both"/>
        <w:rPr/>
      </w:pPr>
      <w:r>
        <w:rPr>
          <w:rFonts w:ascii="sans-serif" w:hAnsi="sans-serif"/>
          <w:b w:val="false"/>
          <w:color w:val="000000"/>
          <w:sz w:val="20"/>
        </w:rPr>
        <w:t>Balances and amounts on non-accrual status, classified as impaired, or more than 60 days past due, by tax return year of origination, as of March 31, 2025 are as foll</w:t>
      </w:r>
      <w:r>
        <w:rPr>
          <w:rFonts w:ascii="sans-serif" w:hAnsi="sans-serif"/>
          <w:b w:val="false"/>
          <w:color w:val="000000"/>
          <w:sz w:val="20"/>
          <w:shd w:fill="FFFFFF" w:val="clear"/>
        </w:rPr>
        <w:t>ows:</w:t>
      </w:r>
    </w:p>
    <w:tbl>
      <w:tblPr>
        <w:tblW w:w="7334" w:type="dxa"/>
        <w:jc w:val="left"/>
        <w:tblInd w:w="0" w:type="dxa"/>
        <w:tblLayout w:type="fixed"/>
        <w:tblCellMar>
          <w:top w:w="28" w:type="dxa"/>
          <w:left w:w="28" w:type="dxa"/>
          <w:bottom w:w="28" w:type="dxa"/>
          <w:right w:w="28" w:type="dxa"/>
        </w:tblCellMar>
      </w:tblPr>
      <w:tblGrid>
        <w:gridCol w:w="998"/>
        <w:gridCol w:w="878"/>
        <w:gridCol w:w="883"/>
        <w:gridCol w:w="109"/>
        <w:gridCol w:w="109"/>
        <w:gridCol w:w="109"/>
        <w:gridCol w:w="226"/>
        <w:gridCol w:w="841"/>
        <w:gridCol w:w="109"/>
        <w:gridCol w:w="109"/>
        <w:gridCol w:w="109"/>
        <w:gridCol w:w="109"/>
        <w:gridCol w:w="563"/>
        <w:gridCol w:w="1798"/>
        <w:gridCol w:w="38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072"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Tax return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More Than 60 Days Past Due</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24,713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7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2023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1,027</w:t>
            </w: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25,740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1,027</w:t>
            </w:r>
            <w:r>
              <w:rPr>
                <w:color w:val="000000"/>
              </w:rPr>
              <w:t>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24,970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pPr>
      <w:r>
        <w:rPr>
          <w:rFonts w:ascii="sans-serif" w:hAnsi="sans-serif"/>
          <w:b/>
          <w:color w:val="000000"/>
          <w:sz w:val="20"/>
        </w:rPr>
        <w:t>EMERALD ADVANCE</w:t>
      </w:r>
      <w:r>
        <w:rPr>
          <w:rFonts w:ascii="sans-serif" w:hAnsi="sans-serif"/>
          <w:b w:val="false"/>
          <w:color w:val="000000"/>
          <w:sz w:val="20"/>
        </w:rPr>
        <w:t>®</w:t>
      </w:r>
      <w:r>
        <w:rPr>
          <w:color w:val="000000"/>
        </w:rPr>
        <w:t xml:space="preserve"> – </w:t>
      </w:r>
      <w:r>
        <w:rPr>
          <w:rFonts w:ascii="sans-serif" w:hAnsi="sans-serif"/>
          <w:b w:val="false"/>
          <w:color w:val="000000"/>
          <w:sz w:val="20"/>
        </w:rPr>
        <w:t>We review the credit quality of our purchased participation interests in Emerald Advance® (EA) receivables based on pools, which are segregated by the fiscal year of origination, with older years being deemed more unlikely to be repaid. We establish an allowance for credit losses at an amount that we believe reflects the receivable at net realizable value. Typically, in December of each year, we charge-off the receivables and the related allowance for EAs to an amount we believe represents the net realizable value.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Balances and amounts on non-accrual status, classified as impaired, or more than 60 days past due, by fiscal year of origination, as of March 31, 2025 are as follows:</w:t>
      </w:r>
    </w:p>
    <w:tbl>
      <w:tblPr>
        <w:tblW w:w="5385" w:type="dxa"/>
        <w:jc w:val="left"/>
        <w:tblInd w:w="0" w:type="dxa"/>
        <w:tblLayout w:type="fixed"/>
        <w:tblCellMar>
          <w:top w:w="28" w:type="dxa"/>
          <w:left w:w="28" w:type="dxa"/>
          <w:bottom w:w="28" w:type="dxa"/>
          <w:right w:w="28" w:type="dxa"/>
        </w:tblCellMar>
      </w:tblPr>
      <w:tblGrid>
        <w:gridCol w:w="835"/>
        <w:gridCol w:w="735"/>
        <w:gridCol w:w="739"/>
        <w:gridCol w:w="109"/>
        <w:gridCol w:w="109"/>
        <w:gridCol w:w="109"/>
        <w:gridCol w:w="226"/>
        <w:gridCol w:w="841"/>
        <w:gridCol w:w="109"/>
        <w:gridCol w:w="109"/>
        <w:gridCol w:w="109"/>
        <w:gridCol w:w="109"/>
        <w:gridCol w:w="230"/>
        <w:gridCol w:w="858"/>
        <w:gridCol w:w="158"/>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85"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Non-Accrual</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40,017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2024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24,374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24,374</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64,391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24,374</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45,020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94995"/>
                <wp:effectExtent l="0" t="0" r="0" b="0"/>
                <wp:wrapNone/>
                <wp:docPr id="11" name="Frame1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ind w:left="0" w:right="0" w:firstLine="225"/>
        <w:jc w:val="both"/>
        <w:rPr/>
      </w:pPr>
      <w:r>
        <w:rPr>
          <w:rFonts w:ascii="sans-serif" w:hAnsi="sans-serif"/>
          <w:b/>
          <w:color w:val="000000"/>
          <w:sz w:val="20"/>
        </w:rPr>
        <w:t xml:space="preserve">ALLOWANCE FOR CREDIT LOSSES </w:t>
      </w:r>
      <w:r>
        <w:rPr>
          <w:color w:val="000000"/>
        </w:rPr>
        <w:t xml:space="preserve">– </w:t>
      </w:r>
      <w:r>
        <w:rPr>
          <w:rFonts w:ascii="sans-serif" w:hAnsi="sans-serif"/>
          <w:b w:val="false"/>
          <w:color w:val="000000"/>
          <w:sz w:val="20"/>
        </w:rPr>
        <w:t>Activity in the allowance for credit losses for EA and all other short-term and long-term receivables for the nine months ended March 31, 2025 and 2024 is as follows:</w:t>
      </w:r>
    </w:p>
    <w:tbl>
      <w:tblPr>
        <w:tblW w:w="8327" w:type="dxa"/>
        <w:jc w:val="left"/>
        <w:tblInd w:w="0" w:type="dxa"/>
        <w:tblLayout w:type="fixed"/>
        <w:tblCellMar>
          <w:top w:w="28" w:type="dxa"/>
          <w:left w:w="28" w:type="dxa"/>
          <w:bottom w:w="28" w:type="dxa"/>
          <w:right w:w="28" w:type="dxa"/>
        </w:tblCellMar>
      </w:tblPr>
      <w:tblGrid>
        <w:gridCol w:w="1131"/>
        <w:gridCol w:w="991"/>
        <w:gridCol w:w="997"/>
        <w:gridCol w:w="109"/>
        <w:gridCol w:w="109"/>
        <w:gridCol w:w="109"/>
        <w:gridCol w:w="226"/>
        <w:gridCol w:w="841"/>
        <w:gridCol w:w="109"/>
        <w:gridCol w:w="109"/>
        <w:gridCol w:w="109"/>
        <w:gridCol w:w="109"/>
        <w:gridCol w:w="109"/>
        <w:gridCol w:w="109"/>
        <w:gridCol w:w="109"/>
        <w:gridCol w:w="109"/>
        <w:gridCol w:w="109"/>
        <w:gridCol w:w="109"/>
        <w:gridCol w:w="226"/>
        <w:gridCol w:w="841"/>
        <w:gridCol w:w="109"/>
        <w:gridCol w:w="109"/>
        <w:gridCol w:w="109"/>
        <w:gridCol w:w="109"/>
        <w:gridCol w:w="226"/>
        <w:gridCol w:w="841"/>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6"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3051" w:type="dxa"/>
            <w:gridSpan w:val="12"/>
            <w:tcBorders/>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EAs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Total</w:t>
            </w:r>
          </w:p>
        </w:tc>
      </w:tr>
      <w:tr>
        <w:trPr/>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July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33,536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45,327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78,863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19,371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36,671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56,042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Charge-offs, recoveries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(33,536)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(45,864)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(79,400)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19,371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36,134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55,505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July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62,494 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Charge-offs, recoveries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225"/>
        <w:jc w:val="both"/>
        <w:rPr>
          <w:rFonts w:ascii="sans-serif" w:hAnsi="sans-serif"/>
          <w:b w:val="false"/>
          <w:color w:val="000000"/>
          <w:sz w:val="20"/>
        </w:rPr>
      </w:pPr>
      <w:r>
        <w:rPr>
          <w:rFonts w:ascii="sans-serif" w:hAnsi="sans-serif"/>
          <w:b w:val="false"/>
          <w:color w:val="000000"/>
          <w:sz w:val="20"/>
        </w:rPr>
        <w:t>For the nine months ended March 31, 2025, there were $33.5 million of gross charge-offs related to EAs which were originated in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NOTE 5: GOODWILL AND INTANGIBLE ASSETS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Changes in the carrying amount of goodwill for the nine months ended March 31, 2025 are as follows:</w:t>
      </w:r>
    </w:p>
    <w:tbl>
      <w:tblPr>
        <w:tblW w:w="10205" w:type="dxa"/>
        <w:jc w:val="left"/>
        <w:tblInd w:w="0" w:type="dxa"/>
        <w:tblLayout w:type="fixed"/>
        <w:tblCellMar>
          <w:top w:w="28" w:type="dxa"/>
          <w:left w:w="28" w:type="dxa"/>
          <w:bottom w:w="28" w:type="dxa"/>
          <w:right w:w="28" w:type="dxa"/>
        </w:tblCellMar>
      </w:tblPr>
      <w:tblGrid>
        <w:gridCol w:w="1374"/>
        <w:gridCol w:w="1153"/>
        <w:gridCol w:w="1160"/>
        <w:gridCol w:w="109"/>
        <w:gridCol w:w="109"/>
        <w:gridCol w:w="109"/>
        <w:gridCol w:w="226"/>
        <w:gridCol w:w="961"/>
        <w:gridCol w:w="109"/>
        <w:gridCol w:w="109"/>
        <w:gridCol w:w="109"/>
        <w:gridCol w:w="109"/>
        <w:gridCol w:w="456"/>
        <w:gridCol w:w="2112"/>
        <w:gridCol w:w="219"/>
        <w:gridCol w:w="109"/>
        <w:gridCol w:w="109"/>
        <w:gridCol w:w="109"/>
        <w:gridCol w:w="226"/>
        <w:gridCol w:w="961"/>
        <w:gridCol w:w="109"/>
        <w:gridCol w:w="158"/>
      </w:tblGrid>
      <w:tr>
        <w:trPr/>
        <w:tc>
          <w:tcPr>
            <w:tcW w:w="137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Goodwill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Accumulated Impairment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Net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Balances as of July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923,523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21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(138,297)</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785,226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Acquisitions</w:t>
            </w:r>
            <w:r>
              <w:rPr>
                <w:rFonts w:ascii="sans-serif" w:hAns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15,374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15,374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Disposals and foreign currency changes,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(14,664)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(14,664)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924,233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2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(138,297)</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785,936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10"/>
        </w:rPr>
        <w:t>(1)</w:t>
      </w:r>
      <w:r>
        <w:rPr>
          <w:color w:val="000000"/>
        </w:rPr>
        <w:t>    </w:t>
      </w:r>
      <w:r>
        <w:rPr>
          <w:rFonts w:ascii="sans-serif" w:hAnsi="sans-serif"/>
          <w:b w:val="false"/>
          <w:color w:val="000000"/>
          <w:sz w:val="16"/>
        </w:rPr>
        <w:t>All goodwill added during the period is expected to be tax-deductible for federal income tax reporting.</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In conjunction with our annual impairment test, we tested goodwill for impairment during the quarter and did not identify any impairment.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37845"/>
                <wp:effectExtent l="0" t="0" r="0" b="0"/>
                <wp:wrapNone/>
                <wp:docPr id="12" name="Frame12"/>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10</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10</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Components of intangible assets are as follows:</w:t>
      </w:r>
    </w:p>
    <w:tbl>
      <w:tblPr>
        <w:tblW w:w="8701" w:type="dxa"/>
        <w:jc w:val="left"/>
        <w:tblInd w:w="0" w:type="dxa"/>
        <w:tblLayout w:type="fixed"/>
        <w:tblCellMar>
          <w:top w:w="28" w:type="dxa"/>
          <w:left w:w="28" w:type="dxa"/>
          <w:bottom w:w="28" w:type="dxa"/>
          <w:right w:w="28" w:type="dxa"/>
        </w:tblCellMar>
      </w:tblPr>
      <w:tblGrid>
        <w:gridCol w:w="1011"/>
        <w:gridCol w:w="887"/>
        <w:gridCol w:w="891"/>
        <w:gridCol w:w="109"/>
        <w:gridCol w:w="109"/>
        <w:gridCol w:w="109"/>
        <w:gridCol w:w="384"/>
        <w:gridCol w:w="1635"/>
        <w:gridCol w:w="185"/>
        <w:gridCol w:w="109"/>
        <w:gridCol w:w="109"/>
        <w:gridCol w:w="109"/>
        <w:gridCol w:w="226"/>
        <w:gridCol w:w="1051"/>
        <w:gridCol w:w="109"/>
        <w:gridCol w:w="109"/>
        <w:gridCol w:w="109"/>
        <w:gridCol w:w="109"/>
        <w:gridCol w:w="226"/>
        <w:gridCol w:w="961"/>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1"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78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Net</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Reacquired franchise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415,419</w:t>
            </w: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(239,452)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175,967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358,442</w:t>
            </w: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(286,040)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72,402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Internally-developed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124,420</w:t>
            </w: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(122,357)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2,063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23,190</w:t>
            </w: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3,109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70,100</w:t>
            </w: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(56,099)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14,001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5,800</w:t>
            </w: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2,465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997,371</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(727,364)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270,007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Reacquired franchise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403,955 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(228,157)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175,798 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331,435 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(270,245)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Internally-developed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122,673 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70,100 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955,940 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(691,838)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264,102 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pPr>
      <w:r>
        <w:rPr>
          <w:rFonts w:ascii="sans-serif" w:hAnsi="sans-serif"/>
          <w:b w:val="false"/>
          <w:color w:val="000000"/>
          <w:sz w:val="20"/>
        </w:rPr>
        <w:t>We made payments to acquire businesses totaling $35.3 million and $43.2 million during the nine months ended March 31, 2025 and 2024, respectively. The amounts and weighted-average lives of intangible assets acquired during the nine months e</w:t>
      </w:r>
      <w:r>
        <w:rPr>
          <w:rFonts w:ascii="sans-serif" w:hAnsi="sans-serif"/>
          <w:b w:val="false"/>
          <w:color w:val="000000"/>
          <w:sz w:val="20"/>
          <w:shd w:fill="FFFFFF" w:val="clear"/>
        </w:rPr>
        <w:t>nded March 31, 2025, including amounts capitalized related to internally-developed software, a</w:t>
      </w:r>
      <w:r>
        <w:rPr>
          <w:rFonts w:ascii="sans-serif" w:hAnsi="sans-serif"/>
          <w:b w:val="false"/>
          <w:color w:val="000000"/>
          <w:sz w:val="20"/>
        </w:rPr>
        <w:t>re as follows:</w:t>
      </w:r>
    </w:p>
    <w:tbl>
      <w:tblPr>
        <w:tblW w:w="7723" w:type="dxa"/>
        <w:jc w:val="left"/>
        <w:tblInd w:w="0" w:type="dxa"/>
        <w:tblLayout w:type="fixed"/>
        <w:tblCellMar>
          <w:top w:w="28" w:type="dxa"/>
          <w:left w:w="28" w:type="dxa"/>
          <w:bottom w:w="28" w:type="dxa"/>
          <w:right w:w="28" w:type="dxa"/>
        </w:tblCellMar>
      </w:tblPr>
      <w:tblGrid>
        <w:gridCol w:w="1011"/>
        <w:gridCol w:w="886"/>
        <w:gridCol w:w="892"/>
        <w:gridCol w:w="109"/>
        <w:gridCol w:w="109"/>
        <w:gridCol w:w="109"/>
        <w:gridCol w:w="226"/>
        <w:gridCol w:w="841"/>
        <w:gridCol w:w="109"/>
        <w:gridCol w:w="109"/>
        <w:gridCol w:w="109"/>
        <w:gridCol w:w="109"/>
        <w:gridCol w:w="909"/>
        <w:gridCol w:w="909"/>
        <w:gridCol w:w="1286"/>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7723"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(dollars in 000s)</w:t>
            </w:r>
          </w:p>
        </w:tc>
      </w:tr>
      <w:tr>
        <w:trPr/>
        <w:tc>
          <w:tcPr>
            <w:tcW w:w="2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Weighted-Average Life (in years)</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27,435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Reacquired franchise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11,649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6</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Internally-developed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3</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5</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42,287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5</w:t>
            </w:r>
          </w:p>
        </w:tc>
      </w:tr>
      <w:tr>
        <w:trPr/>
        <w:tc>
          <w:tcPr>
            <w:tcW w:w="278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pPr>
      <w:r>
        <w:rPr>
          <w:rFonts w:ascii="sans-serif" w:hAnsi="sans-serif"/>
          <w:b w:val="false"/>
          <w:color w:val="000000"/>
          <w:sz w:val="20"/>
        </w:rPr>
        <w:t>Amortization of intangible assets for the three and nine</w:t>
      </w:r>
      <w:r>
        <w:rPr>
          <w:color w:val="000000"/>
          <w:shd w:fill="FFFFFF" w:val="clear"/>
        </w:rPr>
        <w:t xml:space="preserve"> </w:t>
      </w:r>
      <w:r>
        <w:rPr>
          <w:rFonts w:ascii="sans-serif" w:hAnsi="sans-serif"/>
          <w:b w:val="false"/>
          <w:color w:val="000000"/>
          <w:sz w:val="20"/>
          <w:shd w:fill="FFFFFF" w:val="clear"/>
        </w:rPr>
        <w:t>months ended March 31, 2025 was $11.3 million and $36.3 million, respectively,</w:t>
      </w:r>
      <w:r>
        <w:rPr>
          <w:color w:val="000000"/>
        </w:rPr>
        <w:t xml:space="preserve"> </w:t>
      </w:r>
      <w:r>
        <w:rPr>
          <w:rFonts w:ascii="sans-serif" w:hAnsi="sans-serif"/>
          <w:b w:val="false"/>
          <w:color w:val="000000"/>
          <w:sz w:val="20"/>
          <w:shd w:fill="FFFFFF" w:val="clear"/>
        </w:rPr>
        <w:t xml:space="preserve">compared to $15.0 million and $46.2 million for the </w:t>
      </w:r>
      <w:r>
        <w:rPr>
          <w:rFonts w:ascii="sans-serif" w:hAnsi="sans-serif"/>
          <w:b w:val="false"/>
          <w:color w:val="000000"/>
          <w:sz w:val="20"/>
        </w:rPr>
        <w:t>three and nine</w:t>
      </w:r>
      <w:r>
        <w:rPr>
          <w:color w:val="000000"/>
          <w:shd w:fill="FFFFFF" w:val="clear"/>
        </w:rPr>
        <w:t xml:space="preserve"> </w:t>
      </w:r>
      <w:r>
        <w:rPr>
          <w:rFonts w:ascii="sans-serif" w:hAnsi="sans-serif"/>
          <w:b w:val="false"/>
          <w:color w:val="000000"/>
          <w:sz w:val="20"/>
          <w:shd w:fill="FFFFFF" w:val="clear"/>
        </w:rPr>
        <w:t>months ended March 31, 2024, respectively. Estimated amortization of intangible assets for fiscal years ending June 30, 2025, 2026, 2027, 2028, and 2029 is $47.6 million, $41.5 million, $34.7 million, $26.5 million and $18.1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94995"/>
                <wp:effectExtent l="0" t="0" r="0" b="0"/>
                <wp:wrapNone/>
                <wp:docPr id="13" name="Frame1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jc w:val="left"/>
        <w:rPr/>
      </w:pPr>
      <w:r>
        <w:rPr>
          <w:rFonts w:ascii="sans-serif" w:hAnsi="sans-serif"/>
          <w:b/>
          <w:color w:val="14AA40"/>
          <w:sz w:val="28"/>
        </w:rPr>
        <w:t>NOTE 6: LONG-TERM DEBT</w:t>
      </w:r>
      <w:r>
        <w:rPr>
          <w:color w:val="14AA40"/>
        </w:rPr>
        <w:t xml:space="preserv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components of long-term debt are as follows:</w:t>
      </w:r>
    </w:p>
    <w:tbl>
      <w:tblPr>
        <w:tblW w:w="7680" w:type="dxa"/>
        <w:jc w:val="center"/>
        <w:tblInd w:w="0" w:type="dxa"/>
        <w:tblLayout w:type="fixed"/>
        <w:tblCellMar>
          <w:top w:w="28" w:type="dxa"/>
          <w:left w:w="28" w:type="dxa"/>
          <w:bottom w:w="28" w:type="dxa"/>
          <w:right w:w="28" w:type="dxa"/>
        </w:tblCellMar>
      </w:tblPr>
      <w:tblGrid>
        <w:gridCol w:w="1399"/>
        <w:gridCol w:w="1233"/>
        <w:gridCol w:w="1238"/>
        <w:gridCol w:w="109"/>
        <w:gridCol w:w="109"/>
        <w:gridCol w:w="109"/>
        <w:gridCol w:w="250"/>
        <w:gridCol w:w="1280"/>
        <w:gridCol w:w="120"/>
        <w:gridCol w:w="109"/>
        <w:gridCol w:w="109"/>
        <w:gridCol w:w="109"/>
        <w:gridCol w:w="226"/>
        <w:gridCol w:w="1126"/>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June 30, 2024</w:t>
            </w:r>
          </w:p>
        </w:tc>
      </w:tr>
      <w:tr>
        <w:trPr/>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Senior Notes, 5.250%, due October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350,000</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350,000 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Senior Notes, 2.500%, due July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500,000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Senior Notes, 3.875%, due August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650,000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Debt issuance costs and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(7,323)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1,492,677</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1,491,095 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(349,787)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1,142,890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1,491,095 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Estimated fair value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1,422,000</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Our unsecured committed line of credit (CLOC) provides for an unsecured senior revolving credit facility in the aggregate principal amount of $1.5 billion, which includes a $175.0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CLOC will mature on June 11, 2026, unless extended pursuant to the terms of the CLOC, at which time all outstanding amounts thereunder will be due and payable. Our CLOC includes an annual facility fee, which will vary depending on our then current credit ratings.</w:t>
      </w:r>
    </w:p>
    <w:p>
      <w:pPr>
        <w:pStyle w:val="TextBody"/>
        <w:bidi w:val="0"/>
        <w:spacing w:lineRule="auto" w:line="288" w:before="120" w:after="283"/>
        <w:ind w:left="0" w:right="0" w:firstLine="270"/>
        <w:jc w:val="both"/>
        <w:rPr/>
      </w:pPr>
      <w:r>
        <w:rPr>
          <w:rFonts w:ascii="sans-serif" w:hAnsi="sans-serif"/>
          <w:b w:val="false"/>
          <w:color w:val="000000"/>
          <w:sz w:val="20"/>
        </w:rPr>
        <w:t>The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as defined by the CLOC agreement, calculated on a consolidated basis of no greater than (a) 3.50 to 1.00 as of the last day of each fiscal quarter ending on March 31, June 30, and September 30 of each year and (b) 4.50 to 1.00 as of the last day of each fiscal quarter ending on December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CLOC includes provisions for an equity cure which could potentially allow us to independently cure certain defaults. Proceeds under the CLOC may be used for working capital needs or for other general corporate pu</w:t>
      </w:r>
      <w:r>
        <w:rPr>
          <w:rFonts w:ascii="sans-serif" w:hAnsi="sans-serif"/>
          <w:b w:val="false"/>
          <w:color w:val="000000"/>
          <w:sz w:val="20"/>
          <w:shd w:fill="FFFFFF" w:val="clear"/>
        </w:rPr>
        <w:t xml:space="preserve">rposes. We were in compliance with these requirements as of March 31, 2025. </w:t>
      </w:r>
    </w:p>
    <w:p>
      <w:pPr>
        <w:pStyle w:val="TextBody"/>
        <w:bidi w:val="0"/>
        <w:spacing w:lineRule="auto" w:line="288" w:before="120" w:after="283"/>
        <w:ind w:left="0" w:right="0" w:firstLine="270"/>
        <w:jc w:val="both"/>
        <w:rPr/>
      </w:pPr>
      <w:r>
        <w:rPr>
          <w:rFonts w:ascii="sans-serif" w:hAnsi="sans-serif"/>
          <w:b w:val="false"/>
          <w:color w:val="000000"/>
          <w:sz w:val="20"/>
          <w:shd w:fill="FFFFFF" w:val="clear"/>
        </w:rPr>
        <w:t>We had no outstanding balance under our CLOC and amounts available to borrow were not limited by the debt-to-EBITDA covenant as of March 31, 2025.</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sans-serif" w:hAnsi="sans-serif"/>
          <w:b/>
          <w:color w:val="14AA40"/>
          <w:sz w:val="28"/>
        </w:rPr>
      </w:pPr>
      <w:r>
        <w:rPr>
          <w:rFonts w:ascii="sans-serif" w:hAnsi="sans-serif"/>
          <w:b/>
          <w:color w:val="14AA40"/>
          <w:sz w:val="28"/>
        </w:rPr>
        <w:t>NOTE 7: INCOME TAXES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file a consolidated federal income tax return in the U.S. with the Internal Revenue Service (IRS) and file tax returns in various state, local, and foreign jurisdictions.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We had gross unrecognized tax benefits of $284.0 million and $251.8 million as of March 31, 2025 and June 30, 2024, respectively. The gross unrecognized tax benefits increased by $32.2 million during the nine months ended March 31, 2025. The increase is primarily related to various current federal and state tax positions expected to be taken in our income tax returns. We believe it is reasonably possible that the balance of unrecognized tax benefits could decrease by approximately $148.4 million within the next twelve months. The anticipated decrease is due to the expiration of statutes of limitations, anticipated closure of various tax matters currently under examination, and settlements with tax authorities. For such matters where a change in the balance of unrecognized tax benefits is not yet deemed reasonably possible, no estimate has been included. </w:t>
      </w:r>
    </w:p>
    <w:p>
      <w:pPr>
        <w:pStyle w:val="TextBody"/>
        <w:bidi w:val="0"/>
        <w:spacing w:before="120" w:after="283"/>
        <w:ind w:left="0" w:right="0" w:firstLine="22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37845"/>
                <wp:effectExtent l="0" t="0" r="0" b="0"/>
                <wp:wrapNone/>
                <wp:docPr id="14" name="Frame14"/>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12</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12</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68" w:before="0" w:after="0"/>
        <w:ind w:left="0" w:right="0" w:firstLine="225"/>
        <w:jc w:val="left"/>
        <w:rPr>
          <w:rFonts w:ascii="sans-serif" w:hAnsi="sans-serif"/>
          <w:b w:val="false"/>
          <w:color w:val="000000"/>
          <w:sz w:val="20"/>
        </w:rPr>
      </w:pPr>
      <w:r>
        <w:rPr>
          <w:rFonts w:ascii="sans-serif" w:hAnsi="sans-serif"/>
          <w:b w:val="false"/>
          <w:color w:val="000000"/>
          <w:sz w:val="20"/>
        </w:rPr>
        <w:t>Our effective tax rate for continuing operations, including the effects of discrete tax items, was 25.3% and 17.6% for the nine months ended March 31, 2025 and 2024, respectively. Discrete items increased the effective tax rate by 0.9% for the nine months ended March 31, 2025 and decreased the effective tax rate by 6.3% for the nine months ended March 31, 2024. Discrete income tax expense of $3.8 million and benefit of $26.0 million were recorded in the nine months ended March 31, 2025, and 2024, respectively. The discrete tax expense recorded in the current period primarily resulted from interest expense on uncertain tax positions, partially offset by benefits related to investment tax credit purchases and stock-based compensation vesting. The discrete tax benefit recorded in the prior period primarily resulted from settlements with taxing authorities and state statute of limitations expirations. The impact discrete tax items have on our tax rate through the third quarter are slightly exaggerated versus the impact discrete tax items have on the full fiscal year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NOTE 8: COMMITMENTS AND CONTINGENCIES </w:t>
      </w:r>
    </w:p>
    <w:p>
      <w:pPr>
        <w:pStyle w:val="TextBody"/>
        <w:bidi w:val="0"/>
        <w:spacing w:lineRule="auto" w:line="288" w:before="120" w:after="283"/>
        <w:jc w:val="both"/>
        <w:rPr/>
      </w:pPr>
      <w:r>
        <w:rPr>
          <w:rFonts w:ascii="sans-serif" w:hAnsi="sans-serif"/>
          <w:b w:val="false"/>
          <w:color w:val="000000"/>
          <w:sz w:val="20"/>
        </w:rPr>
        <w:t>Our U.S. and Canadian businesses offer our 100% accuracy guarantee. Assisted tax returns</w:t>
      </w:r>
      <w:r>
        <w:rPr>
          <w:color w:val="000000"/>
        </w:rPr>
        <w:t xml:space="preserve"> </w:t>
      </w:r>
      <w:r>
        <w:rPr>
          <w:rFonts w:ascii="sans-serif" w:hAnsi="sans-serif"/>
          <w:b w:val="false"/>
          <w:color w:val="000000"/>
          <w:sz w:val="20"/>
        </w:rPr>
        <w:t xml:space="preserve">are covered by our 100% accuracy guarantee, whereby we will reimburse a client for penalties and interest attributable to an H&amp;R Block error on a return. DIY tax returns are covered by our 100% accuracy guarantee, whereby we will reimburse a client up to a maximum of $10,000 if our software makes an arithmetic error that results in payment of penalties and/or interest to the respective taxing authority that a client would otherwise not have been required to pay. Our liability related to estimated losses under the 100% accuracy guarantee was $11.3 million and $14.1 million as of March 31, 2025 and June 30, 2024, respectively. The short-term and long-term portions of this liability are included in deferred revenue and other liabilities in the consolidated balance sheets.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$32.4 million and $26.9 million as of March 31, 2025 and June 30, 2024 respectively, with amounts recorded in deferred revenue and other liabilities. Should actual results differ from our estimates, future payments made will differ from the above estimate and any differences will be recorded in results from continuing operations.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have contractual commitments to fund certain franchises with approved short-term lines of credit for the purpose of meeting their seasonal working capital needs. Our total obligation under these lines of credit was $21.0 million at March 31, 2025, and net of amounts drawn and outstanding, our remaining commitment to fund totaled $9.1 million.</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During the nine months ended March 31, 2025, the Company entered into an agreement to purchase federal investment tax credits (ITC), if certain conditions are met. During the nine months ended March 31, 2025, we paid $22.9 million for ITCs. As of March 31, 2025, the Company has a remaining commitment to purchase additional ITCs, for approximately $75.1 million if certain conditions set forth in the agreement are satisfied, with the final payment anticipated to occur by June 30, 2025.</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Emerald Advance® term loans are originated by Pathward®, N.A. (Pathward). We purchase participation interests, at par, in all EAs originated by Pathward in accordance with our participation agreement. Our participation interest varies by jurisdiction. At March 31, 2025, the principal balance of purchased participation interests for the current year totaled $260.6 million, which represents 87% of total EA volume originated by Pathward.</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Refund Advance loans are originated by Pathward and offered to certain assisted U.S. tax preparation clients, based on client eligibility as determined by Pathward. We pay fees primarily based on loan size and customer type. We have provided a guarantee up to $18.0 million related to certain loans to clients prior to the IRS accepting electronic filing. At March 31, 2025, we accrued an estimated liability of $2.4 million related to this guarantee, compared to $1.4 million at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NOTE 9: LITIGATION AND OTHER RELATED CONTINGENCIES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are a defendant in numerous litigation and arbitration matters, arising both in the ordinary course of business and otherwise, including as described below. The matters described below are not all of the lawsuits or arbitrations to which we are subject. In some of the matters, very large or indeterminate amounts, including punitive damages, may be sought. U.S. jurisdictions permit considerable variation in the assertion of monetary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94995"/>
                <wp:effectExtent l="0" t="0" r="0" b="0"/>
                <wp:wrapNone/>
                <wp:docPr id="15" name="Frame1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damages or other relief. Jurisdictions may permit claimants not to specify the monetary damages sought or may permit claimants to state only that the amount sought is sufficient to invoke the jurisdiction. In addition, jurisdictions may permit plaintiffs to allege monetary damages in amounts well exceeding reasonably possible verdicts in the jurisdiction for similar matters. We believe that the monetary relief which may be specified in a lawsuit or claim bears little relevance to its merits or disposition value due to this variability in pleadings and our experience in handling and resolving numerous claims over an extended period of time.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outcome of a matter and the amount or range of potential loss at particular points in time may be difficult to ascertain. Among other things, uncertainties can include how fact finders will evaluate documentary evidence and the credibility and effectiveness of witness testimony, and how courts and arbitrators will apply the law. Disposition valuations are also subject to the uncertainty of how opposing parties and their counsel will view the relevant evidence and applicable law.</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In addition to litigation and arbitration matters, we are also subject to other loss contingencies arising out of our business activities, including as described below.</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accrue liabilities for litigation, arbitration and other related loss contingencies and any related settlements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March 31, 2025.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Our accrued liabilities were $5.5 million and $7.2 million as of March 31, 2025 and June 30, 2024, respectively.</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or arbitrators on motions or appeals, analyses by experts, or the status or terms of any settlement negotiations.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March 31, 2025, we believe the estimate of the aggregate range of reasonably possible losses in excess of amounts accrued, where the range of loss can be estimated, is not material.</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At the end of each reporting period, we review relevant information with respect to litigation, arbitration and other related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37845"/>
                <wp:effectExtent l="0" t="0" r="0" b="0"/>
                <wp:wrapNone/>
                <wp:docPr id="16" name="Frame16"/>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14</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14</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have received and are responding to certain governmental inquiries, class actions and mass arbitrations relating to the IRS Free File Program and other aspects of our DIY tax preparation services, including the use of pixels. An accrual related to these matters is included in our loss contingency accrual.</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We are from time to time a party to litigation, arbitration and other loss contingencies not discussed herein arising out of our business operations. These matters may include actions by state attorneys general, other state regulators, federal regulators, individual plaintiffs, and cases in which plaintiffs seek to represent others who may be similarly situated. </w:t>
      </w:r>
    </w:p>
    <w:p>
      <w:pPr>
        <w:pStyle w:val="TextBody"/>
        <w:bidi w:val="0"/>
        <w:spacing w:lineRule="auto" w:line="288" w:before="120" w:after="120"/>
        <w:ind w:left="0" w:right="0" w:firstLine="270"/>
        <w:jc w:val="both"/>
        <w:rPr>
          <w:rFonts w:ascii="sans-serif" w:hAnsi="sans-serif"/>
          <w:b w:val="false"/>
          <w:color w:val="000000"/>
          <w:sz w:val="20"/>
        </w:rPr>
      </w:pPr>
      <w:r>
        <w:rPr>
          <w:rFonts w:ascii="sans-serif" w:hAnsi="sans-serif"/>
          <w:b w:val="false"/>
          <w:color w:val="000000"/>
          <w:sz w:val="20"/>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260"/>
        <w:jc w:val="both"/>
        <w:rPr>
          <w:rFonts w:ascii="sans-serif" w:hAnsi="sans-serif"/>
          <w:b/>
          <w:color w:val="14AA40"/>
          <w:sz w:val="28"/>
        </w:rPr>
      </w:pPr>
      <w:r>
        <w:rPr>
          <w:rFonts w:ascii="sans-serif" w:hAnsi="sans-serif"/>
          <w:b/>
          <w:color w:val="14AA40"/>
          <w:sz w:val="2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RESULTS OF OPERATIONS</w:t>
      </w:r>
    </w:p>
    <w:p>
      <w:pPr>
        <w:pStyle w:val="TextBody"/>
        <w:bidi w:val="0"/>
        <w:spacing w:lineRule="auto" w:line="288" w:before="120" w:after="283"/>
        <w:jc w:val="both"/>
        <w:rPr/>
      </w:pPr>
      <w:r>
        <w:rPr>
          <w:rFonts w:ascii="sans-serif" w:hAnsi="sans-serif"/>
          <w:b w:val="false"/>
          <w:color w:val="000000"/>
          <w:sz w:val="20"/>
        </w:rPr>
        <w:t xml:space="preserve">Our subsidiaries provide assisted and do-it-yourself (DIY) tax preparation solutions through multiple channels (including in-person, online and mobile applications, virtual, and desktop software) and distribute H&amp;R Block-branded products and services, including those of our bank partners, to the general public primarily in the United States (U.S.), Canada and Australia. Tax returns are either prepared by H&amp;R Block tax professionals in one of our 6,701 company-owned or 2,013 franchise offices (as of March 31, 2025), virtually or via an online review or prepared and filed by our clients through our DIY tax solutions. We also offer small business solutions through our company-owned and franchise offices (including in-person, online and virtual) and online through Wave. </w:t>
      </w:r>
      <w:r>
        <w:rPr>
          <w:rFonts w:ascii="sans-serif" w:hAnsi="sans-serif"/>
          <w:b w:val="false"/>
          <w:color w:val="000000"/>
          <w:sz w:val="20"/>
          <w:shd w:fill="FFFFFF" w:val="clear"/>
        </w:rPr>
        <w:t>We report a</w:t>
      </w:r>
      <w:r>
        <w:rPr>
          <w:color w:val="000000"/>
        </w:rPr>
        <w:t xml:space="preserve"> </w:t>
      </w:r>
      <w:r>
        <w:rPr>
          <w:rFonts w:ascii="sans-serif" w:hAnsi="sans-serif"/>
          <w:b w:val="false"/>
          <w:color w:val="000000"/>
          <w:sz w:val="20"/>
        </w:rPr>
        <w:t>single segment that includes all of our continuing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94995"/>
                <wp:effectExtent l="0" t="0" r="0" b="0"/>
                <wp:wrapNone/>
                <wp:docPr id="17" name="Frame1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24"/>
        <w:gridCol w:w="1078"/>
        <w:gridCol w:w="1079"/>
        <w:gridCol w:w="109"/>
        <w:gridCol w:w="109"/>
        <w:gridCol w:w="109"/>
        <w:gridCol w:w="226"/>
        <w:gridCol w:w="1156"/>
        <w:gridCol w:w="109"/>
        <w:gridCol w:w="109"/>
        <w:gridCol w:w="109"/>
        <w:gridCol w:w="109"/>
        <w:gridCol w:w="226"/>
        <w:gridCol w:w="1126"/>
        <w:gridCol w:w="109"/>
        <w:gridCol w:w="109"/>
        <w:gridCol w:w="109"/>
        <w:gridCol w:w="109"/>
        <w:gridCol w:w="226"/>
        <w:gridCol w:w="946"/>
        <w:gridCol w:w="109"/>
        <w:gridCol w:w="109"/>
        <w:gridCol w:w="109"/>
        <w:gridCol w:w="109"/>
        <w:gridCol w:w="323"/>
        <w:gridCol w:w="326"/>
        <w:gridCol w:w="634"/>
      </w:tblGrid>
      <w:tr>
        <w:trPr/>
        <w:tc>
          <w:tcPr>
            <w:tcW w:w="122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Consolidated – Financial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r>
      <w:tr>
        <w:trPr/>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Assisted tax preparation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1,635,877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133,961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DIY tax preparation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214,666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Refund Transfers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113,732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Peace of Mind® Extended Service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15,625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Tax Identity Shield®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7,025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14,582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2,135,468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2,030,661 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Emerald Card® and Spruce</w:t>
            </w:r>
            <w:r>
              <w:rPr>
                <w:rFonts w:ascii="sans-serif" w:hAnsi="sans-serif"/>
                <w:b w:val="false"/>
                <w:color w:val="000000"/>
                <w:sz w:val="12"/>
              </w:rPr>
              <w:t>SM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40,195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and fee income on Emerald Advance®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14,286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(32.5)</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54,481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60,438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26,717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2,277,104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2,184,834 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Field wages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532,916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wages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74,621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Benefits and other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111,575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719,112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685,308 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(33,804)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119,709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196,667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29,221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40,479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193,603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1,298,791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1,256,630 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4,554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(12.8)</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Pretax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958,181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907,358 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235,253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722,928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691,586 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29.6 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722,330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690,737 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Adjusted diluted EPS</w:t>
            </w:r>
            <w:r>
              <w:rPr>
                <w:rFonts w:ascii="sans-serif" w:hAns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EBITDA </w:t>
            </w:r>
            <w:r>
              <w:rPr>
                <w:rFonts w:ascii="sans-serif" w:hAnsi="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1,012,088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3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10"/>
        </w:rPr>
        <w:t>(1)</w:t>
      </w:r>
      <w:r>
        <w:rPr>
          <w:color w:val="000000"/>
        </w:rPr>
        <w:t>    </w:t>
      </w:r>
      <w:r>
        <w:rPr>
          <w:rFonts w:ascii="sans-serif" w:hAnsi="sans-serif"/>
          <w:b w:val="false"/>
          <w:color w:val="000000"/>
          <w:sz w:val="16"/>
        </w:rPr>
        <w:t>All non-GAAP measures are results from continuing operations. See "</w:t>
      </w:r>
      <w:hyperlink w:anchor="i359b23a2756a49d68fc721e4261fd2a6_82">
        <w:r>
          <w:rPr>
            <w:rStyle w:val="InternetLink"/>
            <w:rFonts w:ascii="sans-serif" w:hAnsi="sans-serif"/>
            <w:b w:val="false"/>
            <w:color w:val="0000FF"/>
            <w:sz w:val="16"/>
            <w:u w:val="single"/>
          </w:rPr>
          <w:t>Non-GAAP Financial Information</w:t>
        </w:r>
      </w:hyperlink>
      <w:r>
        <w:rPr>
          <w:rFonts w:ascii="sans-serif" w:hAnsi="sans-serif"/>
          <w:b w:val="false"/>
          <w:color w:val="000000"/>
          <w:sz w:val="16"/>
        </w:rPr>
        <w:t xml:space="preserve">" at the end of this item for a reconciliation of non-GAAP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37845"/>
                <wp:effectExtent l="0" t="0" r="0" b="0"/>
                <wp:wrapNone/>
                <wp:docPr id="18" name="Frame18"/>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16</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16</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Three months ended March 31, 2025 compared to March 31, 2024</w:t>
      </w:r>
    </w:p>
    <w:p>
      <w:pPr>
        <w:pStyle w:val="TextBody"/>
        <w:bidi w:val="0"/>
        <w:spacing w:lineRule="auto" w:line="288" w:before="120" w:after="283"/>
        <w:jc w:val="both"/>
        <w:rPr/>
      </w:pPr>
      <w:r>
        <w:rPr>
          <w:rFonts w:ascii="sans-serif" w:hAnsi="sans-serif"/>
          <w:b w:val="false"/>
          <w:color w:val="000000"/>
          <w:sz w:val="20"/>
          <w:shd w:fill="FFFFFF" w:val="clear"/>
        </w:rPr>
        <w:t>Revenues increased $92.3 million, or 4.2%, from the prior ye</w:t>
      </w:r>
      <w:r>
        <w:rPr>
          <w:rFonts w:ascii="sans-serif" w:hAnsi="sans-serif"/>
          <w:b w:val="false"/>
          <w:color w:val="000000"/>
          <w:sz w:val="20"/>
        </w:rPr>
        <w:t>ar. U.S. assisted tax preparation revenues increased $101.1 million</w:t>
      </w:r>
      <w:r>
        <w:rPr>
          <w:rFonts w:ascii="sans-serif" w:hAnsi="sans-serif"/>
          <w:b w:val="false"/>
          <w:color w:val="000000"/>
          <w:sz w:val="20"/>
          <w:shd w:fill="FFFFFF" w:val="clear"/>
        </w:rPr>
        <w:t xml:space="preserve">, or </w:t>
      </w:r>
      <w:r>
        <w:rPr>
          <w:rFonts w:ascii="sans-serif" w:hAnsi="sans-serif"/>
          <w:b w:val="false"/>
          <w:color w:val="000000"/>
          <w:sz w:val="20"/>
        </w:rPr>
        <w:t>6.6%, due to a 5.0% increase in net average charge combined with a 1.5% increase in company-owned tax return volumes in the current year. U.S. royalty revenue decreased $8.0 million, or 5.6%, due to lower franchise tax return volumes which was primarily driven by franchise acquisitions. During the year we purchased franchise offices which results in increasing tax preparation revenues and decreasing royalties as the revenues and returns become company-owned after the acquisition. For the three months ended March 31, 2025 our total assisted tax return volume, which includes both company-owned and franchise offices, decreased 0.6% from the prior year.</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U.S. DIY tax preparation revenues increased $16.1 million, or 8.1%, primarily due to an 8.9% increase in online paid net average charge and higher desktop software sales, offset by slightly lower online paid volumes.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Interest and fee income on Emerald Advance® revenues decreased $6.9 million, or 32.5%, primarily due to a decrease in EA loans originated in the current year.</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International tax preparation revenues decreased $7.8 million, or 11.5%, primarily due to lower tax return volumes in Canada combined with unfavorable foreign currency exchange rates.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Total operating expenses increased $42.2 million, or 3.4%, from the prior year. Field wages increased $22.6 million, or 4.4%, due to higher tax professional wages in the current year primarily due to the increase in company-owned volumes. Benefits and other compensation increased $11.9 million, or 12.0%, due to higher payroll taxes and 401K match in the current year.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Other operating expenses increased $7.7 million, or 4.1%. The components of other expenses are as follows:</w:t>
      </w:r>
    </w:p>
    <w:tbl>
      <w:tblPr>
        <w:tblW w:w="9670" w:type="dxa"/>
        <w:jc w:val="center"/>
        <w:tblInd w:w="0" w:type="dxa"/>
        <w:tblLayout w:type="fixed"/>
        <w:tblCellMar>
          <w:top w:w="28" w:type="dxa"/>
          <w:left w:w="28" w:type="dxa"/>
          <w:bottom w:w="28" w:type="dxa"/>
          <w:right w:w="28" w:type="dxa"/>
        </w:tblCellMar>
      </w:tblPr>
      <w:tblGrid>
        <w:gridCol w:w="1213"/>
        <w:gridCol w:w="1064"/>
        <w:gridCol w:w="1068"/>
        <w:gridCol w:w="109"/>
        <w:gridCol w:w="109"/>
        <w:gridCol w:w="109"/>
        <w:gridCol w:w="226"/>
        <w:gridCol w:w="961"/>
        <w:gridCol w:w="109"/>
        <w:gridCol w:w="109"/>
        <w:gridCol w:w="109"/>
        <w:gridCol w:w="109"/>
        <w:gridCol w:w="226"/>
        <w:gridCol w:w="946"/>
        <w:gridCol w:w="109"/>
        <w:gridCol w:w="109"/>
        <w:gridCol w:w="109"/>
        <w:gridCol w:w="109"/>
        <w:gridCol w:w="226"/>
        <w:gridCol w:w="796"/>
        <w:gridCol w:w="109"/>
        <w:gridCol w:w="109"/>
        <w:gridCol w:w="109"/>
        <w:gridCol w:w="109"/>
        <w:gridCol w:w="336"/>
        <w:gridCol w:w="339"/>
        <w:gridCol w:w="634"/>
      </w:tblGrid>
      <w:tr>
        <w:trPr/>
        <w:tc>
          <w:tcPr>
            <w:tcW w:w="121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3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Three months ended 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r>
      <w:tr>
        <w:trPr/>
        <w:tc>
          <w:tcPr>
            <w:tcW w:w="33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Consulting and outsourced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38,887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Bank partner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30,836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Client claims and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8,420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Employee and travel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8,552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Technology-related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34,472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Credit card/bank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39,605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4,644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(75.6)</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Legal fees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7,986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29.2 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10,407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9,794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193,603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185,929 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recorded an income tax expense of $235.3 million in the current year compared to $215.8 million in the prior year. The effective tax rate for the three months ended March 31, 2025, and 2024 was 24.6% and 23.8%,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94995"/>
                <wp:effectExtent l="0" t="0" r="0" b="0"/>
                <wp:wrapNone/>
                <wp:docPr id="19" name="Frame1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24"/>
        <w:gridCol w:w="1077"/>
        <w:gridCol w:w="1080"/>
        <w:gridCol w:w="109"/>
        <w:gridCol w:w="109"/>
        <w:gridCol w:w="109"/>
        <w:gridCol w:w="226"/>
        <w:gridCol w:w="1156"/>
        <w:gridCol w:w="109"/>
        <w:gridCol w:w="109"/>
        <w:gridCol w:w="109"/>
        <w:gridCol w:w="109"/>
        <w:gridCol w:w="226"/>
        <w:gridCol w:w="1126"/>
        <w:gridCol w:w="109"/>
        <w:gridCol w:w="109"/>
        <w:gridCol w:w="109"/>
        <w:gridCol w:w="109"/>
        <w:gridCol w:w="226"/>
        <w:gridCol w:w="946"/>
        <w:gridCol w:w="109"/>
        <w:gridCol w:w="109"/>
        <w:gridCol w:w="109"/>
        <w:gridCol w:w="109"/>
        <w:gridCol w:w="323"/>
        <w:gridCol w:w="326"/>
        <w:gridCol w:w="634"/>
      </w:tblGrid>
      <w:tr>
        <w:trPr/>
        <w:tc>
          <w:tcPr>
            <w:tcW w:w="122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Consolidated - Financial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Nine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r>
      <w:tr>
        <w:trPr/>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Assisted tax preparation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1,727,220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143,312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DIY tax preparation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231,646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Refund Transfers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115,229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Peace of Mind® Extended Service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54,867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Tax Identity Shield®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14,947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40,215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2,327,436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2,220,468 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Emerald Card® and Spruce</w:t>
            </w:r>
            <w:r>
              <w:rPr>
                <w:rFonts w:ascii="sans-serif" w:hAnsi="sans-serif"/>
                <w:b w:val="false"/>
                <w:color w:val="000000"/>
                <w:sz w:val="12"/>
              </w:rPr>
              <w:t>SM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59,169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and fee income on Emerald Advance®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26,594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(27.5)</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85,763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(12.7)</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157,104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(0.8)</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79,681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12.8 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2,649,984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2,547,717 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Field wages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682,575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wages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230,687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Benefits and other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188,731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1,101,993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1,043,618 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326,026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221,502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87,247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62,625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393,900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360,111 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2,193,293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2,093,271 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19,215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(62,285)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Pretax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413,621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412,124 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104,580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(44.2)</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309,041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339,597 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(30,556)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306,334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337,500 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(31,166)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Adjusted diluted EPS</w:t>
            </w:r>
            <w:r>
              <w:rPr>
                <w:rFonts w:ascii="sans-serif" w:hAns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EBITDA </w:t>
            </w:r>
            <w:r>
              <w:rPr>
                <w:rFonts w:ascii="sans-serif" w:hAnsi="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563,153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566,432 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(0.6)</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10"/>
        </w:rPr>
        <w:t xml:space="preserve">(1) </w:t>
      </w:r>
      <w:r>
        <w:rPr>
          <w:rFonts w:ascii="sans-serif" w:hAnsi="sans-serif"/>
          <w:b w:val="false"/>
          <w:color w:val="000000"/>
          <w:sz w:val="16"/>
        </w:rPr>
        <w:t>All non-GAAP measures are results from continuing operations. See "</w:t>
      </w:r>
      <w:hyperlink w:anchor="i359b23a2756a49d68fc721e4261fd2a6_82">
        <w:r>
          <w:rPr>
            <w:rStyle w:val="InternetLink"/>
            <w:rFonts w:ascii="sans-serif" w:hAnsi="sans-serif"/>
            <w:b w:val="false"/>
            <w:color w:val="0000FF"/>
            <w:sz w:val="16"/>
            <w:u w:val="single"/>
          </w:rPr>
          <w:t>Non-GAAP Financial Information</w:t>
        </w:r>
      </w:hyperlink>
      <w:r>
        <w:rPr>
          <w:rFonts w:ascii="sans-serif" w:hAnsi="sans-serif"/>
          <w:b w:val="false"/>
          <w:color w:val="000000"/>
          <w:sz w:val="16"/>
        </w:rPr>
        <w:t>" at the end of this item for a reconciliation of non-GAAP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37845"/>
                <wp:effectExtent l="0" t="0" r="0" b="0"/>
                <wp:wrapNone/>
                <wp:docPr id="20" name="Frame20"/>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18</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18</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Nine months ended March 31, 2025 compared to March 31, 2024</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Revenues increased $102.3 million, or 4.0%, from the prior year. U.S. assisted tax preparation revenues increased $104.8 million, or 6.5%, primarily due to a 5.0% increase in net average charge combined with a 1.4% increase in company-owned tax return volumes in the current year. U.S. royalty revenue decreased $9.8 million, or 6.4%, primarily due to lower franchise tax return volumes which was primarily driven by franchise acquisitions. During the year we purchased franchise offices which results in increasing tax preparation revenues and decreasing royalties as the revenues and returns become company-owned after the acquisition. Through the nine months ended March 31, 2025 our total assisted tax return volume, which includes both company-owned and franchise offices, decreased 0.6% from the prior year.</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U.S. DIY tax preparation revenues increased $16.1 million, or 7.5%, primarily due to a 8.4% increase in online paid net average charge and higher desktop software sales, partially offset by lower online paid volumes.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Interest and fee income on Emerald Advance® revenues decreased $10.1 million, or 27.5%, primarily due to a decrease in EA loans originated in the current year. Wave revenues increased $9.0 million, or 12.8%, due to higher accounting, invoicing and receipts subscriptions and small business payments processing volumes.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Total operating expenses increased $100.0 million, or 4.8%, from the prior year period. Field wages increased $32.0 million, or 4.9%, due to higher tax professional wages in the current year primarily due to the increase in company-owned volumes. Other wages increased $8.6 million, or 3.9%, primarily due to higher corporate wages due to salary increases in the current year. Benefits and other compensation increased $17.8 million, or 10.4%, due to higher payroll taxes, 401K match and higher employee insurance in the current year. Marketing and advertising expense increased $10.4 million, or 4.9%, due to the higher spend and lower vendor refunds for expired customer incentives in the current year.</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Other operating expenses increased $33.8 million, or 9.4%. The components of other expenses are as follows:</w:t>
      </w:r>
    </w:p>
    <w:tbl>
      <w:tblPr>
        <w:tblW w:w="9789" w:type="dxa"/>
        <w:jc w:val="center"/>
        <w:tblInd w:w="0" w:type="dxa"/>
        <w:tblLayout w:type="fixed"/>
        <w:tblCellMar>
          <w:top w:w="28" w:type="dxa"/>
          <w:left w:w="28" w:type="dxa"/>
          <w:bottom w:w="28" w:type="dxa"/>
          <w:right w:w="28" w:type="dxa"/>
        </w:tblCellMar>
      </w:tblPr>
      <w:tblGrid>
        <w:gridCol w:w="1212"/>
        <w:gridCol w:w="1064"/>
        <w:gridCol w:w="1068"/>
        <w:gridCol w:w="109"/>
        <w:gridCol w:w="109"/>
        <w:gridCol w:w="109"/>
        <w:gridCol w:w="226"/>
        <w:gridCol w:w="961"/>
        <w:gridCol w:w="109"/>
        <w:gridCol w:w="109"/>
        <w:gridCol w:w="109"/>
        <w:gridCol w:w="109"/>
        <w:gridCol w:w="226"/>
        <w:gridCol w:w="946"/>
        <w:gridCol w:w="109"/>
        <w:gridCol w:w="109"/>
        <w:gridCol w:w="109"/>
        <w:gridCol w:w="109"/>
        <w:gridCol w:w="226"/>
        <w:gridCol w:w="916"/>
        <w:gridCol w:w="109"/>
        <w:gridCol w:w="109"/>
        <w:gridCol w:w="109"/>
        <w:gridCol w:w="109"/>
        <w:gridCol w:w="336"/>
        <w:gridCol w:w="339"/>
        <w:gridCol w:w="634"/>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Nine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Consulting and outsourced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72,770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67,297 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(5,473)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w:t>
            </w:r>
          </w:p>
        </w:tc>
        <w:tc>
          <w:tcPr>
            <w:tcW w:w="6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Bank partner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32,199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Client claims and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18,696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Employee and travel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27,164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Technology-related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87,035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Credit card/bank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76,300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12,444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(54.2)</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Legal fees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29,640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(50.3)</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16,884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20,768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393,900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360,111 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(33,789)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Legal expense increased $9.9 million, or 50.3%, primarily due to higher outside legal counsel spend.</w:t>
      </w:r>
    </w:p>
    <w:p>
      <w:pPr>
        <w:pStyle w:val="TextBody"/>
        <w:bidi w:val="0"/>
        <w:spacing w:lineRule="auto" w:line="288" w:before="120" w:after="283"/>
        <w:ind w:left="0" w:right="0" w:firstLine="270"/>
        <w:jc w:val="both"/>
        <w:rPr/>
      </w:pPr>
      <w:r>
        <w:rPr>
          <w:rFonts w:ascii="sans-serif" w:hAnsi="sans-serif"/>
          <w:b w:val="false"/>
          <w:color w:val="000000"/>
          <w:sz w:val="20"/>
        </w:rPr>
        <w:t xml:space="preserve">We recorded income tax expense of $104.6 million in the current year compared to $72.5 million in the prior year. The effective tax rate for the nine months ended March 31, 2025, and 2024 was 25.3% and 17.6%, respectively. See </w:t>
      </w:r>
      <w:hyperlink w:anchor="i359b23a2756a49d68fc721e4261fd2a6_52">
        <w:r>
          <w:rPr>
            <w:rStyle w:val="InternetLink"/>
            <w:rFonts w:ascii="sans-serif" w:hAnsi="sans-serif"/>
            <w:b w:val="false"/>
            <w:color w:val="0000FF"/>
            <w:sz w:val="20"/>
            <w:u w:val="single"/>
          </w:rPr>
          <w:t>Item 1, note 7</w:t>
        </w:r>
      </w:hyperlink>
      <w:r>
        <w:rPr>
          <w:color w:val="000000"/>
        </w:rPr>
        <w:t xml:space="preserve"> </w:t>
      </w:r>
      <w:r>
        <w:rPr>
          <w:rFonts w:ascii="sans-serif" w:hAnsi="sans-serif"/>
          <w:b w:val="false"/>
          <w:color w:val="000000"/>
          <w:sz w:val="20"/>
        </w:rPr>
        <w:t>to the consolidated financial statements for additional discussion.</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Assisted tax return volume, which includes our company-owned and franchise operations, decreased 0.8% from July 1, 2024 through April 30, 2025 compared to the prior year period. DIY online paid tax return volume from July 1, 2024 through April 30, 2025, decreased 0.3% compared to the prior year period. Our business is highly seasonal and results for the nine months ended March 31, as well as results for the period ended April 30, may not be indicative of results for the fiscal year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94995"/>
                <wp:effectExtent l="0" t="0" r="0" b="0"/>
                <wp:wrapNone/>
                <wp:docPr id="21" name="Frame2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FINANCIAL CONDITION</w:t>
      </w:r>
    </w:p>
    <w:p>
      <w:pPr>
        <w:pStyle w:val="TextBody"/>
        <w:bidi w:val="0"/>
        <w:spacing w:lineRule="auto" w:line="288" w:before="120" w:after="283"/>
        <w:jc w:val="both"/>
        <w:rPr/>
      </w:pPr>
      <w:r>
        <w:rPr>
          <w:rFonts w:ascii="sans-serif" w:hAnsi="sans-serif"/>
          <w:b w:val="false"/>
          <w:color w:val="000000"/>
          <w:sz w:val="20"/>
        </w:rPr>
        <w:t xml:space="preserve">These comments should be read in conjunction with the consolidated balance sheets and consolidated statements of cash flows included in </w:t>
      </w:r>
      <w:hyperlink w:anchor="i359b23a2756a49d68fc721e4261fd2a6_25">
        <w:r>
          <w:rPr>
            <w:rStyle w:val="InternetLink"/>
            <w:rFonts w:ascii="sans-serif" w:hAnsi="sans-serif"/>
            <w:b w:val="false"/>
            <w:color w:val="0000FF"/>
            <w:sz w:val="20"/>
            <w:u w:val="single"/>
          </w:rPr>
          <w:t>Part 1, Item 1</w:t>
        </w:r>
      </w:hyperlink>
      <w:r>
        <w:rPr>
          <w:rFonts w:ascii="sans-serif" w:hAnsi="sans-serif"/>
          <w:b w:val="false"/>
          <w:color w:val="000000"/>
          <w:sz w:val="20"/>
        </w:rPr>
        <w:t>.</w:t>
      </w:r>
    </w:p>
    <w:p>
      <w:pPr>
        <w:pStyle w:val="TextBody"/>
        <w:bidi w:val="0"/>
        <w:spacing w:lineRule="auto" w:line="288" w:before="120" w:after="283"/>
        <w:jc w:val="both"/>
        <w:rPr/>
      </w:pPr>
      <w:r>
        <w:rPr>
          <w:rFonts w:ascii="sans-serif" w:hAnsi="sans-serif"/>
          <w:b/>
          <w:color w:val="000000"/>
          <w:sz w:val="20"/>
        </w:rPr>
        <w:t>CAPITAL RESOURCES AND LIQUIDITY</w:t>
      </w:r>
      <w:r>
        <w:rPr>
          <w:color w:val="000000"/>
        </w:rPr>
        <w:t xml:space="preserve"> – </w:t>
      </w:r>
    </w:p>
    <w:p>
      <w:pPr>
        <w:pStyle w:val="TextBody"/>
        <w:bidi w:val="0"/>
        <w:spacing w:lineRule="auto" w:line="288" w:before="120" w:after="283"/>
        <w:ind w:left="0" w:right="0" w:firstLine="270"/>
        <w:jc w:val="both"/>
        <w:rPr/>
      </w:pPr>
      <w:r>
        <w:rPr>
          <w:rFonts w:ascii="sans-serif" w:hAnsi="sans-serif"/>
          <w:b/>
          <w:color w:val="000000"/>
          <w:sz w:val="20"/>
        </w:rPr>
        <w:t xml:space="preserve">OVERVIEW </w:t>
      </w:r>
      <w:r>
        <w:rPr>
          <w:color w:val="000000"/>
        </w:rPr>
        <w:t xml:space="preserve">– </w:t>
      </w:r>
      <w:r>
        <w:rPr>
          <w:rFonts w:ascii="sans-serif" w:hAnsi="sans-serif"/>
          <w:b w:val="false"/>
          <w:color w:val="000000"/>
          <w:sz w:val="20"/>
        </w:rPr>
        <w:t>Our primary sources of capital and liquidity include cash from operations (including changes in working capital), draws on our unsecured committed line of credit (CLOC), and issuances of debt. We use our sources of liquidity primarily to fund working capital, service and repay debt, pay dividends, repurchase shares of our common stock, and acquire businesses.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during the months of May through January. We typically have relied on available cash balances from the prior tax season and borrowings to meet liquidity needs.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Given the likely availability of a number of liquidity options discussed herein, we believe that, in the absence of any unexpected developments, our existing sources of capital as of March 31, 2025 are sufficient to meet our operating, investing and financing needs.</w:t>
      </w:r>
    </w:p>
    <w:p>
      <w:pPr>
        <w:pStyle w:val="TextBody"/>
        <w:bidi w:val="0"/>
        <w:spacing w:lineRule="auto" w:line="288" w:before="120" w:after="283"/>
        <w:ind w:left="0" w:right="0" w:firstLine="270"/>
        <w:jc w:val="both"/>
        <w:rPr/>
      </w:pPr>
      <w:r>
        <w:rPr>
          <w:rFonts w:ascii="sans-serif" w:hAnsi="sans-serif"/>
          <w:b/>
          <w:color w:val="000000"/>
          <w:sz w:val="20"/>
        </w:rPr>
        <w:t xml:space="preserve">DISCUSSION OF CONSOLIDATED STATEMENTS OF CASH FLOWS </w:t>
      </w:r>
      <w:r>
        <w:rPr>
          <w:color w:val="000000"/>
        </w:rPr>
        <w:t xml:space="preserve">– </w:t>
      </w:r>
      <w:r>
        <w:rPr>
          <w:rFonts w:ascii="sans-serif" w:hAnsi="sans-serif"/>
          <w:b w:val="false"/>
          <w:color w:val="000000"/>
          <w:sz w:val="20"/>
        </w:rPr>
        <w:t xml:space="preserve">The following table summarizes our statements of cash flows for the nine months ended March 31, 2025 and 2024. See </w:t>
      </w:r>
      <w:hyperlink w:anchor="i359b23a2756a49d68fc721e4261fd2a6_25">
        <w:r>
          <w:rPr>
            <w:rStyle w:val="InternetLink"/>
            <w:rFonts w:ascii="sans-serif" w:hAnsi="sans-serif"/>
            <w:b w:val="false"/>
            <w:color w:val="0000FF"/>
            <w:sz w:val="20"/>
            <w:u w:val="single"/>
          </w:rPr>
          <w:t>Item 1</w:t>
        </w:r>
      </w:hyperlink>
      <w:r>
        <w:rPr>
          <w:color w:val="000000"/>
        </w:rPr>
        <w:t xml:space="preserve"> </w:t>
      </w:r>
      <w:r>
        <w:rPr>
          <w:rFonts w:ascii="sans-serif" w:hAnsi="sans-serif"/>
          <w:b w:val="false"/>
          <w:color w:val="000000"/>
          <w:sz w:val="20"/>
        </w:rPr>
        <w:t>for the complete consolidated statements of cash flows for these periods.</w:t>
      </w:r>
    </w:p>
    <w:tbl>
      <w:tblPr>
        <w:tblW w:w="10205" w:type="dxa"/>
        <w:jc w:val="left"/>
        <w:tblInd w:w="0" w:type="dxa"/>
        <w:tblLayout w:type="fixed"/>
        <w:tblCellMar>
          <w:top w:w="28" w:type="dxa"/>
          <w:left w:w="28" w:type="dxa"/>
          <w:bottom w:w="28" w:type="dxa"/>
          <w:right w:w="28" w:type="dxa"/>
        </w:tblCellMar>
      </w:tblPr>
      <w:tblGrid>
        <w:gridCol w:w="2380"/>
        <w:gridCol w:w="2074"/>
        <w:gridCol w:w="2081"/>
        <w:gridCol w:w="109"/>
        <w:gridCol w:w="109"/>
        <w:gridCol w:w="109"/>
        <w:gridCol w:w="226"/>
        <w:gridCol w:w="1048"/>
        <w:gridCol w:w="109"/>
        <w:gridCol w:w="109"/>
        <w:gridCol w:w="109"/>
        <w:gridCol w:w="109"/>
        <w:gridCol w:w="226"/>
        <w:gridCol w:w="1033"/>
        <w:gridCol w:w="109"/>
        <w:gridCol w:w="109"/>
        <w:gridCol w:w="156"/>
      </w:tblGrid>
      <w:tr>
        <w:trPr/>
        <w:tc>
          <w:tcPr>
            <w:tcW w:w="2380"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Nine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429,322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420,264 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(110,890)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(595,506)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(520,503)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Effects of exchange rates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decrease in cash and cash equivalents, including restricted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(285,503)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(202,621)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pPr>
      <w:r>
        <w:rPr>
          <w:rFonts w:ascii="sans-serif" w:hAnsi="sans-serif"/>
          <w:b/>
          <w:color w:val="000000"/>
          <w:sz w:val="20"/>
        </w:rPr>
        <w:t>Operating Activities.</w:t>
      </w:r>
      <w:r>
        <w:rPr>
          <w:color w:val="000000"/>
        </w:rPr>
        <w:t xml:space="preserve"> </w:t>
      </w:r>
      <w:r>
        <w:rPr>
          <w:rFonts w:ascii="sans-serif" w:hAnsi="sans-serif"/>
          <w:b w:val="false"/>
          <w:color w:val="000000"/>
          <w:sz w:val="20"/>
        </w:rPr>
        <w:t>Cash provided by operations totaled $429.3 million for the nine months ended March 31, 2025 compared to $420.3 million in the prior year period. The increase is primarily due to changes in accounts payable and accounts receivable, partially offset by a lower net income in the current year.</w:t>
      </w:r>
    </w:p>
    <w:p>
      <w:pPr>
        <w:pStyle w:val="TextBody"/>
        <w:bidi w:val="0"/>
        <w:spacing w:lineRule="auto" w:line="288" w:before="120" w:after="283"/>
        <w:ind w:left="0" w:right="0" w:firstLine="270"/>
        <w:jc w:val="both"/>
        <w:rPr/>
      </w:pPr>
      <w:r>
        <w:rPr>
          <w:rFonts w:ascii="sans-serif" w:hAnsi="sans-serif"/>
          <w:b/>
          <w:color w:val="000000"/>
          <w:sz w:val="20"/>
        </w:rPr>
        <w:t xml:space="preserve">Investing Activities. </w:t>
      </w:r>
      <w:r>
        <w:rPr>
          <w:rFonts w:ascii="sans-serif" w:hAnsi="sans-serif"/>
          <w:b w:val="false"/>
          <w:color w:val="000000"/>
          <w:sz w:val="20"/>
        </w:rPr>
        <w:t>Cash used in investing activities totaled $110.9 million for the nine months ended March 31, 2025 compared to $99.6 million in the prior year period. The change is primarily due to higher capital expenditures, partially offset by lower payments made for business acquisitions in the current year.</w:t>
      </w:r>
    </w:p>
    <w:p>
      <w:pPr>
        <w:pStyle w:val="TextBody"/>
        <w:bidi w:val="0"/>
        <w:spacing w:lineRule="auto" w:line="288" w:before="120" w:after="283"/>
        <w:ind w:left="0" w:right="0" w:firstLine="270"/>
        <w:jc w:val="both"/>
        <w:rPr/>
      </w:pPr>
      <w:r>
        <w:rPr>
          <w:rFonts w:ascii="sans-serif" w:hAnsi="sans-serif"/>
          <w:b/>
          <w:color w:val="000000"/>
          <w:sz w:val="20"/>
        </w:rPr>
        <w:t xml:space="preserve">Financing Activities. </w:t>
      </w:r>
      <w:r>
        <w:rPr>
          <w:rFonts w:ascii="sans-serif" w:hAnsi="sans-serif"/>
          <w:b w:val="false"/>
          <w:color w:val="000000"/>
          <w:sz w:val="20"/>
        </w:rPr>
        <w:t>Cash used in financing activities totaled $595.5 million for the nine months ended March 31, 2025 compared to $520.5 million in the prior year period. The change is primarily due to higher repurchases of common stock and dividends in the current year.</w:t>
      </w:r>
    </w:p>
    <w:p>
      <w:pPr>
        <w:pStyle w:val="TextBody"/>
        <w:bidi w:val="0"/>
        <w:spacing w:lineRule="auto" w:line="288" w:before="120" w:after="283"/>
        <w:ind w:left="0" w:right="0" w:firstLine="270"/>
        <w:jc w:val="both"/>
        <w:rPr/>
      </w:pPr>
      <w:r>
        <w:rPr>
          <w:rFonts w:ascii="sans-serif" w:hAnsi="sans-serif"/>
          <w:b/>
          <w:color w:val="000000"/>
          <w:sz w:val="20"/>
        </w:rPr>
        <w:t>CASH REQUIREMENTS</w:t>
      </w:r>
      <w:r>
        <w:rPr>
          <w:color w:val="000000"/>
        </w:rPr>
        <w:t xml:space="preserve"> –</w:t>
      </w:r>
    </w:p>
    <w:p>
      <w:pPr>
        <w:pStyle w:val="TextBody"/>
        <w:bidi w:val="0"/>
        <w:spacing w:lineRule="auto" w:line="288" w:before="120" w:after="283"/>
        <w:ind w:left="0" w:right="0" w:firstLine="270"/>
        <w:jc w:val="both"/>
        <w:rPr/>
      </w:pPr>
      <w:r>
        <w:rPr>
          <w:rFonts w:ascii="sans-serif" w:hAnsi="sans-serif"/>
          <w:b/>
          <w:color w:val="000000"/>
          <w:sz w:val="20"/>
        </w:rPr>
        <w:t>Dividends and Share Repurchases.</w:t>
      </w:r>
      <w:r>
        <w:rPr>
          <w:color w:val="000000"/>
        </w:rPr>
        <w:t xml:space="preserve"> </w:t>
      </w:r>
      <w:r>
        <w:rPr>
          <w:rFonts w:ascii="sans-serif" w:hAnsi="sans-serif"/>
          <w:b w:val="false"/>
          <w:color w:val="000000"/>
          <w:sz w:val="20"/>
        </w:rPr>
        <w:t>Returning capital to shareholders in the form of dividends and the repurchase of outstanding shares is, and has historically been, a significant component of our capital allocation plan.</w:t>
      </w:r>
    </w:p>
    <w:p>
      <w:pPr>
        <w:pStyle w:val="TextBody"/>
        <w:bidi w:val="0"/>
        <w:spacing w:lineRule="auto" w:line="288" w:before="120" w:after="283"/>
        <w:ind w:left="0" w:right="0" w:firstLine="270"/>
        <w:jc w:val="both"/>
        <w:rPr/>
      </w:pPr>
      <w:r>
        <w:rPr>
          <w:rFonts w:ascii="sans-serif" w:hAnsi="sans-serif"/>
          <w:b w:val="false"/>
          <w:color w:val="000000"/>
          <w:sz w:val="20"/>
        </w:rPr>
        <w:t xml:space="preserve">We have consistently paid quarterly dividends. Dividends paid totaled </w:t>
      </w:r>
      <w:r>
        <w:rPr>
          <w:rFonts w:ascii="sans-serif" w:hAnsi="sans-serif"/>
          <w:b w:val="false"/>
          <w:color w:val="000000"/>
          <w:sz w:val="20"/>
          <w:shd w:fill="FFFFFF" w:val="clear"/>
        </w:rPr>
        <w:t>$147.1 million</w:t>
      </w:r>
      <w:r>
        <w:rPr>
          <w:color w:val="000000"/>
        </w:rPr>
        <w:t xml:space="preserve"> </w:t>
      </w:r>
      <w:r>
        <w:rPr>
          <w:rFonts w:ascii="sans-serif" w:hAnsi="sans-serif"/>
          <w:b w:val="false"/>
          <w:color w:val="000000"/>
          <w:sz w:val="20"/>
        </w:rPr>
        <w:t xml:space="preserve">and </w:t>
      </w:r>
      <w:r>
        <w:rPr>
          <w:rFonts w:ascii="sans-serif" w:hAnsi="sans-serif"/>
          <w:b w:val="false"/>
          <w:color w:val="000000"/>
          <w:sz w:val="20"/>
          <w:shd w:fill="FFFFFF" w:val="clear"/>
        </w:rPr>
        <w:t>$135.1 million</w:t>
      </w:r>
      <w:r>
        <w:rPr>
          <w:color w:val="000000"/>
        </w:rPr>
        <w:t xml:space="preserve"> </w:t>
      </w:r>
      <w:r>
        <w:rPr>
          <w:rFonts w:ascii="sans-serif" w:hAnsi="sans-serif"/>
          <w:b w:val="false"/>
          <w:color w:val="000000"/>
          <w:sz w:val="20"/>
        </w:rPr>
        <w:t>for the nine months ended March 31, 2025 and 2024, respectively. Although we have historically paid dividends and plan to continue to do so, there can be no assurances that circumstances will not change in the future that could affect our ability or decisions to pay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37845"/>
                <wp:effectExtent l="0" t="0" r="0" b="0"/>
                <wp:wrapNone/>
                <wp:docPr id="22" name="Frame22"/>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20</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20</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On August 15, 2024, the Board of Directors approved a $1.5 billion share repurchase program. The repurchase program does not have an expiration date and replaced the previously existing share repurchase program. During the nine months ended March 31, 2025, we repurchased $400.1 million of our common stock at an average price of $61.10 per share, excluding excise taxes in connection with such repurchases. In the prior year period, we repurchased $350.1 million of our common stock at an average price of $43.66 per share, excluding excise taxes in connection with such repurchases. Our current share repurchase program has remaining authorization of $1.1 billion and does not have an expiration date.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Share repurchases may be effectuated through open market transactions, some of which may be effectuated under SEC Rule 10b5-1. The Company may cancel, suspend, or extend the period for the purchase of shares at any time. Any repurchases will be funded primarily through available cash and cash from operations. Although we may continue to repurchase shares, there is no assurance that we will purchase up to the full Board authorization.</w:t>
      </w:r>
    </w:p>
    <w:p>
      <w:pPr>
        <w:pStyle w:val="TextBody"/>
        <w:bidi w:val="0"/>
        <w:spacing w:lineRule="auto" w:line="288" w:before="120" w:after="283"/>
        <w:jc w:val="both"/>
        <w:rPr/>
      </w:pPr>
      <w:r>
        <w:rPr>
          <w:color w:val="000000"/>
        </w:rPr>
        <w:t>    </w:t>
      </w:r>
      <w:r>
        <w:rPr>
          <w:rFonts w:ascii="sans-serif" w:hAnsi="sans-serif"/>
          <w:b/>
          <w:color w:val="000000"/>
          <w:sz w:val="20"/>
        </w:rPr>
        <w:t xml:space="preserve">Capital Investment. </w:t>
      </w:r>
      <w:r>
        <w:rPr>
          <w:rFonts w:ascii="sans-serif" w:hAnsi="sans-serif"/>
          <w:b w:val="false"/>
          <w:color w:val="000000"/>
          <w:sz w:val="20"/>
        </w:rPr>
        <w:t xml:space="preserve">Capital expenditures totaled $71.8 million and $53.8 million for the nine months ended March 31, 2025 and 2024, respectively. Our capital expenditures relate primarily to recurring improvements to retail offices, as well as investments in computers, software and related assets. In addition to our capital expenditures, we also made payments to acquire businesses. We acquired franchisee and competitor businesses totaling $35.3 million and $43.2 million during the nine months ended March 31, 2025 and 2024, respectively. See </w:t>
      </w:r>
      <w:hyperlink w:anchor="i359b23a2756a49d68fc721e4261fd2a6_46">
        <w:r>
          <w:rPr>
            <w:rStyle w:val="InternetLink"/>
            <w:rFonts w:ascii="sans-serif" w:hAnsi="sans-serif"/>
            <w:b w:val="false"/>
            <w:color w:val="0000FF"/>
            <w:sz w:val="20"/>
            <w:u w:val="single"/>
          </w:rPr>
          <w:t>Item 1, note 5</w:t>
        </w:r>
      </w:hyperlink>
      <w:r>
        <w:rPr>
          <w:color w:val="000000"/>
        </w:rPr>
        <w:t xml:space="preserve"> </w:t>
      </w:r>
      <w:r>
        <w:rPr>
          <w:rFonts w:ascii="sans-serif" w:hAnsi="sans-serif"/>
          <w:b w:val="false"/>
          <w:color w:val="000000"/>
          <w:sz w:val="20"/>
        </w:rPr>
        <w:t xml:space="preserve">for additional information on our acquisitions. </w:t>
      </w:r>
    </w:p>
    <w:p>
      <w:pPr>
        <w:pStyle w:val="TextBody"/>
        <w:bidi w:val="0"/>
        <w:spacing w:lineRule="auto" w:line="288" w:before="120" w:after="283"/>
        <w:ind w:left="0" w:right="0" w:firstLine="270"/>
        <w:jc w:val="both"/>
        <w:rPr/>
      </w:pPr>
      <w:r>
        <w:rPr>
          <w:rFonts w:ascii="sans-serif" w:hAnsi="sans-serif"/>
          <w:b/>
          <w:color w:val="000000"/>
          <w:sz w:val="20"/>
        </w:rPr>
        <w:t xml:space="preserve">FINANCING RESOURCES </w:t>
      </w:r>
      <w:r>
        <w:rPr>
          <w:color w:val="000000"/>
        </w:rPr>
        <w:t xml:space="preserve">– </w:t>
      </w:r>
      <w:r>
        <w:rPr>
          <w:rFonts w:ascii="sans-serif" w:hAnsi="sans-serif"/>
          <w:b w:val="false"/>
          <w:color w:val="000000"/>
          <w:sz w:val="20"/>
        </w:rPr>
        <w:t xml:space="preserve">The CLOC has capacity up to $1.5 billion and is scheduled to expire in June 2026. Proceeds under the CLOC may be used for working capital needs or for other general corporate purposes. </w:t>
      </w:r>
      <w:r>
        <w:rPr>
          <w:rFonts w:ascii="sans-serif" w:hAnsi="sans-serif"/>
          <w:b w:val="false"/>
          <w:color w:val="000000"/>
          <w:sz w:val="20"/>
          <w:shd w:fill="FFFFFF" w:val="clear"/>
        </w:rPr>
        <w:t>We had n</w:t>
      </w:r>
      <w:r>
        <w:rPr>
          <w:rFonts w:ascii="sans-serif" w:hAnsi="sans-serif"/>
          <w:b w:val="false"/>
          <w:color w:val="000000"/>
          <w:sz w:val="20"/>
        </w:rPr>
        <w:t xml:space="preserve">o outstanding balance under our CLOC and amounts available to borrow were not limited by the debt-to-EBITDA covenant as of March 31, 2025.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Our Senior Notes due in October 2025 (2025 Senior Notes) are classified as a current liability as of March 31, 2025. We are considering various financing options in regard to the maturing 2025 Senior Notes and anticipate these options will provide adequate liquidity to fund the cash requirements at or prior to maturity.</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table provides ratings for debt issued by Block Financial LLC (Block Financial) as of March 31, 2025 and June 30, 2024:</w:t>
      </w:r>
    </w:p>
    <w:tbl>
      <w:tblPr>
        <w:tblW w:w="8740"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365"/>
        <w:gridCol w:w="365"/>
        <w:gridCol w:w="366"/>
        <w:gridCol w:w="110"/>
        <w:gridCol w:w="110"/>
        <w:gridCol w:w="110"/>
        <w:gridCol w:w="350"/>
        <w:gridCol w:w="350"/>
        <w:gridCol w:w="351"/>
        <w:gridCol w:w="110"/>
        <w:gridCol w:w="110"/>
        <w:gridCol w:w="110"/>
        <w:gridCol w:w="265"/>
        <w:gridCol w:w="265"/>
        <w:gridCol w:w="266"/>
        <w:gridCol w:w="109"/>
        <w:gridCol w:w="109"/>
        <w:gridCol w:w="109"/>
        <w:gridCol w:w="365"/>
        <w:gridCol w:w="365"/>
        <w:gridCol w:w="366"/>
        <w:gridCol w:w="109"/>
        <w:gridCol w:w="109"/>
        <w:gridCol w:w="109"/>
        <w:gridCol w:w="350"/>
        <w:gridCol w:w="350"/>
        <w:gridCol w:w="351"/>
        <w:gridCol w:w="109"/>
        <w:gridCol w:w="109"/>
        <w:gridCol w:w="109"/>
        <w:gridCol w:w="246"/>
        <w:gridCol w:w="246"/>
        <w:gridCol w:w="349"/>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18"/>
              </w:rPr>
            </w:pPr>
            <w:r>
              <w:rPr>
                <w:rFonts w:ascii="sans-serif" w:hAnsi="sans-serif"/>
                <w:b w:val="false"/>
                <w:color w:val="000000"/>
                <w:sz w:val="18"/>
              </w:rPr>
              <w:t>June 30, 2024</w:t>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Short-term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Long-term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Outlook</w:t>
            </w:r>
          </w:p>
        </w:tc>
      </w:tr>
      <w:tr>
        <w:trPr/>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P-3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Baa3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Stable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P-3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Baa3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Stable</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S&amp;P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A-2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BBB</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Stable</w:t>
            </w:r>
          </w:p>
        </w:tc>
      </w:tr>
      <w:tr>
        <w:trPr/>
        <w:tc>
          <w:tcPr>
            <w:tcW w:w="8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Other than described above, there have been no material changes in our borrowings from those reported as of June 30, 2024 in our Annual Report on Form 10-K.</w:t>
      </w:r>
    </w:p>
    <w:p>
      <w:pPr>
        <w:pStyle w:val="TextBody"/>
        <w:bidi w:val="0"/>
        <w:spacing w:lineRule="auto" w:line="288" w:before="120" w:after="283"/>
        <w:ind w:left="0" w:right="0" w:firstLine="270"/>
        <w:jc w:val="both"/>
        <w:rPr/>
      </w:pPr>
      <w:r>
        <w:rPr>
          <w:rFonts w:ascii="sans-serif" w:hAnsi="sans-serif"/>
          <w:b/>
          <w:color w:val="000000"/>
          <w:sz w:val="20"/>
        </w:rPr>
        <w:t xml:space="preserve">CASH AND OTHER ASSETS </w:t>
      </w:r>
      <w:r>
        <w:rPr>
          <w:color w:val="000000"/>
        </w:rPr>
        <w:t xml:space="preserve">– </w:t>
      </w:r>
      <w:r>
        <w:rPr>
          <w:rFonts w:ascii="sans-serif" w:hAnsi="sans-serif"/>
          <w:b w:val="false"/>
          <w:color w:val="000000"/>
          <w:sz w:val="20"/>
        </w:rPr>
        <w:t>As of March 31, 2025, we held cash and cash equivalents, excluding restricted amounts, of $772.9 million, including $153.0 million held by our foreign subsidiaries.</w:t>
      </w:r>
    </w:p>
    <w:p>
      <w:pPr>
        <w:pStyle w:val="TextBody"/>
        <w:bidi w:val="0"/>
        <w:spacing w:lineRule="auto" w:line="288" w:before="120" w:after="283"/>
        <w:ind w:left="0" w:right="0" w:firstLine="270"/>
        <w:jc w:val="both"/>
        <w:rPr/>
      </w:pPr>
      <w:r>
        <w:rPr>
          <w:rFonts w:ascii="sans-serif" w:hAnsi="sans-serif"/>
          <w:b/>
          <w:color w:val="000000"/>
          <w:sz w:val="20"/>
        </w:rPr>
        <w:t>Foreign Operations.</w:t>
      </w:r>
      <w:r>
        <w:rPr>
          <w:color w:val="000000"/>
        </w:rPr>
        <w:t xml:space="preserve"> </w:t>
      </w:r>
      <w:r>
        <w:rPr>
          <w:rFonts w:ascii="sans-serif" w:hAnsi="sans-serif"/>
          <w:b w:val="false"/>
          <w:color w:val="000000"/>
          <w:sz w:val="20"/>
        </w:rPr>
        <w:t xml:space="preserve">Seasonal borrowing needs of our Canadian operations are typically funded by our U.S. operations. To mitigate foreign currency risk, we sometimes enter into foreign exchange forward contracts. There were no forward contracts outstanding as of March 31, 2025.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do not currently intend to repatriate non-borrowed funds held by our foreign subsidiaries in a manner that would trigger a tax liability.</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The impact of changes in foreign exchange rates during the period on our international cash balances resulted in a decrease of $8.4 million during the nine months ended March 31, 2025 and in a decrease of $2.7 million during the nine months ended March 31, 2024. </w:t>
      </w:r>
    </w:p>
    <w:p>
      <w:pPr>
        <w:pStyle w:val="TextBody"/>
        <w:bidi w:val="0"/>
        <w:spacing w:lineRule="auto" w:line="288" w:before="120" w:after="283"/>
        <w:ind w:left="0" w:right="0" w:firstLine="270"/>
        <w:jc w:val="both"/>
        <w:rPr/>
      </w:pPr>
      <w:r>
        <w:rPr>
          <w:rFonts w:ascii="sans-serif" w:hAnsi="sans-serif"/>
          <w:b/>
          <w:color w:val="000000"/>
          <w:sz w:val="20"/>
        </w:rPr>
        <w:t>CONTRACTUAL OBLIGATIONS AND COMMERCIAL COMMITMENTS</w:t>
      </w:r>
      <w:r>
        <w:rPr>
          <w:color w:val="000000"/>
        </w:rPr>
        <w:t xml:space="preserve"> – </w:t>
      </w:r>
      <w:r>
        <w:rPr>
          <w:rFonts w:ascii="sans-serif" w:hAnsi="sans-serif"/>
          <w:b w:val="false"/>
          <w:color w:val="000000"/>
          <w:sz w:val="20"/>
        </w:rPr>
        <w:t xml:space="preserve">The Company entered into an agreement to purchase federal Investment tax credits (ITC). During the nine months ended March 31, 2025, we paid $22.9 million for ITCs. As of March 31, 2025, the Company has a remaining commitment to purchase additional ITCs,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94995"/>
                <wp:effectExtent l="0" t="0" r="0" b="0"/>
                <wp:wrapNone/>
                <wp:docPr id="23" name="Frame2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approximately $75.1 million if certain conditions set forth in the agreement are satisfied, with the final closing payment anticipated to occur by June 30, 2025.</w:t>
      </w:r>
    </w:p>
    <w:p>
      <w:pPr>
        <w:pStyle w:val="TextBody"/>
        <w:bidi w:val="0"/>
        <w:spacing w:lineRule="auto" w:line="288" w:before="120" w:after="283"/>
        <w:ind w:left="0" w:right="0" w:firstLine="270"/>
        <w:jc w:val="both"/>
        <w:rPr/>
      </w:pPr>
      <w:r>
        <w:rPr>
          <w:rFonts w:ascii="sans-serif" w:hAnsi="sans-serif"/>
          <w:b w:val="false"/>
          <w:color w:val="000000"/>
          <w:sz w:val="20"/>
        </w:rPr>
        <w:t xml:space="preserve">Effective October 18, 2024, we amended our Program Management Agreement (PMA) with Pathward®, N.A to extend the term of the PMA for two years until June 30, 2027. We purchased participation interests in EAs of $260.6 million during the nine months ended March 31, 2025. See </w:t>
      </w:r>
      <w:hyperlink w:anchor="i359b23a2756a49d68fc721e4261fd2a6_58">
        <w:r>
          <w:rPr>
            <w:rStyle w:val="InternetLink"/>
            <w:rFonts w:ascii="sans-serif" w:hAnsi="sans-serif"/>
            <w:b w:val="false"/>
            <w:color w:val="0000FF"/>
            <w:sz w:val="20"/>
            <w:u w:val="single"/>
          </w:rPr>
          <w:t>Item 1, note 8</w:t>
        </w:r>
      </w:hyperlink>
      <w:r>
        <w:rPr>
          <w:color w:val="000000"/>
        </w:rPr>
        <w:t xml:space="preserve"> </w:t>
      </w:r>
      <w:r>
        <w:rPr>
          <w:rFonts w:ascii="sans-serif" w:hAnsi="sans-serif"/>
          <w:b w:val="false"/>
          <w:color w:val="000000"/>
          <w:sz w:val="20"/>
        </w:rPr>
        <w:t>for additional information on our commitments.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There have been no other material changes in our contractual obligations and commercial commitments from those reported in our June 30, 2024 Annual Report on Form 10-K.</w:t>
      </w:r>
    </w:p>
    <w:p>
      <w:pPr>
        <w:pStyle w:val="TextBody"/>
        <w:bidi w:val="0"/>
        <w:spacing w:lineRule="auto" w:line="288" w:before="120" w:after="283"/>
        <w:ind w:left="0" w:right="0" w:firstLine="270"/>
        <w:jc w:val="both"/>
        <w:rPr/>
      </w:pPr>
      <w:r>
        <w:rPr>
          <w:rFonts w:ascii="sans-serif" w:hAnsi="sans-serif"/>
          <w:b/>
          <w:color w:val="000000"/>
          <w:sz w:val="20"/>
        </w:rPr>
        <w:t>SUMMARIZED GUARANTOR FINANCIAL STATEMENTS</w:t>
      </w:r>
      <w:r>
        <w:rPr>
          <w:color w:val="000000"/>
        </w:rPr>
        <w:t xml:space="preserve"> – </w:t>
      </w:r>
      <w:r>
        <w:rPr>
          <w:rFonts w:ascii="sans-serif" w:hAnsi="sans-serif"/>
          <w:b w:val="false"/>
          <w:color w:val="000000"/>
          <w:sz w:val="20"/>
        </w:rPr>
        <w:t xml:space="preserve">Block Financial is a 100% owned subsidiary of H&amp;R Block, Inc. Block Financial is the Issuer and H&amp;R Block, Inc. is the full and unconditional Guarantor of our Senior Notes, CLOC and other indebtedness issued from time to time.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table presents summarized financial information for H&amp;R Block, Inc. (Guarantor) and Block Financial (Issuer) on a combined basis after intercompany eliminations and excludes investments in and equity earnings in non-guarantor subsidiaries.</w:t>
      </w:r>
    </w:p>
    <w:tbl>
      <w:tblPr>
        <w:tblW w:w="9697" w:type="dxa"/>
        <w:jc w:val="left"/>
        <w:tblInd w:w="0" w:type="dxa"/>
        <w:tblLayout w:type="fixed"/>
        <w:tblCellMar>
          <w:top w:w="28" w:type="dxa"/>
          <w:left w:w="28" w:type="dxa"/>
          <w:bottom w:w="28" w:type="dxa"/>
          <w:right w:w="28" w:type="dxa"/>
        </w:tblCellMar>
      </w:tblPr>
      <w:tblGrid>
        <w:gridCol w:w="2151"/>
        <w:gridCol w:w="1892"/>
        <w:gridCol w:w="1896"/>
        <w:gridCol w:w="109"/>
        <w:gridCol w:w="109"/>
        <w:gridCol w:w="109"/>
        <w:gridCol w:w="317"/>
        <w:gridCol w:w="1180"/>
        <w:gridCol w:w="153"/>
        <w:gridCol w:w="109"/>
        <w:gridCol w:w="109"/>
        <w:gridCol w:w="109"/>
        <w:gridCol w:w="272"/>
        <w:gridCol w:w="997"/>
        <w:gridCol w:w="185"/>
      </w:tblGrid>
      <w:tr>
        <w:trPr/>
        <w:tc>
          <w:tcPr>
            <w:tcW w:w="2151"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SUMMARIZED BALANCE SHEET - GUARANTOR AND ISSUER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5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June 30, 2024</w:t>
            </w:r>
          </w:p>
        </w:tc>
      </w:tr>
      <w:tr>
        <w:trPr/>
        <w:tc>
          <w:tcPr>
            <w:tcW w:w="5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74,093</w:t>
            </w: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44,423 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1,789,807</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1,778,832 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432,944</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77,848 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1,148,515</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1,492,211 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63"/>
        <w:gridCol w:w="1112"/>
        <w:gridCol w:w="956"/>
        <w:gridCol w:w="270"/>
        <w:gridCol w:w="270"/>
        <w:gridCol w:w="270"/>
        <w:gridCol w:w="561"/>
        <w:gridCol w:w="2386"/>
        <w:gridCol w:w="270"/>
        <w:gridCol w:w="109"/>
        <w:gridCol w:w="109"/>
        <w:gridCol w:w="109"/>
        <w:gridCol w:w="428"/>
        <w:gridCol w:w="1794"/>
        <w:gridCol w:w="298"/>
      </w:tblGrid>
      <w:tr>
        <w:trPr/>
        <w:tc>
          <w:tcPr>
            <w:tcW w:w="126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73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SUMMARIZED STATEMENTS OF OPERATIONS - GUARANTOR AND ISSUER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Nine months ended 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8"/>
              </w:rPr>
            </w:pPr>
            <w:r>
              <w:rPr>
                <w:rFonts w:ascii="sans-serif" w:hAnsi="sans-serif"/>
                <w:b w:val="false"/>
                <w:color w:val="000000"/>
                <w:sz w:val="18"/>
              </w:rPr>
              <w:t>Twelve months ended June 30, 2024</w:t>
            </w:r>
          </w:p>
        </w:tc>
      </w:tr>
      <w:tr>
        <w:trPr/>
        <w:tc>
          <w:tcPr>
            <w:tcW w:w="3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revenues</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23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104,642</w:t>
            </w:r>
            <w:r>
              <w:rPr>
                <w:color w:val="000000"/>
              </w:rPr>
              <w:t>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7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144,206 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from continuing operations before income taxes</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45,242</w:t>
            </w: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75,819 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from continuing operations</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34,837</w:t>
            </w: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57,441 </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32,129</w:t>
            </w: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54,795 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The table above reflects $1.7 billion of non-current intercompany receivables due to the Issuer from non-guarantor subsidiaries as of March 31, 2025 and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REGULATORY ENVIRONMENT</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There have been no material changes in our regulatory environment from what was reported in our June 30,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NON-GAAP FINANCIAL INFORMATION</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Non-GAAP financial measures should not be considered as a substitute for, or superior to, measures of financial performance prepared in accordance with U.S. generally accepted accounting principles (GAAP). Because these measures are not measures of financial performance under GAAP and are susceptible to varying calculations, they may not be comparable to similarly titled measures for other companies.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We measure the performance of our business using a variety of metrics, including earnings before interest, taxes, depreciation and amortization (EBITDA) from continuing operations, adjusted EBITDA from continuing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37845"/>
                <wp:effectExtent l="0" t="0" r="0" b="0"/>
                <wp:wrapNone/>
                <wp:docPr id="24" name="Frame24"/>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22</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22</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operations, adjusted diluted earnings per share from continuing operations, free cash flow and free cash flow yield. We also use EBITDA from continuing operations and pretax income of continuing operations, each subject to permitted adjustments, as performance metrics in incentive compensation calculations for our employees.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is a reconciliation of net income to EBITDA from continuing operations, which is a non-GAAP financial measure:</w:t>
      </w:r>
    </w:p>
    <w:tbl>
      <w:tblPr>
        <w:tblW w:w="10205" w:type="dxa"/>
        <w:jc w:val="center"/>
        <w:tblInd w:w="0" w:type="dxa"/>
        <w:tblLayout w:type="fixed"/>
        <w:tblCellMar>
          <w:top w:w="28" w:type="dxa"/>
          <w:left w:w="28" w:type="dxa"/>
          <w:bottom w:w="28" w:type="dxa"/>
          <w:right w:w="28" w:type="dxa"/>
        </w:tblCellMar>
      </w:tblPr>
      <w:tblGrid>
        <w:gridCol w:w="1366"/>
        <w:gridCol w:w="1066"/>
        <w:gridCol w:w="1069"/>
        <w:gridCol w:w="109"/>
        <w:gridCol w:w="109"/>
        <w:gridCol w:w="109"/>
        <w:gridCol w:w="226"/>
        <w:gridCol w:w="1156"/>
        <w:gridCol w:w="109"/>
        <w:gridCol w:w="109"/>
        <w:gridCol w:w="109"/>
        <w:gridCol w:w="109"/>
        <w:gridCol w:w="226"/>
        <w:gridCol w:w="946"/>
        <w:gridCol w:w="109"/>
        <w:gridCol w:w="109"/>
        <w:gridCol w:w="109"/>
        <w:gridCol w:w="109"/>
        <w:gridCol w:w="226"/>
        <w:gridCol w:w="961"/>
        <w:gridCol w:w="109"/>
        <w:gridCol w:w="109"/>
        <w:gridCol w:w="109"/>
        <w:gridCol w:w="109"/>
        <w:gridCol w:w="226"/>
        <w:gridCol w:w="946"/>
        <w:gridCol w:w="156"/>
      </w:tblGrid>
      <w:tr>
        <w:trPr/>
        <w:tc>
          <w:tcPr>
            <w:tcW w:w="13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March 31,</w:t>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r>
      <w:tr>
        <w:trPr/>
        <w:tc>
          <w:tcPr>
            <w:tcW w:w="3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722,330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690,737 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306,334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337,500 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Discontinued operations,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2,707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from continuing operations -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722,928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691,586 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309,041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339,597 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 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235,253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104,580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24,686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62,285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63,304 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29,221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87,247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91,004 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289,160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272,514 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254,112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226,835 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EBITDA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1,012,088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964,100 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563,153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566,432 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is a reconciliation of our results from continuing operations to our adjusted results from continuing operations, which is a non-GAAP financial measure:</w:t>
      </w:r>
    </w:p>
    <w:tbl>
      <w:tblPr>
        <w:tblW w:w="10205" w:type="dxa"/>
        <w:jc w:val="left"/>
        <w:tblInd w:w="0" w:type="dxa"/>
        <w:tblLayout w:type="fixed"/>
        <w:tblCellMar>
          <w:top w:w="28" w:type="dxa"/>
          <w:left w:w="28" w:type="dxa"/>
          <w:bottom w:w="28" w:type="dxa"/>
          <w:right w:w="28" w:type="dxa"/>
        </w:tblCellMar>
      </w:tblPr>
      <w:tblGrid>
        <w:gridCol w:w="1404"/>
        <w:gridCol w:w="1130"/>
        <w:gridCol w:w="1133"/>
        <w:gridCol w:w="109"/>
        <w:gridCol w:w="109"/>
        <w:gridCol w:w="109"/>
        <w:gridCol w:w="228"/>
        <w:gridCol w:w="971"/>
        <w:gridCol w:w="109"/>
        <w:gridCol w:w="109"/>
        <w:gridCol w:w="109"/>
        <w:gridCol w:w="109"/>
        <w:gridCol w:w="228"/>
        <w:gridCol w:w="955"/>
        <w:gridCol w:w="109"/>
        <w:gridCol w:w="109"/>
        <w:gridCol w:w="109"/>
        <w:gridCol w:w="109"/>
        <w:gridCol w:w="226"/>
        <w:gridCol w:w="961"/>
        <w:gridCol w:w="109"/>
        <w:gridCol w:w="109"/>
        <w:gridCol w:w="109"/>
        <w:gridCol w:w="109"/>
        <w:gridCol w:w="226"/>
        <w:gridCol w:w="946"/>
        <w:gridCol w:w="162"/>
      </w:tblGrid>
      <w:tr>
        <w:trPr/>
        <w:tc>
          <w:tcPr>
            <w:tcW w:w="140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3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March 31,</w:t>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sans-serif" w:hAnsi="sans-serif"/>
                <w:b w:val="false"/>
                <w:color w:val="000000"/>
                <w:sz w:val="18"/>
              </w:rPr>
            </w:pPr>
            <w:r>
              <w:rPr>
                <w:rFonts w:ascii="sans-serif" w:hAnsi="sans-serif"/>
                <w:b w:val="false"/>
                <w:color w:val="000000"/>
                <w:sz w:val="18"/>
              </w:rPr>
              <w:t>2024</w:t>
            </w:r>
          </w:p>
        </w:tc>
      </w:tr>
      <w:tr>
        <w:trPr/>
        <w:tc>
          <w:tcPr>
            <w:tcW w:w="3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from continuing operations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722,928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691,586 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309,041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339,597 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of intangibles related to acquisitions (pretax)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11,278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33,316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37,693 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Tax effect of adjustments </w:t>
            </w:r>
            <w:r>
              <w:rPr>
                <w:rFonts w:ascii="sans-serif" w:hAns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(8,815)</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net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731,279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701,622 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334,246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368,475 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earnings per share from continuing operations -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diluted earnings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10"/>
        </w:rPr>
        <w:t>(1)</w:t>
      </w:r>
      <w:r>
        <w:rPr>
          <w:rFonts w:ascii="sans-serif" w:hAnsi="sans-serif"/>
          <w:b w:val="false"/>
          <w:color w:val="000000"/>
          <w:sz w:val="16"/>
        </w:rPr>
        <w:t>Tax effect of adjustments is the difference between the tax provision calculated on a GAAP basis and on an adjusted non-GAAP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FORWARD-LOOKING INFORMATION</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This report and other documents filed with the Securities and Exchange Commission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94995"/>
                <wp:effectExtent l="0" t="0" r="0" b="0"/>
                <wp:wrapNone/>
                <wp:docPr id="25" name="Frame2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market share, industry volumes or other financial items, descriptions of management's plans or objectives for future operations, services or products, or descriptions of assumptions underlying any of the above. They may also include the expected impact of external events beyond the Company's control, such as outbreaks of infectious disease, severe weather events, natural or manmade disasters, or changes in the regulatory environment in which we operate.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future actions of the Company, and increases in applicable tax rates in jurisdictions where the Company operates. Investors should understand that it is not possible to predict or identify all such factors and, consequently, should not consider any such list to be a complete set of all potential risks or uncertainties.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Details about risks, uncertainties and assumptions that could affect various aspects of our business are included throughout our Annual Report on Form 10-K for the fiscal year ended June 30, 2024 and are also described from time to time in other filings with the SEC. Investors should carefully consider all of these risks, and should pay particular attention to Item 1A, "Risk Factors," and Item 7 under "Critical Accounting Policies" of our Annual Report on Form 10-K for the fiscal year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sans-serif" w:hAnsi="sans-serif"/>
          <w:b/>
          <w:color w:val="14AA40"/>
          <w:sz w:val="28"/>
        </w:rPr>
      </w:pPr>
      <w:r>
        <w:rPr>
          <w:rFonts w:ascii="sans-serif" w:hAnsi="sans-serif"/>
          <w:b/>
          <w:color w:val="14AA40"/>
          <w:sz w:val="28"/>
        </w:rPr>
        <w:t>ITEM 3.     QUANTITATIVE AND QUALITATIVE DISCLOSURES ABOUT MARKET RISK</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There have been no material changes in our market risks from those reported in our June 30,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4.     CONTROLS AND PROCEDURES</w:t>
      </w:r>
    </w:p>
    <w:p>
      <w:pPr>
        <w:pStyle w:val="TextBody"/>
        <w:bidi w:val="0"/>
        <w:spacing w:lineRule="auto" w:line="288" w:before="120" w:after="283"/>
        <w:jc w:val="both"/>
        <w:rPr/>
      </w:pPr>
      <w:r>
        <w:rPr>
          <w:rFonts w:ascii="sans-serif" w:hAnsi="sans-serif"/>
          <w:b/>
          <w:color w:val="000000"/>
          <w:sz w:val="20"/>
        </w:rPr>
        <w:t>EVALUATION OF DISCLOSURE CONTROLS AND PROCEDURES</w:t>
      </w:r>
      <w:r>
        <w:rPr>
          <w:color w:val="000000"/>
        </w:rPr>
        <w:t xml:space="preserve"> – </w:t>
      </w:r>
      <w:r>
        <w:rPr>
          <w:rFonts w:ascii="sans-serif" w:hAnsi="sans-serif"/>
          <w:b w:val="false"/>
          <w:color w:val="000000"/>
          <w:sz w:val="20"/>
        </w:rPr>
        <w:t>As of the end of the period covered by this Form 10-Q, management, under 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pStyle w:val="TextBody"/>
        <w:bidi w:val="0"/>
        <w:spacing w:lineRule="auto" w:line="288" w:before="120" w:after="283"/>
        <w:jc w:val="both"/>
        <w:rPr/>
      </w:pPr>
      <w:r>
        <w:rPr>
          <w:rFonts w:ascii="sans-serif" w:hAnsi="sans-serif"/>
          <w:b/>
          <w:color w:val="000000"/>
          <w:sz w:val="20"/>
        </w:rPr>
        <w:t>CHANGES IN INTERNAL CONTROL OVER FINANCIAL REPORTING</w:t>
      </w:r>
      <w:r>
        <w:rPr>
          <w:color w:val="000000"/>
        </w:rPr>
        <w:t xml:space="preserve"> – </w:t>
      </w:r>
      <w:r>
        <w:rPr>
          <w:rFonts w:ascii="sans-serif" w:hAnsi="sans-serif"/>
          <w:b w:val="false"/>
          <w:color w:val="000000"/>
          <w:sz w:val="20"/>
        </w:rPr>
        <w:t>There were no changes during the three months ended March 31, 2025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1.     LEGAL PROCEEDINGS</w:t>
      </w:r>
    </w:p>
    <w:p>
      <w:pPr>
        <w:pStyle w:val="TextBody"/>
        <w:bidi w:val="0"/>
        <w:spacing w:lineRule="auto" w:line="288" w:before="120" w:after="283"/>
        <w:jc w:val="both"/>
        <w:rPr/>
      </w:pPr>
      <w:r>
        <w:rPr>
          <w:rFonts w:ascii="sans-serif" w:hAnsi="sans-serif"/>
          <w:b w:val="false"/>
          <w:color w:val="000000"/>
          <w:sz w:val="20"/>
        </w:rPr>
        <w:t xml:space="preserve">For a description of our material pending legal proceedings, see discussion in </w:t>
      </w:r>
      <w:hyperlink w:anchor="i359b23a2756a49d68fc721e4261fd2a6_61">
        <w:r>
          <w:rPr>
            <w:rStyle w:val="InternetLink"/>
            <w:rFonts w:ascii="sans-serif" w:hAnsi="sans-serif"/>
            <w:b w:val="false"/>
            <w:color w:val="0000FF"/>
            <w:sz w:val="20"/>
            <w:u w:val="single"/>
          </w:rPr>
          <w:t>Part I, Item 1, note 9</w:t>
        </w:r>
      </w:hyperlink>
      <w:r>
        <w:rPr>
          <w:color w:val="000000"/>
        </w:rPr>
        <w:t xml:space="preserve"> </w:t>
      </w:r>
      <w:r>
        <w:rPr>
          <w:rFonts w:ascii="sans-serif" w:hAnsi="sans-serif"/>
          <w:b w:val="false"/>
          <w:color w:val="000000"/>
          <w:sz w:val="20"/>
        </w:rPr>
        <w:t>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1A.    RISK FACTORS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There have been no material changes in our risk factors from those reported in our June 30,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37845"/>
                <wp:effectExtent l="0" t="0" r="0" b="0"/>
                <wp:wrapNone/>
                <wp:docPr id="26" name="Frame26"/>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24</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24</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2.    UNREGISTERED SALES OF EQUITY SECURITIES AND USE OF PROCEEDS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 summary of our purchases of H&amp;R Block common stock during the three months ended March 31, 2025 is as follows:</w:t>
      </w:r>
    </w:p>
    <w:tbl>
      <w:tblPr>
        <w:tblW w:w="10205" w:type="dxa"/>
        <w:jc w:val="left"/>
        <w:tblInd w:w="0" w:type="dxa"/>
        <w:tblLayout w:type="fixed"/>
        <w:tblCellMar>
          <w:top w:w="28" w:type="dxa"/>
          <w:left w:w="28" w:type="dxa"/>
          <w:bottom w:w="28" w:type="dxa"/>
          <w:right w:w="28" w:type="dxa"/>
        </w:tblCellMar>
      </w:tblPr>
      <w:tblGrid>
        <w:gridCol w:w="666"/>
        <w:gridCol w:w="533"/>
        <w:gridCol w:w="536"/>
        <w:gridCol w:w="109"/>
        <w:gridCol w:w="109"/>
        <w:gridCol w:w="109"/>
        <w:gridCol w:w="612"/>
        <w:gridCol w:w="612"/>
        <w:gridCol w:w="614"/>
        <w:gridCol w:w="109"/>
        <w:gridCol w:w="109"/>
        <w:gridCol w:w="109"/>
        <w:gridCol w:w="226"/>
        <w:gridCol w:w="721"/>
        <w:gridCol w:w="109"/>
        <w:gridCol w:w="109"/>
        <w:gridCol w:w="109"/>
        <w:gridCol w:w="109"/>
        <w:gridCol w:w="701"/>
        <w:gridCol w:w="701"/>
        <w:gridCol w:w="702"/>
        <w:gridCol w:w="109"/>
        <w:gridCol w:w="109"/>
        <w:gridCol w:w="109"/>
        <w:gridCol w:w="316"/>
        <w:gridCol w:w="1625"/>
        <w:gridCol w:w="223"/>
      </w:tblGrid>
      <w:tr>
        <w:trPr/>
        <w:tc>
          <w:tcPr>
            <w:tcW w:w="66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1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pPr>
            <w:r>
              <w:rPr>
                <w:rFonts w:ascii="sans-serif" w:hAnsi="sans-serif"/>
                <w:b w:val="false"/>
                <w:color w:val="000000"/>
                <w:sz w:val="18"/>
              </w:rPr>
              <w:t>Total Number of</w:t>
              <w:br/>
              <w:t xml:space="preserve">Shares Purchased </w:t>
            </w:r>
            <w:r>
              <w:rPr>
                <w:rFonts w:ascii="sans-serif" w:hAnsi="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Average</w:t>
              <w:br/>
              <w:t>Price Paid</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rFonts w:ascii="sans-serif" w:hAnsi="sans-serif"/>
                <w:b w:val="false"/>
                <w:color w:val="000000"/>
                <w:sz w:val="18"/>
              </w:rPr>
            </w:pPr>
            <w:r>
              <w:rPr>
                <w:rFonts w:ascii="sans-serif" w:hAnsi="sans-serif"/>
                <w:b w:val="false"/>
                <w:color w:val="000000"/>
                <w:sz w:val="18"/>
              </w:rPr>
              <w:t>Total Number of Shares</w:t>
            </w:r>
          </w:p>
          <w:p>
            <w:pPr>
              <w:pStyle w:val="TableContents"/>
              <w:bidi w:val="0"/>
              <w:spacing w:lineRule="auto" w:line="240" w:before="0" w:after="0"/>
              <w:jc w:val="right"/>
              <w:rPr>
                <w:rFonts w:ascii="sans-serif" w:hAnsi="sans-serif"/>
                <w:b w:val="false"/>
                <w:color w:val="000000"/>
                <w:sz w:val="18"/>
              </w:rPr>
            </w:pPr>
            <w:r>
              <w:rPr>
                <w:rFonts w:ascii="sans-serif" w:hAnsi="sans-serif"/>
                <w:b w:val="false"/>
                <w:color w:val="000000"/>
                <w:sz w:val="18"/>
              </w:rPr>
              <w:t xml:space="preserve">Purchased as Part of </w:t>
            </w:r>
          </w:p>
          <w:p>
            <w:pPr>
              <w:pStyle w:val="TableContents"/>
              <w:bidi w:val="0"/>
              <w:spacing w:lineRule="auto" w:line="240" w:before="0" w:after="0"/>
              <w:jc w:val="right"/>
              <w:rPr>
                <w:rFonts w:ascii="sans-serif" w:hAnsi="sans-serif"/>
                <w:b w:val="false"/>
                <w:color w:val="000000"/>
                <w:sz w:val="18"/>
              </w:rPr>
            </w:pPr>
            <w:r>
              <w:rPr>
                <w:rFonts w:ascii="sans-serif" w:hAnsi="sans-serif"/>
                <w:b w:val="false"/>
                <w:color w:val="000000"/>
                <w:sz w:val="18"/>
              </w:rPr>
              <w:t>Publicly Announced Plans </w:t>
            </w:r>
          </w:p>
          <w:p>
            <w:pPr>
              <w:pStyle w:val="TableContents"/>
              <w:bidi w:val="0"/>
              <w:spacing w:lineRule="auto" w:line="240" w:before="0" w:after="0"/>
              <w:jc w:val="right"/>
              <w:rPr/>
            </w:pPr>
            <w:r>
              <w:rPr>
                <w:rFonts w:ascii="sans-serif" w:hAnsi="sans-serif"/>
                <w:b w:val="false"/>
                <w:color w:val="000000"/>
                <w:sz w:val="18"/>
              </w:rPr>
              <w:t>or Programs</w:t>
            </w:r>
            <w:r>
              <w:rPr>
                <w:color w:val="000000"/>
              </w:rPr>
              <w:t xml:space="preserve"> </w:t>
            </w:r>
            <w:r>
              <w:rPr>
                <w:rFonts w:ascii="sans-serif" w:hAnsi="sans-serif"/>
                <w:b w:val="false"/>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rFonts w:ascii="sans-serif" w:hAnsi="sans-serif"/>
                <w:b w:val="false"/>
                <w:color w:val="000000"/>
                <w:sz w:val="18"/>
              </w:rPr>
            </w:pPr>
            <w:r>
              <w:rPr>
                <w:rFonts w:ascii="sans-serif" w:hAnsi="sans-serif"/>
                <w:b w:val="false"/>
                <w:color w:val="000000"/>
                <w:sz w:val="18"/>
              </w:rPr>
              <w:t>Maximum Dollar Value of</w:t>
            </w:r>
          </w:p>
          <w:p>
            <w:pPr>
              <w:pStyle w:val="TableContents"/>
              <w:bidi w:val="0"/>
              <w:spacing w:lineRule="auto" w:line="240" w:before="0" w:after="0"/>
              <w:jc w:val="right"/>
              <w:rPr>
                <w:rFonts w:ascii="sans-serif" w:hAnsi="sans-serif"/>
                <w:b w:val="false"/>
                <w:color w:val="000000"/>
                <w:sz w:val="18"/>
              </w:rPr>
            </w:pPr>
            <w:r>
              <w:rPr>
                <w:rFonts w:ascii="sans-serif" w:hAnsi="sans-serif"/>
                <w:b w:val="false"/>
                <w:color w:val="000000"/>
                <w:sz w:val="18"/>
              </w:rPr>
              <w:t xml:space="preserve">Shares that May Yet Be </w:t>
            </w:r>
          </w:p>
          <w:p>
            <w:pPr>
              <w:pStyle w:val="TableContents"/>
              <w:bidi w:val="0"/>
              <w:spacing w:lineRule="auto" w:line="240" w:before="0" w:after="0"/>
              <w:jc w:val="right"/>
              <w:rPr>
                <w:rFonts w:ascii="sans-serif" w:hAnsi="sans-serif"/>
                <w:b w:val="false"/>
                <w:color w:val="000000"/>
                <w:sz w:val="18"/>
              </w:rPr>
            </w:pPr>
            <w:r>
              <w:rPr>
                <w:rFonts w:ascii="sans-serif" w:hAnsi="sans-serif"/>
                <w:b w:val="false"/>
                <w:color w:val="000000"/>
                <w:sz w:val="18"/>
              </w:rPr>
              <w:t>Purchased Under the Plans </w:t>
            </w:r>
          </w:p>
          <w:p>
            <w:pPr>
              <w:pStyle w:val="TableContents"/>
              <w:bidi w:val="0"/>
              <w:spacing w:lineRule="auto" w:line="240" w:before="0" w:after="0"/>
              <w:jc w:val="right"/>
              <w:rPr/>
            </w:pPr>
            <w:r>
              <w:rPr>
                <w:rFonts w:ascii="sans-serif" w:hAnsi="sans-serif"/>
                <w:b w:val="false"/>
                <w:color w:val="000000"/>
                <w:sz w:val="18"/>
              </w:rPr>
              <w:t>or Programs</w:t>
            </w:r>
            <w:r>
              <w:rPr>
                <w:color w:val="000000"/>
              </w:rPr>
              <w:t xml:space="preserve"> </w:t>
            </w:r>
            <w:r>
              <w:rPr>
                <w:rFonts w:ascii="sans-serif" w:hAnsi="sans-serif"/>
                <w:b w:val="false"/>
                <w:color w:val="000000"/>
                <w:sz w:val="12"/>
              </w:rPr>
              <w:t>(2)</w:t>
            </w:r>
          </w:p>
        </w:tc>
      </w:tr>
      <w:tr>
        <w:trPr/>
        <w:tc>
          <w:tcPr>
            <w:tcW w:w="1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January 1 -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w:t>
            </w:r>
            <w:r>
              <w:rPr>
                <w:color w:val="000000"/>
              </w:rPr>
              <w:t> </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55.23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1,100,000</w:t>
            </w:r>
            <w:r>
              <w:rPr>
                <w:color w:val="000000"/>
              </w:rPr>
              <w:t> </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February 1 - February 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w:t>
            </w:r>
            <w:r>
              <w:rPr>
                <w:color w:val="000000"/>
              </w:rPr>
              <w:t>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54.43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1,100,000</w:t>
            </w: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March 1 -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1,100,000</w:t>
            </w: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w:t>
            </w:r>
            <w:r>
              <w:rPr>
                <w:color w:val="000000"/>
              </w:rPr>
              <w:t>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55.05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10"/>
        </w:rPr>
        <w:t>(1)</w:t>
      </w:r>
      <w:r>
        <w:rPr>
          <w:rFonts w:ascii="sans-serif" w:hAnsi="sans-serif"/>
          <w:b w:val="false"/>
          <w:color w:val="000000"/>
          <w:sz w:val="16"/>
        </w:rPr>
        <w:t xml:space="preserve">We purchased approximately </w:t>
      </w:r>
      <w:r>
        <w:rPr>
          <w:rFonts w:ascii="sans-serif" w:hAnsi="sans-serif"/>
          <w:b w:val="false"/>
          <w:color w:val="000000"/>
          <w:sz w:val="16"/>
          <w:shd w:fill="FFFFFF" w:val="clear"/>
        </w:rPr>
        <w:t>6 thousand</w:t>
      </w:r>
      <w:r>
        <w:rPr>
          <w:color w:val="000000"/>
        </w:rPr>
        <w:t xml:space="preserve"> </w:t>
      </w:r>
      <w:r>
        <w:rPr>
          <w:rFonts w:ascii="sans-serif" w:hAnsi="sans-serif"/>
          <w:b w:val="false"/>
          <w:color w:val="000000"/>
          <w:sz w:val="16"/>
        </w:rPr>
        <w:t xml:space="preserve">shares in connection with funding employee income tax withholding obligations arising upon the lapse of restrictions on restricted share units. </w:t>
      </w:r>
    </w:p>
    <w:p>
      <w:pPr>
        <w:pStyle w:val="TextBody"/>
        <w:bidi w:val="0"/>
        <w:spacing w:lineRule="auto" w:line="288" w:before="0" w:after="0"/>
        <w:ind w:left="0" w:right="0" w:hanging="180"/>
        <w:jc w:val="both"/>
        <w:rPr/>
      </w:pPr>
      <w:r>
        <w:rPr>
          <w:rFonts w:ascii="sans-serif" w:hAnsi="sans-serif"/>
          <w:b w:val="false"/>
          <w:color w:val="000000"/>
          <w:sz w:val="10"/>
        </w:rPr>
        <w:t>(2)</w:t>
      </w:r>
      <w:r>
        <w:rPr>
          <w:rFonts w:ascii="sans-serif" w:hAnsi="sans-serif"/>
          <w:b w:val="false"/>
          <w:color w:val="000000"/>
          <w:sz w:val="16"/>
        </w:rPr>
        <w:t>On August 15, 2024, we announced that our Board of Directors approved a $1.5 billion share repurchase program. The repurchase program does not have an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3.    DEFAULTS UPON SENIOR SECURITIES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4.    MINE SAFETY DISCLOSURES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5.    OTHER INFORMATION</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Director and Section 16 Officer Trading Arrangements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During the three months ended March 31, 2025, no director or Section 16 officer adopted or terminated a "Rule 10b5-1 trading arrangement" or "non-Rule 10b5-1 trading arrangement," as each term is defined in Item 408(a) of Regulation S-K.</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94995"/>
                <wp:effectExtent l="0" t="0" r="0" b="0"/>
                <wp:wrapNone/>
                <wp:docPr id="27" name="Frame2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0" w:after="0"/>
        <w:jc w:val="left"/>
        <w:rPr>
          <w:rFonts w:ascii="sans-serif" w:hAnsi="sans-serif"/>
          <w:b/>
          <w:color w:val="14AA40"/>
          <w:sz w:val="28"/>
        </w:rPr>
      </w:pPr>
      <w:r>
        <w:rPr>
          <w:rFonts w:ascii="sans-serif" w:hAnsi="sans-serif"/>
          <w:b/>
          <w:color w:val="14AA40"/>
          <w:sz w:val="28"/>
        </w:rPr>
        <w:t>ITEM 6.    EXHIBITS</w:t>
      </w:r>
    </w:p>
    <w:p>
      <w:pPr>
        <w:pStyle w:val="TextBody"/>
        <w:bidi w:val="0"/>
        <w:spacing w:lineRule="auto" w:line="288" w:before="60" w:after="283"/>
        <w:jc w:val="both"/>
        <w:rPr>
          <w:rFonts w:ascii="sans-serif" w:hAnsi="sans-serif"/>
          <w:b w:val="false"/>
          <w:color w:val="000000"/>
          <w:sz w:val="20"/>
        </w:rPr>
      </w:pPr>
      <w:r>
        <w:rPr>
          <w:rFonts w:ascii="sans-serif" w:hAnsi="sans-serif"/>
          <w:b w:val="false"/>
          <w:color w:val="000000"/>
          <w:sz w:val="20"/>
        </w:rPr>
        <w:t>The following exhibits are numbered in accordance with the Exhibit Table of Item 601 of Regulation S-K:</w:t>
      </w:r>
    </w:p>
    <w:tbl>
      <w:tblPr>
        <w:tblW w:w="10205" w:type="dxa"/>
        <w:jc w:val="left"/>
        <w:tblInd w:w="0" w:type="dxa"/>
        <w:tblLayout w:type="fixed"/>
        <w:tblCellMar>
          <w:top w:w="28" w:type="dxa"/>
          <w:left w:w="28" w:type="dxa"/>
          <w:bottom w:w="28" w:type="dxa"/>
          <w:right w:w="28" w:type="dxa"/>
        </w:tblCellMar>
      </w:tblPr>
      <w:tblGrid>
        <w:gridCol w:w="257"/>
        <w:gridCol w:w="228"/>
        <w:gridCol w:w="231"/>
        <w:gridCol w:w="2898"/>
        <w:gridCol w:w="2730"/>
        <w:gridCol w:w="3861"/>
      </w:tblGrid>
      <w:tr>
        <w:trPr/>
        <w:tc>
          <w:tcPr>
            <w:tcW w:w="2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3861"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sans-serif" w:hAnsi="sans-serif"/>
                  <w:b w:val="false"/>
                  <w:color w:val="0000FF"/>
                  <w:sz w:val="20"/>
                  <w:u w:val="single"/>
                </w:rPr>
                <w:t>22</w:t>
              </w:r>
            </w:hyperlink>
          </w:p>
        </w:tc>
        <w:tc>
          <w:tcPr>
            <w:tcW w:w="94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
              <w:r>
                <w:rPr>
                  <w:rStyle w:val="InternetLink"/>
                  <w:rFonts w:ascii="sans-serif" w:hAnsi="sans-serif"/>
                  <w:b w:val="false"/>
                  <w:color w:val="0000FF"/>
                  <w:sz w:val="20"/>
                  <w:u w:val="single"/>
                </w:rPr>
                <w:t>List of Guarantor and Issuer Subsidiaries, filed as Exhibit 22 to the Company’s Annual Report on Form 10-K for the year ended June 30, 2024, file number 1-06089, is incorporated herein by reference.</w:t>
              </w:r>
            </w:hyperlink>
          </w:p>
        </w:tc>
      </w:tr>
      <w:tr>
        <w:trPr/>
        <w:tc>
          <w:tcPr>
            <w:tcW w:w="71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hyperlink w:anchor="hrbq3fy25exhibit311.htm">
              <w:r>
                <w:rPr>
                  <w:rStyle w:val="InternetLink"/>
                  <w:rFonts w:ascii="sans-serif" w:hAnsi="sans-serif"/>
                  <w:b w:val="false"/>
                  <w:color w:val="0000FF"/>
                  <w:sz w:val="20"/>
                  <w:u w:val="single"/>
                </w:rPr>
                <w:t>31.1</w:t>
              </w:r>
            </w:hyperlink>
          </w:p>
        </w:tc>
        <w:tc>
          <w:tcPr>
            <w:tcW w:w="9489" w:type="dxa"/>
            <w:gridSpan w:val="3"/>
            <w:tcBorders/>
            <w:shd w:fill="BFE4FF" w:val="clear"/>
            <w:tcMar>
              <w:top w:w="0" w:type="dxa"/>
              <w:left w:w="0" w:type="dxa"/>
              <w:bottom w:w="0" w:type="dxa"/>
              <w:right w:w="0" w:type="dxa"/>
            </w:tcMar>
            <w:vAlign w:val="center"/>
          </w:tcPr>
          <w:p>
            <w:pPr>
              <w:pStyle w:val="TableContents"/>
              <w:bidi w:val="0"/>
              <w:spacing w:lineRule="auto" w:line="240" w:before="0" w:after="0"/>
              <w:ind w:left="0" w:right="0" w:hanging="900"/>
              <w:jc w:val="both"/>
              <w:rPr/>
            </w:pPr>
            <w:hyperlink w:anchor="hrbq3fy25exhibit311.htm">
              <w:r>
                <w:rPr>
                  <w:rStyle w:val="InternetLink"/>
                  <w:rFonts w:ascii="sans-serif" w:hAnsi="sans-serif"/>
                  <w:b w:val="false"/>
                  <w:color w:val="0000FF"/>
                  <w:sz w:val="20"/>
                  <w:u w:val="single"/>
                </w:rPr>
                <w:t>Certification by Chief Executive Officer pursuant to Section 302 of the Sarbanes-Oxley Act of 2002.</w:t>
              </w:r>
            </w:hyperlink>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rbq3fy25exhibit312.htm">
              <w:r>
                <w:rPr>
                  <w:rStyle w:val="InternetLink"/>
                  <w:rFonts w:ascii="sans-serif" w:hAnsi="sans-serif"/>
                  <w:b w:val="false"/>
                  <w:color w:val="0000FF"/>
                  <w:sz w:val="20"/>
                  <w:u w:val="single"/>
                </w:rPr>
                <w:t>31.2</w:t>
              </w:r>
            </w:hyperlink>
          </w:p>
        </w:tc>
        <w:tc>
          <w:tcPr>
            <w:tcW w:w="9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0"/>
              <w:jc w:val="both"/>
              <w:rPr/>
            </w:pPr>
            <w:hyperlink w:anchor="hrbq3fy25exhibit312.htm">
              <w:r>
                <w:rPr>
                  <w:rStyle w:val="InternetLink"/>
                  <w:rFonts w:ascii="sans-serif" w:hAnsi="sans-serif"/>
                  <w:b w:val="false"/>
                  <w:color w:val="0000FF"/>
                  <w:sz w:val="20"/>
                  <w:u w:val="single"/>
                </w:rPr>
                <w:t>Certification by Chief Financial Officer pursuant to Section 302 of the Sarbanes-Oxley Act of 2002.</w:t>
              </w:r>
            </w:hyperlink>
          </w:p>
        </w:tc>
      </w:tr>
      <w:tr>
        <w:trPr/>
        <w:tc>
          <w:tcPr>
            <w:tcW w:w="71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hyperlink w:anchor="hrbq3fy25exhibit321.htm">
              <w:r>
                <w:rPr>
                  <w:rStyle w:val="InternetLink"/>
                  <w:rFonts w:ascii="sans-serif" w:hAnsi="sans-serif"/>
                  <w:b w:val="false"/>
                  <w:color w:val="0000FF"/>
                  <w:sz w:val="20"/>
                  <w:u w:val="single"/>
                </w:rPr>
                <w:t>32.1</w:t>
              </w:r>
            </w:hyperlink>
          </w:p>
        </w:tc>
        <w:tc>
          <w:tcPr>
            <w:tcW w:w="948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w:anchor="hrbq3fy25exhibit321.htm">
              <w:r>
                <w:rPr>
                  <w:rStyle w:val="InternetLink"/>
                  <w:rFonts w:ascii="sans-serif" w:hAnsi="sans-serif"/>
                  <w:b w:val="false"/>
                  <w:color w:val="0000FF"/>
                  <w:sz w:val="20"/>
                  <w:u w:val="single"/>
                </w:rPr>
                <w:t>Certification by Chief Executive Officer pursuant to 18 U.S.C. 1350, as adopted by Section 906 of the Sarbanes-Oxley Act of 2002.</w:t>
              </w:r>
            </w:hyperlink>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rbq3fy25exhibit322.htm">
              <w:r>
                <w:rPr>
                  <w:rStyle w:val="InternetLink"/>
                  <w:rFonts w:ascii="sans-serif" w:hAnsi="sans-serif"/>
                  <w:b w:val="false"/>
                  <w:color w:val="0000FF"/>
                  <w:sz w:val="20"/>
                  <w:u w:val="single"/>
                </w:rPr>
                <w:t>32.2</w:t>
              </w:r>
            </w:hyperlink>
          </w:p>
        </w:tc>
        <w:tc>
          <w:tcPr>
            <w:tcW w:w="9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hrbq3fy25exhibit322.htm">
              <w:r>
                <w:rPr>
                  <w:rStyle w:val="InternetLink"/>
                  <w:rFonts w:ascii="sans-serif" w:hAnsi="sans-serif"/>
                  <w:b w:val="false"/>
                  <w:color w:val="0000FF"/>
                  <w:sz w:val="20"/>
                  <w:u w:val="single"/>
                </w:rPr>
                <w:t>Certification by Chief Financial Officer pursuant to 18 U.S.C. 1350, as adopted by Section 906 of the Sarbanes-Oxley Act of 2002.</w:t>
              </w:r>
            </w:hyperlink>
          </w:p>
        </w:tc>
      </w:tr>
      <w:tr>
        <w:trPr/>
        <w:tc>
          <w:tcPr>
            <w:tcW w:w="71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101.INS</w:t>
            </w:r>
          </w:p>
        </w:tc>
        <w:tc>
          <w:tcPr>
            <w:tcW w:w="948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rFonts w:ascii="sans-serif" w:hAnsi="sans-serif"/>
                <w:b w:val="false"/>
                <w:color w:val="000000"/>
                <w:sz w:val="20"/>
              </w:rPr>
            </w:pPr>
            <w:r>
              <w:rPr>
                <w:rFonts w:ascii="sans-serif" w:hAnsi="sans-serif"/>
                <w:b w:val="false"/>
                <w:color w:val="000000"/>
                <w:sz w:val="20"/>
              </w:rPr>
              <w:t>Inline XBRL Instance Document - the instance document does not appear in the Interactive Data File because its XBRL tags are embedded within the Inline XBRL document</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101.SCH</w:t>
            </w:r>
          </w:p>
        </w:tc>
        <w:tc>
          <w:tcPr>
            <w:tcW w:w="9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sans-serif" w:hAnsi="sans-serif"/>
                <w:b w:val="false"/>
                <w:color w:val="000000"/>
                <w:sz w:val="20"/>
              </w:rPr>
            </w:pPr>
            <w:r>
              <w:rPr>
                <w:rFonts w:ascii="sans-serif" w:hAnsi="sans-serif"/>
                <w:b w:val="false"/>
                <w:color w:val="000000"/>
                <w:sz w:val="20"/>
              </w:rPr>
              <w:t>Inline XBRL Taxonomy Extension Schema</w:t>
            </w:r>
          </w:p>
        </w:tc>
      </w:tr>
      <w:tr>
        <w:trPr/>
        <w:tc>
          <w:tcPr>
            <w:tcW w:w="71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101.CAL</w:t>
            </w:r>
          </w:p>
        </w:tc>
        <w:tc>
          <w:tcPr>
            <w:tcW w:w="9489" w:type="dxa"/>
            <w:gridSpan w:val="3"/>
            <w:tcBorders/>
            <w:shd w:fill="BFE4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sans-serif" w:hAnsi="sans-serif"/>
                <w:b w:val="false"/>
                <w:color w:val="000000"/>
                <w:sz w:val="20"/>
              </w:rPr>
            </w:pPr>
            <w:r>
              <w:rPr>
                <w:rFonts w:ascii="sans-serif" w:hAnsi="sans-serif"/>
                <w:b w:val="false"/>
                <w:color w:val="000000"/>
                <w:sz w:val="20"/>
              </w:rPr>
              <w:t>Inline XBRL Extension Calculation Linkbase</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101.LAB</w:t>
            </w:r>
          </w:p>
        </w:tc>
        <w:tc>
          <w:tcPr>
            <w:tcW w:w="9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sans-serif" w:hAnsi="sans-serif"/>
                <w:b w:val="false"/>
                <w:color w:val="000000"/>
                <w:sz w:val="20"/>
              </w:rPr>
            </w:pPr>
            <w:r>
              <w:rPr>
                <w:rFonts w:ascii="sans-serif" w:hAnsi="sans-serif"/>
                <w:b w:val="false"/>
                <w:color w:val="000000"/>
                <w:sz w:val="20"/>
              </w:rPr>
              <w:t>Inline XBRL Taxonomy Extension Label Linkbase</w:t>
            </w:r>
          </w:p>
        </w:tc>
      </w:tr>
      <w:tr>
        <w:trPr/>
        <w:tc>
          <w:tcPr>
            <w:tcW w:w="71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101.PRE</w:t>
            </w:r>
          </w:p>
        </w:tc>
        <w:tc>
          <w:tcPr>
            <w:tcW w:w="9489" w:type="dxa"/>
            <w:gridSpan w:val="3"/>
            <w:tcBorders/>
            <w:shd w:fill="BFE4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sans-serif" w:hAnsi="sans-serif"/>
                <w:b w:val="false"/>
                <w:color w:val="000000"/>
                <w:sz w:val="20"/>
              </w:rPr>
            </w:pPr>
            <w:r>
              <w:rPr>
                <w:rFonts w:ascii="sans-serif" w:hAnsi="sans-serif"/>
                <w:b w:val="false"/>
                <w:color w:val="000000"/>
                <w:sz w:val="20"/>
              </w:rPr>
              <w:t>Inline XBRL Taxonomy Extension Presentation Linkbase</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101.DEF</w:t>
            </w:r>
          </w:p>
        </w:tc>
        <w:tc>
          <w:tcPr>
            <w:tcW w:w="9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sans-serif" w:hAnsi="sans-serif"/>
                <w:b w:val="false"/>
                <w:color w:val="000000"/>
                <w:sz w:val="20"/>
              </w:rPr>
            </w:pPr>
            <w:r>
              <w:rPr>
                <w:rFonts w:ascii="sans-serif" w:hAnsi="sans-serif"/>
                <w:b w:val="false"/>
                <w:color w:val="000000"/>
                <w:sz w:val="20"/>
              </w:rPr>
              <w:t>Inline XBRL Taxonomy Extension Definition Linkbase</w:t>
            </w:r>
          </w:p>
        </w:tc>
      </w:tr>
      <w:tr>
        <w:trPr/>
        <w:tc>
          <w:tcPr>
            <w:tcW w:w="71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104</w:t>
            </w:r>
          </w:p>
        </w:tc>
        <w:tc>
          <w:tcPr>
            <w:tcW w:w="9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37845"/>
                <wp:effectExtent l="0" t="0" r="0" b="0"/>
                <wp:wrapNone/>
                <wp:docPr id="28" name="Frame28"/>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26</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26</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Q3 FY2025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359b23a2756a49d68fc721e4261fd2a6_7">
        <w:r>
          <w:rPr>
            <w:rStyle w:val="InternetLink"/>
            <w:rFonts w:ascii="sans-serif" w:hAnsi="sans-serif"/>
            <w:b w:val="false"/>
            <w:color w:val="0000FF"/>
            <w:sz w:val="18"/>
            <w:u w:val="single"/>
          </w:rPr>
          <w:t>Table of Contents</w:t>
        </w:r>
      </w:hyperlink>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thereunto duly authorized.</w:t>
      </w:r>
    </w:p>
    <w:tbl>
      <w:tblPr>
        <w:tblW w:w="3794" w:type="dxa"/>
        <w:jc w:val="right"/>
        <w:tblInd w:w="0" w:type="dxa"/>
        <w:tblLayout w:type="fixed"/>
        <w:tblCellMar>
          <w:top w:w="28" w:type="dxa"/>
          <w:left w:w="28" w:type="dxa"/>
          <w:bottom w:w="28" w:type="dxa"/>
          <w:right w:w="28" w:type="dxa"/>
        </w:tblCellMar>
      </w:tblPr>
      <w:tblGrid>
        <w:gridCol w:w="1212"/>
        <w:gridCol w:w="1066"/>
        <w:gridCol w:w="1516"/>
      </w:tblGrid>
      <w:tr>
        <w:trPr/>
        <w:tc>
          <w:tcPr>
            <w:tcW w:w="12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H&amp;R BLOCK, INC.</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Jeffrey J. Jones II</w:t>
            </w:r>
          </w:p>
        </w:tc>
      </w:tr>
      <w:tr>
        <w:trPr/>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Jeffrey J. Jones II</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President and Chief Executive Officer</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7, 2025</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Tiffany L. Mason</w:t>
            </w:r>
          </w:p>
        </w:tc>
      </w:tr>
      <w:tr>
        <w:trPr/>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Tiffany L. Mason</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Financial Officer</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7, 2025</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Kellie J. Logerwell</w:t>
            </w:r>
          </w:p>
        </w:tc>
      </w:tr>
      <w:tr>
        <w:trPr/>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Kellie J. Logerwell</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Accounting Officer</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7, 2025</w:t>
            </w:r>
          </w:p>
        </w:tc>
      </w:tr>
    </w:tbl>
    <w:p>
      <w:pPr>
        <w:pStyle w:val="TextBody"/>
        <w:bidi w:val="0"/>
        <w:spacing w:before="12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31.1</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94995"/>
                <wp:effectExtent l="0" t="0" r="0" b="0"/>
                <wp:wrapNone/>
                <wp:docPr id="29" name="Frame2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22.15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|Q3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I, Jeffrey J. Jones II, Chief Executive Officer, certify that: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1. I have reviewed this quarterly report on Form 10-Q of H&amp;R Block, Inc.;</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(b) Any fraud, whether or not material, that involves management or other employees who have a significant role in the registrant's internal control over financial reporting.</w:t>
      </w:r>
    </w:p>
    <w:tbl>
      <w:tblPr>
        <w:tblW w:w="4647" w:type="dxa"/>
        <w:jc w:val="left"/>
        <w:tblInd w:w="0" w:type="dxa"/>
        <w:tblLayout w:type="fixed"/>
        <w:tblCellMar>
          <w:top w:w="28" w:type="dxa"/>
          <w:left w:w="28" w:type="dxa"/>
          <w:bottom w:w="28" w:type="dxa"/>
          <w:right w:w="28" w:type="dxa"/>
        </w:tblCellMar>
      </w:tblPr>
      <w:tblGrid>
        <w:gridCol w:w="233"/>
        <w:gridCol w:w="205"/>
        <w:gridCol w:w="207"/>
        <w:gridCol w:w="429"/>
        <w:gridCol w:w="429"/>
        <w:gridCol w:w="432"/>
        <w:gridCol w:w="109"/>
        <w:gridCol w:w="109"/>
        <w:gridCol w:w="109"/>
        <w:gridCol w:w="699"/>
        <w:gridCol w:w="699"/>
        <w:gridCol w:w="987"/>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Jeffrey J. Jones II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Jeffrey J. Jones II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Executive Officer</w:t>
              <w:br/>
              <w:t>H&amp;R Block, Inc.</w:t>
            </w:r>
          </w:p>
        </w:tc>
      </w:tr>
    </w:tbl>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sans-serif" w:hAnsi="sans-serif"/>
          <w:b w:val="false"/>
          <w:color w:val="000000"/>
          <w:sz w:val="20"/>
        </w:rPr>
      </w:pPr>
      <w:r>
        <w:rPr>
          <w:rFonts w:ascii="sans-serif" w:hAnsi="sans-serif"/>
          <w:b w:val="false"/>
          <w:color w:val="000000"/>
          <w:sz w:val="20"/>
        </w:rPr>
        <w:t>Exhibit 31.2</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302 OF THE SARBANES-OXLEY ACT OF 2002</w:t>
      </w:r>
    </w:p>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I, Tiffany L. Mason, Chief Financial Officer, certify that: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1. I have reviewed this quarterly report on Form 10-Q of H&amp;R Block, Inc.;</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(b) Any fraud, whether or not material, that involves management or other employees who have a significant role in the registrant's internal control over financial reporting.</w:t>
      </w:r>
    </w:p>
    <w:tbl>
      <w:tblPr>
        <w:tblW w:w="4557" w:type="dxa"/>
        <w:jc w:val="left"/>
        <w:tblInd w:w="0" w:type="dxa"/>
        <w:tblLayout w:type="fixed"/>
        <w:tblCellMar>
          <w:top w:w="28" w:type="dxa"/>
          <w:left w:w="28" w:type="dxa"/>
          <w:bottom w:w="28" w:type="dxa"/>
          <w:right w:w="28" w:type="dxa"/>
        </w:tblCellMar>
      </w:tblPr>
      <w:tblGrid>
        <w:gridCol w:w="233"/>
        <w:gridCol w:w="205"/>
        <w:gridCol w:w="207"/>
        <w:gridCol w:w="429"/>
        <w:gridCol w:w="429"/>
        <w:gridCol w:w="432"/>
        <w:gridCol w:w="109"/>
        <w:gridCol w:w="109"/>
        <w:gridCol w:w="109"/>
        <w:gridCol w:w="670"/>
        <w:gridCol w:w="670"/>
        <w:gridCol w:w="95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Tiffany L. Mason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Tiffany L. Mason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Financial Officer</w:t>
              <w:br/>
              <w:t>H&amp;R Block,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32.1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18 U.S.C. SECTION 1350,</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sans-serif" w:hAnsi="sans-serif"/>
          <w:b w:val="false"/>
          <w:color w:val="000000"/>
          <w:sz w:val="20"/>
        </w:rPr>
        <w:t>In connection with the quarterly report of H&amp;R Block, Inc. (the “Company”) on Form 10</w:t>
        <w:noBreakHyphen/>
        <w:t xml:space="preserve">Q for the fiscal quarter ended March 31, 2025 as filed with the Securities and Exchange Commission on the date hereof (the “Report”), I, Jeffrey J. Jones II, Chief Executive Officer of the Company, certify pursuant to 18 U.S.C. § 1350, as adopted pursuant to § 906 of the Sarbanes-Oxley Act of 2002, that: </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0"/>
        </w:rPr>
      </w:pPr>
      <w:r>
        <w:rPr>
          <w:rFonts w:ascii="sans-serif" w:hAnsi="sans-serif"/>
          <w:b w:val="false"/>
          <w:color w:val="000000"/>
          <w:sz w:val="20"/>
        </w:rPr>
        <w:t xml:space="preserve">(1)The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tbl>
      <w:tblPr>
        <w:tblW w:w="2399" w:type="dxa"/>
        <w:jc w:val="right"/>
        <w:tblInd w:w="0" w:type="dxa"/>
        <w:tblLayout w:type="fixed"/>
        <w:tblCellMar>
          <w:top w:w="28" w:type="dxa"/>
          <w:left w:w="28" w:type="dxa"/>
          <w:bottom w:w="28" w:type="dxa"/>
          <w:right w:w="28" w:type="dxa"/>
        </w:tblCellMar>
      </w:tblPr>
      <w:tblGrid>
        <w:gridCol w:w="767"/>
        <w:gridCol w:w="673"/>
        <w:gridCol w:w="959"/>
      </w:tblGrid>
      <w:tr>
        <w:trPr/>
        <w:tc>
          <w:tcPr>
            <w:tcW w:w="7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Jeffrey J. Jones II</w:t>
            </w:r>
          </w:p>
        </w:tc>
      </w:tr>
      <w:tr>
        <w:trPr/>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Jeffrey J. Jones II</w:t>
              <w:br/>
              <w:t>Chief Executive Officer</w:t>
              <w:br/>
              <w:t>H&amp;R Block, Inc.</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7, 2025</w:t>
            </w:r>
          </w:p>
        </w:tc>
      </w:tr>
    </w:tbl>
    <w:p>
      <w:pPr>
        <w:pStyle w:val="TextBody"/>
        <w:bidi w:val="0"/>
        <w:spacing w:before="12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32.2</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18 U.S.C. SECTION 1350,</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sans-serif" w:hAnsi="sans-serif"/>
          <w:b w:val="false"/>
          <w:color w:val="000000"/>
          <w:sz w:val="20"/>
        </w:rPr>
        <w:t>In connection with the quarterly report of H&amp;R Block, Inc. (the “Company”) on Form 10</w:t>
        <w:noBreakHyphen/>
        <w:t xml:space="preserve">Q for the fiscal quarter ended March 31, 2025 as filed with the Securities and Exchange Commission on the date hereof (the “Report”), I, Tiffany L. Mason, Chief Financial Officer of the Company, certify pursuant to 18 U.S.C. § 1350, as adopted pursuant to § 906 of the Sarbanes-Oxley Act of 2002, that: </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0"/>
        </w:rPr>
      </w:pPr>
      <w:r>
        <w:rPr>
          <w:rFonts w:ascii="sans-serif" w:hAnsi="sans-serif"/>
          <w:b w:val="false"/>
          <w:color w:val="000000"/>
          <w:sz w:val="20"/>
        </w:rPr>
        <w:t xml:space="preserve">(1)The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tbl>
      <w:tblPr>
        <w:tblW w:w="2310" w:type="dxa"/>
        <w:jc w:val="right"/>
        <w:tblInd w:w="0" w:type="dxa"/>
        <w:tblLayout w:type="fixed"/>
        <w:tblCellMar>
          <w:top w:w="28" w:type="dxa"/>
          <w:left w:w="28" w:type="dxa"/>
          <w:bottom w:w="28" w:type="dxa"/>
          <w:right w:w="28" w:type="dxa"/>
        </w:tblCellMar>
      </w:tblPr>
      <w:tblGrid>
        <w:gridCol w:w="740"/>
        <w:gridCol w:w="650"/>
        <w:gridCol w:w="920"/>
      </w:tblGrid>
      <w:tr>
        <w:trPr/>
        <w:tc>
          <w:tcPr>
            <w:tcW w:w="7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Tiffany L. Mason</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Tiffany L. Mason</w:t>
              <w:br/>
              <w:t>Chief Financial Officer</w:t>
              <w:br/>
              <w:t>H&amp;R Block, Inc.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7, 2025</w:t>
            </w:r>
          </w:p>
        </w:tc>
      </w:tr>
    </w:tbl>
    <w:p>
      <w:pPr>
        <w:pStyle w:val="TextBody"/>
        <w:bidi w:val="0"/>
        <w:spacing w:before="120" w:after="283"/>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659/000183886224000030/hrb20240630exhibit22.htm" TargetMode="External"/><Relationship Id="rId3" Type="http://schemas.openxmlformats.org/officeDocument/2006/relationships/hyperlink" Target="https://www.sec.gov/Archives/edgar/data/12659/000183886224000030/hrb20240630exhibit2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13262</Words>
  <Characters>72898</Characters>
  <CharactersWithSpaces>84885</CharactersWithSpaces>
  <Paragraphs>2713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