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598805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557530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UNITED STATES</w:t>
      </w:r>
    </w:p>
    <w:p>
      <w:pPr>
        <w:jc w:val="center"/>
        <w:ind w:right="-19"/>
        <w:spacing w:after="0" w:line="238" w:lineRule="auto"/>
        <w:rPr>
          <w:sz w:val="20"/>
          <w:szCs w:val="20"/>
          <w:color w:val="auto"/>
        </w:rPr>
      </w:pPr>
      <w:r>
        <w:rPr>
          <w:rFonts w:ascii="Calibri" w:cs="Calibri" w:eastAsia="Calibri" w:hAnsi="Calibri"/>
          <w:sz w:val="17"/>
          <w:szCs w:val="17"/>
          <w:b w:val="1"/>
          <w:bCs w:val="1"/>
          <w:color w:val="auto"/>
        </w:rPr>
        <w:t>SECURITIES AND EXCHANGE COMMISSION</w:t>
      </w:r>
    </w:p>
    <w:p>
      <w:pPr>
        <w:jc w:val="center"/>
        <w:spacing w:after="0"/>
        <w:rPr>
          <w:sz w:val="20"/>
          <w:szCs w:val="20"/>
          <w:color w:val="auto"/>
        </w:rPr>
      </w:pPr>
      <w:r>
        <w:rPr>
          <w:rFonts w:ascii="Calibri" w:cs="Calibri" w:eastAsia="Calibri" w:hAnsi="Calibri"/>
          <w:sz w:val="17"/>
          <w:szCs w:val="17"/>
          <w:b w:val="1"/>
          <w:bCs w:val="1"/>
          <w:color w:val="auto"/>
        </w:rPr>
        <w:t>Washington, D.C. 20549</w:t>
      </w:r>
    </w:p>
    <w:p>
      <w:pPr>
        <w:jc w:val="center"/>
        <w:ind w:right="-19"/>
        <w:spacing w:after="0" w:line="237" w:lineRule="auto"/>
        <w:rPr>
          <w:sz w:val="20"/>
          <w:szCs w:val="20"/>
          <w:color w:val="auto"/>
        </w:rPr>
      </w:pPr>
      <w:r>
        <w:rPr>
          <w:rFonts w:ascii="Calibri" w:cs="Calibri" w:eastAsia="Calibri" w:hAnsi="Calibri"/>
          <w:sz w:val="17"/>
          <w:szCs w:val="17"/>
          <w:b w:val="1"/>
          <w:bCs w:val="1"/>
          <w:color w:val="auto"/>
        </w:rPr>
        <w:t>FORM 10-Q</w:t>
      </w:r>
    </w:p>
    <w:p>
      <w:pPr>
        <w:spacing w:after="0" w:line="128" w:lineRule="exact"/>
        <w:rPr>
          <w:sz w:val="24"/>
          <w:szCs w:val="24"/>
          <w:color w:val="auto"/>
        </w:rPr>
      </w:pPr>
    </w:p>
    <w:p>
      <w:pPr>
        <w:ind w:left="20"/>
        <w:spacing w:after="0"/>
        <w:rPr>
          <w:sz w:val="20"/>
          <w:szCs w:val="20"/>
          <w:color w:val="auto"/>
        </w:rPr>
      </w:pPr>
      <w:r>
        <w:rPr>
          <w:rFonts w:ascii="Calibri" w:cs="Calibri" w:eastAsia="Calibri" w:hAnsi="Calibri"/>
          <w:sz w:val="17"/>
          <w:szCs w:val="17"/>
          <w:color w:val="auto"/>
        </w:rPr>
        <w:t>(Mark One)</w:t>
      </w:r>
    </w:p>
    <w:p>
      <w:pPr>
        <w:spacing w:after="0" w:line="14"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Calibri" w:cs="Calibri" w:eastAsia="Calibri" w:hAnsi="Calibri"/>
          <w:sz w:val="16"/>
          <w:szCs w:val="16"/>
          <w:color w:val="auto"/>
        </w:rPr>
        <w:t>QUARTERLY REPORT PURSUANT TO SECTION 13 OR 15(d) OF THE SECURITIES EXCHANGE ACT OF 1934</w:t>
      </w:r>
    </w:p>
    <w:p>
      <w:pPr>
        <w:spacing w:after="0" w:line="21" w:lineRule="exact"/>
        <w:rPr>
          <w:sz w:val="24"/>
          <w:szCs w:val="24"/>
          <w:color w:val="auto"/>
        </w:rPr>
      </w:pPr>
    </w:p>
    <w:p>
      <w:pPr>
        <w:ind w:left="1080"/>
        <w:spacing w:after="0"/>
        <w:tabs>
          <w:tab w:leader="none" w:pos="4260" w:val="left"/>
        </w:tabs>
        <w:rPr>
          <w:sz w:val="20"/>
          <w:szCs w:val="20"/>
          <w:color w:val="auto"/>
        </w:rPr>
      </w:pPr>
      <w:r>
        <w:rPr>
          <w:rFonts w:ascii="Calibri" w:cs="Calibri" w:eastAsia="Calibri" w:hAnsi="Calibri"/>
          <w:sz w:val="17"/>
          <w:szCs w:val="17"/>
          <w:b w:val="1"/>
          <w:bCs w:val="1"/>
          <w:color w:val="auto"/>
        </w:rPr>
        <w:t>For the quarterly period ended</w:t>
      </w:r>
      <w:r>
        <w:rPr>
          <w:sz w:val="20"/>
          <w:szCs w:val="20"/>
          <w:color w:val="auto"/>
        </w:rPr>
        <w:tab/>
      </w:r>
      <w:r>
        <w:rPr>
          <w:rFonts w:ascii="Calibri" w:cs="Calibri" w:eastAsia="Calibri" w:hAnsi="Calibri"/>
          <w:sz w:val="16"/>
          <w:szCs w:val="16"/>
          <w:b w:val="1"/>
          <w:bCs w:val="1"/>
          <w:color w:val="auto"/>
        </w:rPr>
        <w:t>December 31, 2024</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OR</w:t>
      </w:r>
    </w:p>
    <w:p>
      <w:pPr>
        <w:spacing w:after="0" w:line="1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6"/>
          <w:szCs w:val="16"/>
          <w:color w:val="auto"/>
        </w:rPr>
      </w:pPr>
      <w:r>
        <w:rPr>
          <w:rFonts w:ascii="Calibri" w:cs="Calibri" w:eastAsia="Calibri" w:hAnsi="Calibri"/>
          <w:sz w:val="16"/>
          <w:szCs w:val="16"/>
          <w:color w:val="auto"/>
        </w:rPr>
        <w:t>TRANSITION REPORT PURSUANT TO SECTION 13 OR 15(d) OF THE SECURITIES EXCHANGE ACT OF 1934</w:t>
      </w:r>
    </w:p>
    <w:p>
      <w:pPr>
        <w:spacing w:after="0" w:line="57" w:lineRule="exact"/>
        <w:rPr>
          <w:rFonts w:ascii="MS PGothic" w:cs="MS PGothic" w:eastAsia="MS PGothic" w:hAnsi="MS PGothic"/>
          <w:sz w:val="16"/>
          <w:szCs w:val="16"/>
          <w:color w:val="auto"/>
        </w:rPr>
      </w:pPr>
    </w:p>
    <w:p>
      <w:pPr>
        <w:ind w:left="1080"/>
        <w:spacing w:after="0" w:line="197" w:lineRule="auto"/>
        <w:rPr>
          <w:rFonts w:ascii="MS PGothic" w:cs="MS PGothic" w:eastAsia="MS PGothic" w:hAnsi="MS PGothic"/>
          <w:sz w:val="16"/>
          <w:szCs w:val="16"/>
          <w:color w:val="auto"/>
        </w:rPr>
      </w:pPr>
      <w:r>
        <w:rPr>
          <w:rFonts w:ascii="Calibri" w:cs="Calibri" w:eastAsia="Calibri" w:hAnsi="Calibri"/>
          <w:sz w:val="17"/>
          <w:szCs w:val="17"/>
          <w:b w:val="1"/>
          <w:bCs w:val="1"/>
          <w:color w:val="auto"/>
        </w:rPr>
        <w:t>For the transiton period from to</w:t>
      </w:r>
    </w:p>
    <w:p>
      <w:pPr>
        <w:spacing w:after="0" w:line="193"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Commission fle number 1-06089</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H&amp;R Block, Inc.</w:t>
      </w:r>
    </w:p>
    <w:p>
      <w:pPr>
        <w:jc w:val="center"/>
        <w:spacing w:after="0" w:line="224" w:lineRule="auto"/>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226" w:right="339" w:bottom="1440" w:gutter="0" w:footer="0" w:header="0"/>
        </w:sectPr>
      </w:pPr>
    </w:p>
    <w:p>
      <w:pPr>
        <w:spacing w:after="0" w:line="126" w:lineRule="exact"/>
        <w:rPr>
          <w:sz w:val="24"/>
          <w:szCs w:val="24"/>
          <w:color w:val="auto"/>
        </w:rPr>
      </w:pPr>
    </w:p>
    <w:p>
      <w:pPr>
        <w:ind w:left="2500"/>
        <w:spacing w:after="0"/>
        <w:rPr>
          <w:sz w:val="20"/>
          <w:szCs w:val="20"/>
          <w:color w:val="auto"/>
        </w:rPr>
      </w:pPr>
      <w:r>
        <w:rPr>
          <w:rFonts w:ascii="Calibri" w:cs="Calibri" w:eastAsia="Calibri" w:hAnsi="Calibri"/>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44-0607856</w:t>
      </w:r>
    </w:p>
    <w:p>
      <w:pPr>
        <w:spacing w:after="0" w:line="11" w:lineRule="exact"/>
        <w:rPr>
          <w:sz w:val="24"/>
          <w:szCs w:val="24"/>
          <w:color w:val="auto"/>
        </w:rPr>
      </w:pPr>
    </w:p>
    <w:p>
      <w:pPr>
        <w:sectPr>
          <w:pgSz w:w="11900" w:h="16838" w:orient="portrait"/>
          <w:cols w:equalWidth="0" w:num="2">
            <w:col w:w="7340" w:space="720"/>
            <w:col w:w="3180"/>
          </w:cols>
          <w:pgMar w:left="320" w:top="226" w:right="339" w:bottom="1440" w:gutter="0" w:footer="0" w:header="0"/>
          <w:type w:val="continuous"/>
        </w:sectPr>
      </w:pPr>
    </w:p>
    <w:p>
      <w:pPr>
        <w:ind w:left="1980"/>
        <w:spacing w:after="0"/>
        <w:rPr>
          <w:sz w:val="20"/>
          <w:szCs w:val="20"/>
          <w:color w:val="auto"/>
        </w:rPr>
      </w:pPr>
      <w:r>
        <w:rPr>
          <w:rFonts w:ascii="Calibri" w:cs="Calibri" w:eastAsia="Calibri" w:hAnsi="Calibri"/>
          <w:sz w:val="14"/>
          <w:szCs w:val="14"/>
          <w:color w:val="auto"/>
        </w:rPr>
        <w:t>(State or other jurisdicton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3"/>
          <w:szCs w:val="13"/>
          <w:color w:val="auto"/>
        </w:rPr>
        <w:t>(I.R.S. Employer</w:t>
      </w:r>
    </w:p>
    <w:p>
      <w:pPr>
        <w:spacing w:after="0" w:line="26" w:lineRule="exact"/>
        <w:rPr>
          <w:sz w:val="24"/>
          <w:szCs w:val="24"/>
          <w:color w:val="auto"/>
        </w:rPr>
      </w:pPr>
    </w:p>
    <w:p>
      <w:pPr>
        <w:sectPr>
          <w:pgSz w:w="11900" w:h="16838" w:orient="portrait"/>
          <w:cols w:equalWidth="0" w:num="2">
            <w:col w:w="7320" w:space="720"/>
            <w:col w:w="3200"/>
          </w:cols>
          <w:pgMar w:left="320" w:top="226" w:right="339" w:bottom="1440" w:gutter="0" w:footer="0" w:header="0"/>
          <w:type w:val="continuous"/>
        </w:sectPr>
      </w:pPr>
    </w:p>
    <w:p>
      <w:pPr>
        <w:ind w:left="1960"/>
        <w:spacing w:after="0"/>
        <w:rPr>
          <w:sz w:val="20"/>
          <w:szCs w:val="20"/>
          <w:color w:val="auto"/>
        </w:rPr>
      </w:pPr>
      <w:r>
        <w:rPr>
          <w:rFonts w:ascii="Calibri" w:cs="Calibri" w:eastAsia="Calibri" w:hAnsi="Calibri"/>
          <w:sz w:val="14"/>
          <w:szCs w:val="14"/>
          <w:color w:val="auto"/>
        </w:rPr>
        <w:t>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Identfcaton No.)</w:t>
      </w:r>
    </w:p>
    <w:p>
      <w:pPr>
        <w:spacing w:after="0" w:line="161" w:lineRule="exact"/>
        <w:rPr>
          <w:sz w:val="24"/>
          <w:szCs w:val="24"/>
          <w:color w:val="auto"/>
        </w:rPr>
      </w:pPr>
    </w:p>
    <w:p>
      <w:pPr>
        <w:sectPr>
          <w:pgSz w:w="11900" w:h="16838" w:orient="portrait"/>
          <w:cols w:equalWidth="0" w:num="2">
            <w:col w:w="7260" w:space="720"/>
            <w:col w:w="3260"/>
          </w:cols>
          <w:pgMar w:left="320" w:top="226" w:right="339" w:bottom="1440" w:gutter="0" w:footer="0" w:header="0"/>
          <w:type w:val="continuous"/>
        </w:sectPr>
      </w:pPr>
    </w:p>
    <w:p>
      <w:pPr>
        <w:jc w:val="center"/>
        <w:ind w:right="-19"/>
        <w:spacing w:after="0"/>
        <w:rPr>
          <w:sz w:val="20"/>
          <w:szCs w:val="20"/>
          <w:color w:val="auto"/>
        </w:rPr>
      </w:pPr>
      <w:r>
        <w:rPr>
          <w:rFonts w:ascii="Calibri" w:cs="Calibri" w:eastAsia="Calibri" w:hAnsi="Calibri"/>
          <w:sz w:val="17"/>
          <w:szCs w:val="17"/>
          <w:b w:val="1"/>
          <w:bCs w:val="1"/>
          <w:color w:val="auto"/>
        </w:rPr>
        <w:t>One H&amp;R Block Way, Kansas City, Missouri 64105</w:t>
      </w:r>
    </w:p>
    <w:p>
      <w:pPr>
        <w:jc w:val="center"/>
        <w:spacing w:after="0" w:line="224" w:lineRule="auto"/>
        <w:rPr>
          <w:sz w:val="20"/>
          <w:szCs w:val="20"/>
          <w:color w:val="auto"/>
        </w:rPr>
      </w:pPr>
      <w:r>
        <w:rPr>
          <w:rFonts w:ascii="Calibri" w:cs="Calibri" w:eastAsia="Calibri" w:hAnsi="Calibri"/>
          <w:sz w:val="14"/>
          <w:szCs w:val="14"/>
          <w:color w:val="auto"/>
        </w:rPr>
        <w:t>(Address of principal executve ofces, including zip code)</w:t>
      </w:r>
    </w:p>
    <w:p>
      <w:pPr>
        <w:spacing w:after="0" w:line="58"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b w:val="1"/>
          <w:bCs w:val="1"/>
          <w:color w:val="auto"/>
        </w:rPr>
        <w:t>(816) 854-3000</w:t>
      </w:r>
    </w:p>
    <w:p>
      <w:pPr>
        <w:jc w:val="center"/>
        <w:spacing w:after="0" w:line="224" w:lineRule="auto"/>
        <w:rPr>
          <w:sz w:val="20"/>
          <w:szCs w:val="20"/>
          <w:color w:val="auto"/>
        </w:rPr>
      </w:pPr>
      <w:r>
        <w:rPr>
          <w:rFonts w:ascii="Calibri" w:cs="Calibri" w:eastAsia="Calibri" w:hAnsi="Calibri"/>
          <w:sz w:val="14"/>
          <w:szCs w:val="14"/>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Calibri" w:cs="Calibri" w:eastAsia="Calibri" w:hAnsi="Calibri"/>
          <w:sz w:val="15"/>
          <w:szCs w:val="15"/>
          <w:b w:val="1"/>
          <w:bCs w:val="1"/>
          <w:color w:val="auto"/>
        </w:rPr>
        <w:t>Securites registered pursuant to Secton 12(b) of the Act:</w:t>
      </w:r>
    </w:p>
    <w:p>
      <w:pPr>
        <w:sectPr>
          <w:pgSz w:w="11900" w:h="16838" w:orient="portrait"/>
          <w:cols w:equalWidth="0" w:num="1">
            <w:col w:w="11240"/>
          </w:cols>
          <w:pgMar w:left="320" w:top="226" w:right="339" w:bottom="1440" w:gutter="0" w:footer="0" w:header="0"/>
          <w:type w:val="continuous"/>
        </w:sectPr>
      </w:pPr>
    </w:p>
    <w:p>
      <w:pPr>
        <w:spacing w:after="0" w:line="117" w:lineRule="exact"/>
        <w:rPr>
          <w:sz w:val="24"/>
          <w:szCs w:val="24"/>
          <w:color w:val="auto"/>
        </w:rPr>
      </w:pPr>
    </w:p>
    <w:p>
      <w:pPr>
        <w:ind w:left="1840"/>
        <w:spacing w:after="0"/>
        <w:rPr>
          <w:sz w:val="20"/>
          <w:szCs w:val="20"/>
          <w:color w:val="auto"/>
        </w:rPr>
      </w:pPr>
      <w:r>
        <w:rPr>
          <w:rFonts w:ascii="Calibri" w:cs="Calibri" w:eastAsia="Calibri" w:hAnsi="Calibri"/>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00" w:space="720"/>
            <w:col w:w="1820" w:space="720"/>
            <w:col w:w="3580"/>
          </w:cols>
          <w:pgMar w:left="320" w:top="226" w:right="339" w:bottom="1440" w:gutter="0" w:footer="0" w:header="0"/>
          <w:type w:val="continuous"/>
        </w:sectPr>
      </w:pPr>
    </w:p>
    <w:p>
      <w:pPr>
        <w:ind w:left="1260"/>
        <w:spacing w:after="0"/>
        <w:rPr>
          <w:sz w:val="20"/>
          <w:szCs w:val="20"/>
          <w:color w:val="auto"/>
        </w:rPr>
      </w:pPr>
      <w:r>
        <w:rPr>
          <w:rFonts w:ascii="Calibri" w:cs="Calibri" w:eastAsia="Calibri" w:hAnsi="Calibri"/>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New York Stock Exchange</w:t>
      </w:r>
    </w:p>
    <w:p>
      <w:pPr>
        <w:spacing w:after="0" w:line="200" w:lineRule="exact"/>
        <w:rPr>
          <w:sz w:val="24"/>
          <w:szCs w:val="24"/>
          <w:color w:val="auto"/>
        </w:rPr>
      </w:pPr>
    </w:p>
    <w:p>
      <w:pPr>
        <w:sectPr>
          <w:pgSz w:w="11900" w:h="16838" w:orient="portrait"/>
          <w:cols w:equalWidth="0" w:num="3">
            <w:col w:w="4760" w:space="720"/>
            <w:col w:w="1920" w:space="720"/>
            <w:col w:w="3120"/>
          </w:cols>
          <w:pgMar w:left="320" w:top="226" w:right="339" w:bottom="1440" w:gutter="0" w:footer="0" w:header="0"/>
          <w:type w:val="continuous"/>
        </w:sectPr>
      </w:pPr>
    </w:p>
    <w:p>
      <w:pPr>
        <w:spacing w:after="0" w:line="4" w:lineRule="exact"/>
        <w:rPr>
          <w:sz w:val="24"/>
          <w:szCs w:val="24"/>
          <w:color w:val="auto"/>
        </w:rPr>
      </w:pPr>
    </w:p>
    <w:p>
      <w:pPr>
        <w:spacing w:after="0" w:line="238" w:lineRule="auto"/>
        <w:rPr>
          <w:sz w:val="20"/>
          <w:szCs w:val="20"/>
          <w:color w:val="auto"/>
        </w:rPr>
      </w:pPr>
      <w:r>
        <w:rPr>
          <w:rFonts w:ascii="Calibri" w:cs="Calibri" w:eastAsia="Calibri" w:hAnsi="Calibri"/>
          <w:sz w:val="15"/>
          <w:szCs w:val="15"/>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23"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2" w:lineRule="auto"/>
        <w:rPr>
          <w:sz w:val="20"/>
          <w:szCs w:val="20"/>
          <w:color w:val="auto"/>
        </w:rPr>
      </w:pPr>
      <w:r>
        <w:rPr>
          <w:rFonts w:ascii="Calibri" w:cs="Calibri" w:eastAsia="Calibri" w:hAnsi="Calibri"/>
          <w:sz w:val="15"/>
          <w:szCs w:val="15"/>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w:t>
      </w:r>
    </w:p>
    <w:p>
      <w:pPr>
        <w:spacing w:after="0" w:line="1"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4"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 (Check one)</w:t>
      </w:r>
    </w:p>
    <w:p>
      <w:pPr>
        <w:spacing w:after="0" w:line="50" w:lineRule="exact"/>
        <w:rPr>
          <w:sz w:val="24"/>
          <w:szCs w:val="24"/>
          <w:color w:val="auto"/>
        </w:rPr>
      </w:pPr>
    </w:p>
    <w:p>
      <w:pPr>
        <w:spacing w:after="0" w:line="208" w:lineRule="exact"/>
        <w:tabs>
          <w:tab w:leader="none" w:pos="1640" w:val="left"/>
          <w:tab w:leader="none" w:pos="3040" w:val="left"/>
          <w:tab w:leader="none" w:pos="4620" w:val="left"/>
          <w:tab w:leader="none" w:pos="6340" w:val="left"/>
        </w:tabs>
        <w:rPr>
          <w:sz w:val="20"/>
          <w:szCs w:val="20"/>
          <w:color w:val="auto"/>
        </w:rPr>
      </w:pPr>
      <w:r>
        <w:rPr>
          <w:rFonts w:ascii="Calibri" w:cs="Calibri" w:eastAsia="Calibri" w:hAnsi="Calibri"/>
          <w:sz w:val="13"/>
          <w:szCs w:val="13"/>
          <w:color w:val="auto"/>
        </w:rPr>
        <w:t xml:space="preserve">Large 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Non-accelerated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Smaller reportng company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2"/>
          <w:szCs w:val="12"/>
          <w:color w:val="auto"/>
        </w:rPr>
        <w:t xml:space="preserve">Emerging growth company </w:t>
      </w:r>
      <w:r>
        <w:rPr>
          <w:rFonts w:ascii="MS PGothic" w:cs="MS PGothic" w:eastAsia="MS PGothic" w:hAnsi="MS PGothic"/>
          <w:sz w:val="16"/>
          <w:szCs w:val="16"/>
          <w:color w:val="auto"/>
        </w:rPr>
        <w:t>☐</w:t>
      </w:r>
    </w:p>
    <w:p>
      <w:pPr>
        <w:spacing w:after="0" w:line="245" w:lineRule="exact"/>
        <w:rPr>
          <w:sz w:val="24"/>
          <w:szCs w:val="24"/>
          <w:color w:val="auto"/>
        </w:rPr>
      </w:pPr>
    </w:p>
    <w:p>
      <w:pPr>
        <w:spacing w:after="0" w:line="222" w:lineRule="exact"/>
        <w:rPr>
          <w:sz w:val="20"/>
          <w:szCs w:val="20"/>
          <w:color w:val="auto"/>
        </w:rPr>
      </w:pPr>
      <w:r>
        <w:rPr>
          <w:rFonts w:ascii="Calibri" w:cs="Calibri" w:eastAsia="Calibri" w:hAnsi="Calibri"/>
          <w:sz w:val="15"/>
          <w:szCs w:val="15"/>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60" w:lineRule="exact"/>
        <w:rPr>
          <w:sz w:val="24"/>
          <w:szCs w:val="24"/>
          <w:color w:val="auto"/>
        </w:rPr>
      </w:pPr>
    </w:p>
    <w:p>
      <w:pPr>
        <w:spacing w:after="0"/>
        <w:rPr>
          <w:sz w:val="20"/>
          <w:szCs w:val="20"/>
          <w:color w:val="auto"/>
        </w:rPr>
      </w:pPr>
      <w:r>
        <w:rPr>
          <w:rFonts w:ascii="Calibri" w:cs="Calibri" w:eastAsia="Calibri" w:hAnsi="Calibri"/>
          <w:sz w:val="15"/>
          <w:szCs w:val="15"/>
          <w:color w:val="auto"/>
        </w:rPr>
        <w:t>Indicate by check mark whether the registrant is a shell company (as defned in Rule 12b-2 of the Exchange Act).</w:t>
      </w:r>
    </w:p>
    <w:p>
      <w:pPr>
        <w:spacing w:after="0" w:line="9"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rFonts w:ascii="Calibri" w:cs="Calibri" w:eastAsia="Calibri" w:hAnsi="Calibri"/>
          <w:sz w:val="15"/>
          <w:szCs w:val="15"/>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rPr>
          <w:sz w:val="20"/>
          <w:szCs w:val="20"/>
          <w:color w:val="auto"/>
        </w:rPr>
      </w:pPr>
      <w:r>
        <w:rPr>
          <w:rFonts w:ascii="Calibri" w:cs="Calibri" w:eastAsia="Calibri" w:hAnsi="Calibri"/>
          <w:sz w:val="15"/>
          <w:szCs w:val="15"/>
          <w:color w:val="auto"/>
        </w:rPr>
        <w:t>The number of shares outstanding of the registrant's Common Stock, without par value, at the close of business on January 31, 2025: 133,849,262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20"/>
        <w:spacing w:after="0"/>
        <w:rPr>
          <w:sz w:val="20"/>
          <w:szCs w:val="20"/>
          <w:color w:val="auto"/>
        </w:rPr>
      </w:pPr>
      <w:r>
        <w:rPr>
          <w:rFonts w:ascii="Calibri" w:cs="Calibri" w:eastAsia="Calibri" w:hAnsi="Calibri"/>
          <w:sz w:val="21"/>
          <w:szCs w:val="21"/>
          <w:b w:val="1"/>
          <w:bCs w:val="1"/>
          <w:color w:val="auto"/>
        </w:rPr>
        <w:t>Form 10-Q for the Period ended December 31, 2024</w:t>
      </w:r>
    </w:p>
    <w:p>
      <w:pPr>
        <w:spacing w:after="0" w:line="105" w:lineRule="exact"/>
        <w:rPr>
          <w:sz w:val="20"/>
          <w:szCs w:val="20"/>
          <w:color w:val="auto"/>
        </w:rPr>
      </w:pPr>
    </w:p>
    <w:p>
      <w:pPr>
        <w:ind w:left="4880"/>
        <w:spacing w:after="0"/>
        <w:rPr>
          <w:sz w:val="20"/>
          <w:szCs w:val="20"/>
          <w:color w:val="auto"/>
        </w:rPr>
      </w:pPr>
      <w:r>
        <w:rPr>
          <w:rFonts w:ascii="Calibri" w:cs="Calibri" w:eastAsia="Calibri" w:hAnsi="Calibri"/>
          <w:sz w:val="21"/>
          <w:szCs w:val="21"/>
          <w:b w:val="1"/>
          <w:bCs w:val="1"/>
          <w:color w:val="auto"/>
        </w:rPr>
        <w:t>Table of Contents</w:t>
      </w:r>
    </w:p>
    <w:p>
      <w:pPr>
        <w:spacing w:after="0" w:line="105" w:lineRule="exact"/>
        <w:rPr>
          <w:sz w:val="20"/>
          <w:szCs w:val="20"/>
          <w:color w:val="auto"/>
        </w:rPr>
      </w:pPr>
    </w:p>
    <w:p>
      <w:pPr>
        <w:ind w:left="5320"/>
        <w:spacing w:after="0"/>
        <w:rPr>
          <w:sz w:val="20"/>
          <w:szCs w:val="20"/>
          <w:color w:val="auto"/>
        </w:rPr>
      </w:pPr>
      <w:r>
        <w:rPr>
          <w:rFonts w:ascii="Calibri" w:cs="Calibri" w:eastAsia="Calibri" w:hAnsi="Calibri"/>
          <w:sz w:val="21"/>
          <w:szCs w:val="21"/>
          <w:b w:val="1"/>
          <w:bCs w:val="1"/>
          <w:color w:val="auto"/>
        </w:rPr>
        <w:t>PART I</w:t>
      </w:r>
    </w:p>
    <w:tbl>
      <w:tblPr>
        <w:tblLayout w:type="fixed"/>
        <w:tblInd w:w="0" w:type="dxa"/>
        <w:tblCellMar>
          <w:top w:w="0" w:type="dxa"/>
          <w:left w:w="0" w:type="dxa"/>
          <w:bottom w:w="0" w:type="dxa"/>
          <w:right w:w="0" w:type="dxa"/>
        </w:tblCellMar>
      </w:tblPr>
      <w:tr>
        <w:trPr>
          <w:trHeight w:val="221"/>
        </w:trPr>
        <w:tc>
          <w:tcPr>
            <w:tcW w:w="1160" w:type="dxa"/>
            <w:vAlign w:val="bottom"/>
            <w:gridSpan w:val="4"/>
            <w:shd w:val="clear" w:color="auto" w:fill="CCEEFF"/>
          </w:tcPr>
          <w:p>
            <w:pPr>
              <w:ind w:left="20"/>
              <w:spacing w:after="0" w:line="221" w:lineRule="exact"/>
              <w:rPr>
                <w:sz w:val="20"/>
                <w:szCs w:val="20"/>
                <w:color w:val="auto"/>
              </w:rPr>
            </w:pPr>
            <w:r>
              <w:rPr>
                <w:rFonts w:ascii="Calibri" w:cs="Calibri" w:eastAsia="Calibri" w:hAnsi="Calibri"/>
                <w:sz w:val="21"/>
                <w:szCs w:val="21"/>
                <w:color w:val="0000FF"/>
              </w:rPr>
              <w:t>Item 1.</w:t>
            </w:r>
          </w:p>
        </w:tc>
        <w:tc>
          <w:tcPr>
            <w:tcW w:w="7320" w:type="dxa"/>
            <w:vAlign w:val="bottom"/>
            <w:gridSpan w:val="22"/>
            <w:shd w:val="clear" w:color="auto" w:fill="CCEEFF"/>
          </w:tcPr>
          <w:p>
            <w:pPr>
              <w:spacing w:after="0" w:line="221" w:lineRule="exact"/>
              <w:rPr>
                <w:sz w:val="20"/>
                <w:szCs w:val="20"/>
                <w:color w:val="auto"/>
              </w:rPr>
            </w:pPr>
            <w:r>
              <w:rPr>
                <w:rFonts w:ascii="Calibri" w:cs="Calibri" w:eastAsia="Calibri" w:hAnsi="Calibri"/>
                <w:sz w:val="21"/>
                <w:szCs w:val="21"/>
                <w:color w:val="0000FF"/>
              </w:rPr>
              <w:t>Consolidated Statements of Operatons and Comprehensive Loss</w:t>
            </w:r>
          </w:p>
        </w:tc>
        <w:tc>
          <w:tcPr>
            <w:tcW w:w="2260" w:type="dxa"/>
            <w:vAlign w:val="bottom"/>
            <w:gridSpan w:val="4"/>
            <w:shd w:val="clear" w:color="auto" w:fill="CCEEFF"/>
          </w:tcPr>
          <w:p>
            <w:pPr>
              <w:jc w:val="center"/>
              <w:ind w:left="1957"/>
              <w:spacing w:after="0" w:line="221" w:lineRule="exact"/>
              <w:rPr>
                <w:sz w:val="20"/>
                <w:szCs w:val="20"/>
                <w:color w:val="auto"/>
              </w:rPr>
            </w:pPr>
            <w:r>
              <w:rPr>
                <w:rFonts w:ascii="Calibri" w:cs="Calibri" w:eastAsia="Calibri" w:hAnsi="Calibri"/>
                <w:sz w:val="21"/>
                <w:szCs w:val="21"/>
                <w:color w:val="0000FF"/>
              </w:rPr>
              <w:t>1</w:t>
            </w:r>
          </w:p>
        </w:tc>
        <w:tc>
          <w:tcPr>
            <w:tcW w:w="500" w:type="dxa"/>
            <w:vAlign w:val="bottom"/>
            <w:shd w:val="clear" w:color="auto" w:fill="CCEEFF"/>
          </w:tcPr>
          <w:p>
            <w:pPr>
              <w:spacing w:after="0"/>
              <w:rPr>
                <w:sz w:val="19"/>
                <w:szCs w:val="19"/>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5300" w:type="dxa"/>
            <w:vAlign w:val="bottom"/>
            <w:tcBorders>
              <w:top w:val="single" w:sz="8" w:color="0000FF"/>
            </w:tcBorders>
            <w:gridSpan w:val="20"/>
            <w:shd w:val="clear" w:color="auto" w:fill="CCEEFF"/>
          </w:tcPr>
          <w:p>
            <w:pPr>
              <w:spacing w:after="0" w:line="187" w:lineRule="exact"/>
              <w:rPr>
                <w:sz w:val="20"/>
                <w:szCs w:val="20"/>
                <w:color w:val="auto"/>
              </w:rPr>
            </w:pPr>
            <w:r>
              <w:rPr>
                <w:rFonts w:ascii="Calibri" w:cs="Calibri" w:eastAsia="Calibri" w:hAnsi="Calibri"/>
                <w:sz w:val="20"/>
                <w:szCs w:val="20"/>
                <w:color w:val="0000FF"/>
              </w:rPr>
              <w:t>Three and six months ended December 31, 2024 and 2023</w:t>
            </w:r>
          </w:p>
        </w:tc>
        <w:tc>
          <w:tcPr>
            <w:tcW w:w="19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Balance Sheets</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2</w:t>
            </w:r>
          </w:p>
        </w:tc>
        <w:tc>
          <w:tcPr>
            <w:tcW w:w="5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20" w:type="dxa"/>
            <w:vAlign w:val="bottom"/>
            <w:tcBorders>
              <w:top w:val="single" w:sz="8" w:color="0000FF"/>
            </w:tcBorders>
            <w:gridSpan w:val="8"/>
          </w:tcPr>
          <w:p>
            <w:pPr>
              <w:spacing w:after="0" w:line="187" w:lineRule="exact"/>
              <w:rPr>
                <w:sz w:val="20"/>
                <w:szCs w:val="20"/>
                <w:color w:val="auto"/>
              </w:rPr>
            </w:pPr>
            <w:r>
              <w:rPr>
                <w:rFonts w:ascii="Calibri" w:cs="Calibri" w:eastAsia="Calibri" w:hAnsi="Calibri"/>
                <w:sz w:val="20"/>
                <w:szCs w:val="20"/>
                <w:color w:val="0000FF"/>
              </w:rPr>
              <w:t>As of December 31, 2024</w:t>
            </w:r>
          </w:p>
        </w:tc>
        <w:tc>
          <w:tcPr>
            <w:tcW w:w="4920" w:type="dxa"/>
            <w:vAlign w:val="bottom"/>
            <w:gridSpan w:val="12"/>
          </w:tcPr>
          <w:p>
            <w:pPr>
              <w:spacing w:after="0" w:line="187" w:lineRule="exact"/>
              <w:rPr>
                <w:sz w:val="20"/>
                <w:szCs w:val="20"/>
                <w:color w:val="auto"/>
              </w:rPr>
            </w:pPr>
            <w:r>
              <w:rPr>
                <w:rFonts w:ascii="Calibri" w:cs="Calibri" w:eastAsia="Calibri" w:hAnsi="Calibri"/>
                <w:sz w:val="20"/>
                <w:szCs w:val="20"/>
                <w:color w:val="0000FF"/>
              </w:rPr>
              <w:t>and June 30, 2024</w:t>
            </w: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Consolidated Statements of Cash Flows</w:t>
            </w:r>
          </w:p>
        </w:tc>
        <w:tc>
          <w:tcPr>
            <w:tcW w:w="2260" w:type="dxa"/>
            <w:vAlign w:val="bottom"/>
            <w:gridSpan w:val="4"/>
            <w:shd w:val="clear" w:color="auto" w:fill="CCEEFF"/>
          </w:tcPr>
          <w:p>
            <w:pPr>
              <w:jc w:val="center"/>
              <w:ind w:left="1957"/>
              <w:spacing w:after="0" w:line="194" w:lineRule="exact"/>
              <w:rPr>
                <w:sz w:val="20"/>
                <w:szCs w:val="20"/>
                <w:color w:val="auto"/>
              </w:rPr>
            </w:pPr>
            <w:r>
              <w:rPr>
                <w:rFonts w:ascii="Calibri" w:cs="Calibri" w:eastAsia="Calibri" w:hAnsi="Calibri"/>
                <w:sz w:val="21"/>
                <w:szCs w:val="21"/>
                <w:color w:val="0000FF"/>
              </w:rPr>
              <w:t>3</w:t>
            </w:r>
          </w:p>
        </w:tc>
        <w:tc>
          <w:tcPr>
            <w:tcW w:w="500" w:type="dxa"/>
            <w:vAlign w:val="bottom"/>
            <w:shd w:val="clear" w:color="auto" w:fill="CCEEFF"/>
          </w:tcPr>
          <w:p>
            <w:pPr>
              <w:spacing w:after="0"/>
              <w:rPr>
                <w:sz w:val="16"/>
                <w:szCs w:val="16"/>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100" w:type="dxa"/>
            <w:vAlign w:val="bottom"/>
            <w:tcBorders>
              <w:top w:val="single" w:sz="8" w:color="0000FF"/>
            </w:tcBorders>
            <w:gridSpan w:val="10"/>
            <w:shd w:val="clear" w:color="auto" w:fill="CCEEFF"/>
          </w:tcPr>
          <w:p>
            <w:pPr>
              <w:spacing w:after="0" w:line="187" w:lineRule="exact"/>
              <w:rPr>
                <w:sz w:val="20"/>
                <w:szCs w:val="20"/>
                <w:color w:val="auto"/>
              </w:rPr>
            </w:pPr>
            <w:r>
              <w:rPr>
                <w:rFonts w:ascii="Calibri" w:cs="Calibri" w:eastAsia="Calibri" w:hAnsi="Calibri"/>
                <w:sz w:val="20"/>
                <w:szCs w:val="20"/>
                <w:color w:val="0000FF"/>
                <w:w w:val="99"/>
              </w:rPr>
              <w:t>Six months ended December 31, 2024</w:t>
            </w:r>
          </w:p>
        </w:tc>
        <w:tc>
          <w:tcPr>
            <w:tcW w:w="4040" w:type="dxa"/>
            <w:vAlign w:val="bottom"/>
            <w:tcBorders>
              <w:top w:val="single" w:sz="8" w:color="CCEEFF"/>
            </w:tcBorders>
            <w:gridSpan w:val="10"/>
            <w:shd w:val="clear" w:color="auto" w:fill="CCEEFF"/>
          </w:tcPr>
          <w:p>
            <w:pPr>
              <w:ind w:left="120"/>
              <w:spacing w:after="0" w:line="187" w:lineRule="exact"/>
              <w:rPr>
                <w:sz w:val="20"/>
                <w:szCs w:val="20"/>
                <w:color w:val="auto"/>
              </w:rPr>
            </w:pPr>
            <w:r>
              <w:rPr>
                <w:rFonts w:ascii="Calibri" w:cs="Calibri" w:eastAsia="Calibri" w:hAnsi="Calibri"/>
                <w:sz w:val="20"/>
                <w:szCs w:val="20"/>
                <w:color w:val="0000FF"/>
              </w:rPr>
              <w:t>and 2023</w:t>
            </w:r>
          </w:p>
        </w:tc>
        <w:tc>
          <w:tcPr>
            <w:tcW w:w="20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Statements of Stockholders' Equity</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4</w:t>
            </w:r>
          </w:p>
        </w:tc>
        <w:tc>
          <w:tcPr>
            <w:tcW w:w="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gridSpan w:val="21"/>
          </w:tcPr>
          <w:p>
            <w:pPr>
              <w:ind w:left="80"/>
              <w:spacing w:after="0" w:line="166" w:lineRule="exact"/>
              <w:rPr>
                <w:sz w:val="20"/>
                <w:szCs w:val="20"/>
                <w:color w:val="auto"/>
              </w:rPr>
            </w:pPr>
            <w:r>
              <w:rPr>
                <w:rFonts w:ascii="Calibri" w:cs="Calibri" w:eastAsia="Calibri" w:hAnsi="Calibri"/>
                <w:sz w:val="18"/>
                <w:szCs w:val="18"/>
                <w:color w:val="0000FF"/>
              </w:rPr>
              <w:t>Three and six months ended December 31, 2024 and 2023</w:t>
            </w: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0000FF"/>
            </w:tcBorders>
            <w:gridSpan w:val="13"/>
            <w:shd w:val="clear" w:color="auto" w:fill="CCEEFF"/>
          </w:tcPr>
          <w:p>
            <w:pPr>
              <w:spacing w:after="0" w:line="194" w:lineRule="exact"/>
              <w:rPr>
                <w:sz w:val="20"/>
                <w:szCs w:val="20"/>
                <w:color w:val="auto"/>
              </w:rPr>
            </w:pPr>
            <w:r>
              <w:rPr>
                <w:rFonts w:ascii="Calibri" w:cs="Calibri" w:eastAsia="Calibri" w:hAnsi="Calibri"/>
                <w:sz w:val="21"/>
                <w:szCs w:val="21"/>
                <w:color w:val="0000FF"/>
                <w:w w:val="97"/>
              </w:rPr>
              <w:t>Notes to Consolidated Financial Statements</w:t>
            </w:r>
          </w:p>
        </w:tc>
        <w:tc>
          <w:tcPr>
            <w:tcW w:w="3680" w:type="dxa"/>
            <w:vAlign w:val="bottom"/>
            <w:tcBorders>
              <w:bottom w:val="single" w:sz="8" w:color="CCEEFF"/>
            </w:tcBorders>
            <w:gridSpan w:val="9"/>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0000FF"/>
            </w:tcBorders>
            <w:shd w:val="clear" w:color="auto" w:fill="CCEEFF"/>
          </w:tcPr>
          <w:p>
            <w:pPr>
              <w:jc w:val="center"/>
              <w:spacing w:after="0" w:line="194" w:lineRule="exact"/>
              <w:rPr>
                <w:sz w:val="20"/>
                <w:szCs w:val="20"/>
                <w:color w:val="auto"/>
              </w:rPr>
            </w:pPr>
            <w:r>
              <w:rPr>
                <w:rFonts w:ascii="Calibri" w:cs="Calibri" w:eastAsia="Calibri" w:hAnsi="Calibri"/>
                <w:sz w:val="21"/>
                <w:szCs w:val="21"/>
                <w:color w:val="0000FF"/>
              </w:rPr>
              <w:t>6</w:t>
            </w: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2.</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w w:val="99"/>
              </w:rPr>
              <w:t>Management's Discussion and Analysis of Financial Conditon and Results of Operatons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15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920" w:type="dxa"/>
            <w:vAlign w:val="bottom"/>
            <w:tcBorders>
              <w:top w:val="single" w:sz="8" w:color="0000FF"/>
            </w:tcBorders>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Quanttatve and Qualitatve Disclosures About Market Risk</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24</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Controls and Procedures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24</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58"/>
        </w:trPr>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80" w:type="dxa"/>
            <w:vAlign w:val="bottom"/>
            <w:gridSpan w:val="7"/>
            <w:shd w:val="clear" w:color="auto" w:fill="CCEEFF"/>
          </w:tcPr>
          <w:p>
            <w:pPr>
              <w:ind w:left="80"/>
              <w:spacing w:after="0" w:line="245" w:lineRule="exact"/>
              <w:rPr>
                <w:sz w:val="20"/>
                <w:szCs w:val="20"/>
                <w:color w:val="auto"/>
              </w:rPr>
            </w:pPr>
            <w:r>
              <w:rPr>
                <w:rFonts w:ascii="Calibri" w:cs="Calibri" w:eastAsia="Calibri" w:hAnsi="Calibri"/>
                <w:sz w:val="21"/>
                <w:szCs w:val="21"/>
                <w:b w:val="1"/>
                <w:bCs w:val="1"/>
                <w:color w:val="auto"/>
              </w:rPr>
              <w:t>PART II</w:t>
            </w:r>
          </w:p>
        </w:tc>
        <w:tc>
          <w:tcPr>
            <w:tcW w:w="2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1.</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Legal Proceedings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24</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line="194" w:lineRule="exact"/>
              <w:rPr>
                <w:sz w:val="20"/>
                <w:szCs w:val="20"/>
                <w:color w:val="auto"/>
              </w:rPr>
            </w:pPr>
            <w:r>
              <w:rPr>
                <w:rFonts w:ascii="Calibri" w:cs="Calibri" w:eastAsia="Calibri" w:hAnsi="Calibri"/>
                <w:sz w:val="21"/>
                <w:szCs w:val="21"/>
                <w:color w:val="0000FF"/>
                <w:w w:val="96"/>
              </w:rPr>
              <w:t>Item 1A.</w:t>
            </w:r>
          </w:p>
        </w:tc>
        <w:tc>
          <w:tcPr>
            <w:tcW w:w="42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line="194" w:lineRule="exact"/>
              <w:rPr>
                <w:sz w:val="20"/>
                <w:szCs w:val="20"/>
                <w:color w:val="auto"/>
              </w:rPr>
            </w:pPr>
            <w:r>
              <w:rPr>
                <w:rFonts w:ascii="Calibri" w:cs="Calibri" w:eastAsia="Calibri" w:hAnsi="Calibri"/>
                <w:sz w:val="21"/>
                <w:szCs w:val="21"/>
                <w:color w:val="0000FF"/>
                <w:w w:val="95"/>
              </w:rPr>
              <w:t>Risk Factors</w:t>
            </w:r>
          </w:p>
        </w:tc>
        <w:tc>
          <w:tcPr>
            <w:tcW w:w="6340" w:type="dxa"/>
            <w:vAlign w:val="bottom"/>
            <w:gridSpan w:val="17"/>
            <w:shd w:val="clear" w:color="auto" w:fill="CCEEFF"/>
          </w:tcPr>
          <w:p>
            <w:pPr>
              <w:spacing w:after="0"/>
              <w:rPr>
                <w:sz w:val="16"/>
                <w:szCs w:val="16"/>
                <w:color w:val="auto"/>
              </w:rPr>
            </w:pP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24</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720" w:type="dxa"/>
            <w:vAlign w:val="bottom"/>
            <w:gridSpan w:val="2"/>
          </w:tcPr>
          <w:p>
            <w:pPr>
              <w:spacing w:after="0" w:line="194" w:lineRule="exact"/>
              <w:rPr>
                <w:sz w:val="20"/>
                <w:szCs w:val="20"/>
                <w:color w:val="auto"/>
              </w:rPr>
            </w:pPr>
            <w:r>
              <w:rPr>
                <w:rFonts w:ascii="Calibri" w:cs="Calibri" w:eastAsia="Calibri" w:hAnsi="Calibri"/>
                <w:sz w:val="21"/>
                <w:szCs w:val="21"/>
                <w:color w:val="0000FF"/>
              </w:rPr>
              <w:t>Item 2.</w:t>
            </w: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Unregistered Sales of Equity Securites and Use of Proceeds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Defaults Upon Senior Securites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Mine Safety Disclosures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5.</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Other Informaton</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6.</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Exhibits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Signatures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27</w:t>
            </w: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920" w:type="dxa"/>
            <w:vAlign w:val="bottom"/>
            <w:tcBorders>
              <w:top w:val="single" w:sz="8" w:color="CCEEFF"/>
              <w:bottom w:val="single" w:sz="8" w:color="9A9A9A"/>
            </w:tcBorders>
          </w:tcPr>
          <w:p>
            <w:pPr>
              <w:spacing w:after="0"/>
              <w:rPr>
                <w:sz w:val="24"/>
                <w:szCs w:val="24"/>
                <w:color w:val="auto"/>
              </w:rPr>
            </w:pPr>
          </w:p>
        </w:tc>
        <w:tc>
          <w:tcPr>
            <w:tcW w:w="20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20" w:type="dxa"/>
            <w:vAlign w:val="bottom"/>
          </w:tcPr>
          <w:p>
            <w:pPr>
              <w:spacing w:after="0"/>
              <w:rPr>
                <w:sz w:val="20"/>
                <w:szCs w:val="20"/>
                <w:color w:val="auto"/>
              </w:rPr>
            </w:pPr>
            <w:r>
              <w:rPr>
                <w:rFonts w:ascii="Calibri" w:cs="Calibri" w:eastAsia="Calibri" w:hAnsi="Calibri"/>
                <w:sz w:val="24"/>
                <w:szCs w:val="24"/>
                <w:b w:val="1"/>
                <w:bCs w:val="1"/>
                <w:color w:val="14AA40"/>
              </w:rPr>
              <w:t>PART I</w:t>
            </w:r>
          </w:p>
        </w:tc>
        <w:tc>
          <w:tcPr>
            <w:tcW w:w="3760" w:type="dxa"/>
            <w:vAlign w:val="bottom"/>
          </w:tcPr>
          <w:p>
            <w:pPr>
              <w:ind w:left="40"/>
              <w:spacing w:after="0"/>
              <w:rPr>
                <w:sz w:val="20"/>
                <w:szCs w:val="20"/>
                <w:color w:val="auto"/>
              </w:rPr>
            </w:pPr>
            <w:r>
              <w:rPr>
                <w:rFonts w:ascii="Calibri" w:cs="Calibri" w:eastAsia="Calibri" w:hAnsi="Calibri"/>
                <w:sz w:val="24"/>
                <w:szCs w:val="24"/>
                <w:b w:val="1"/>
                <w:bCs w:val="1"/>
                <w:color w:val="14AA40"/>
              </w:rPr>
              <w:t>FINANCIAL INFORMATION</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20" w:type="dxa"/>
            <w:vAlign w:val="bottom"/>
          </w:tcPr>
          <w:p>
            <w:pPr>
              <w:spacing w:after="0"/>
              <w:rPr>
                <w:sz w:val="20"/>
                <w:szCs w:val="20"/>
                <w:color w:val="auto"/>
              </w:rPr>
            </w:pPr>
            <w:r>
              <w:rPr>
                <w:rFonts w:ascii="Calibri" w:cs="Calibri" w:eastAsia="Calibri" w:hAnsi="Calibri"/>
                <w:sz w:val="24"/>
                <w:szCs w:val="24"/>
                <w:b w:val="1"/>
                <w:bCs w:val="1"/>
                <w:color w:val="14AA40"/>
              </w:rPr>
              <w:t>ITEM 1.</w:t>
            </w:r>
          </w:p>
        </w:tc>
        <w:tc>
          <w:tcPr>
            <w:tcW w:w="3760" w:type="dxa"/>
            <w:vAlign w:val="bottom"/>
          </w:tcPr>
          <w:p>
            <w:pPr>
              <w:ind w:left="160"/>
              <w:spacing w:after="0"/>
              <w:rPr>
                <w:sz w:val="20"/>
                <w:szCs w:val="20"/>
                <w:color w:val="auto"/>
              </w:rPr>
            </w:pPr>
            <w:r>
              <w:rPr>
                <w:rFonts w:ascii="Calibri" w:cs="Calibri" w:eastAsia="Calibri" w:hAnsi="Calibri"/>
                <w:sz w:val="24"/>
                <w:szCs w:val="24"/>
                <w:b w:val="1"/>
                <w:bCs w:val="1"/>
                <w:color w:val="14AA40"/>
              </w:rPr>
              <w:t>FINANCIAL STATEMENTS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auto"/>
            </w:tcBorders>
            <w:gridSpan w:val="8"/>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7960" w:type="dxa"/>
            <w:vAlign w:val="bottom"/>
            <w:tcBorders>
              <w:bottom w:val="single" w:sz="8" w:color="auto"/>
            </w:tcBorders>
            <w:gridSpan w:val="8"/>
          </w:tcPr>
          <w:p>
            <w:pPr>
              <w:ind w:left="20"/>
              <w:spacing w:after="0" w:line="285" w:lineRule="exact"/>
              <w:rPr>
                <w:sz w:val="20"/>
                <w:szCs w:val="20"/>
                <w:color w:val="auto"/>
              </w:rPr>
            </w:pPr>
            <w:r>
              <w:rPr>
                <w:rFonts w:ascii="Calibri" w:cs="Calibri" w:eastAsia="Calibri" w:hAnsi="Calibri"/>
                <w:sz w:val="24"/>
                <w:szCs w:val="24"/>
                <w:b w:val="1"/>
                <w:bCs w:val="1"/>
                <w:color w:val="auto"/>
              </w:rPr>
              <w:t>CONSOLIDATED STATEMENTS OF OPERATIONS AND COMPREHENSIVE LOSS:</w:t>
            </w: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4"/>
                <w:szCs w:val="14"/>
                <w:color w:val="auto"/>
              </w:rPr>
              <w:t>(unaudited, in 000s, except per share amounts)</w:t>
            </w: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line="181" w:lineRule="exact"/>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5"/>
                <w:szCs w:val="15"/>
                <w:color w:val="auto"/>
              </w:rPr>
            </w:pPr>
          </w:p>
        </w:tc>
        <w:tc>
          <w:tcPr>
            <w:tcW w:w="2920" w:type="dxa"/>
            <w:vAlign w:val="bottom"/>
            <w:gridSpan w:val="4"/>
          </w:tcPr>
          <w:p>
            <w:pPr>
              <w:jc w:val="right"/>
              <w:ind w:right="543"/>
              <w:spacing w:after="0" w:line="181" w:lineRule="exact"/>
              <w:rPr>
                <w:sz w:val="20"/>
                <w:szCs w:val="20"/>
                <w:color w:val="auto"/>
              </w:rPr>
            </w:pPr>
            <w:r>
              <w:rPr>
                <w:rFonts w:ascii="Calibri" w:cs="Calibri" w:eastAsia="Calibri" w:hAnsi="Calibri"/>
                <w:sz w:val="15"/>
                <w:szCs w:val="15"/>
                <w:color w:val="auto"/>
              </w:rPr>
              <w:t>Six months ended December 31,</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0" w:type="dxa"/>
            <w:vAlign w:val="bottom"/>
          </w:tcPr>
          <w:p>
            <w:pPr>
              <w:spacing w:after="0"/>
              <w:rPr>
                <w:sz w:val="1"/>
                <w:szCs w:val="1"/>
                <w:color w:val="auto"/>
              </w:rPr>
            </w:pPr>
          </w:p>
        </w:tc>
      </w:tr>
      <w:tr>
        <w:trPr>
          <w:trHeight w:val="22"/>
        </w:trPr>
        <w:tc>
          <w:tcPr>
            <w:tcW w:w="820" w:type="dxa"/>
            <w:vAlign w:val="bottom"/>
            <w:vMerge w:val="restart"/>
          </w:tcPr>
          <w:p>
            <w:pPr>
              <w:ind w:left="20"/>
              <w:spacing w:after="0"/>
              <w:rPr>
                <w:sz w:val="20"/>
                <w:szCs w:val="20"/>
                <w:color w:val="auto"/>
              </w:rPr>
            </w:pPr>
            <w:r>
              <w:rPr>
                <w:rFonts w:ascii="Calibri" w:cs="Calibri" w:eastAsia="Calibri" w:hAnsi="Calibri"/>
                <w:sz w:val="15"/>
                <w:szCs w:val="15"/>
                <w:b w:val="1"/>
                <w:bCs w:val="1"/>
                <w:color w:val="auto"/>
              </w:rPr>
              <w:t>REVENUES:</w:t>
            </w: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Service revenues</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152,968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149,081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334,739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320,807</w:t>
            </w:r>
          </w:p>
        </w:tc>
        <w:tc>
          <w:tcPr>
            <w:tcW w:w="0" w:type="dxa"/>
            <w:vAlign w:val="bottom"/>
          </w:tcPr>
          <w:p>
            <w:pPr>
              <w:spacing w:after="0"/>
              <w:rPr>
                <w:sz w:val="1"/>
                <w:szCs w:val="1"/>
                <w:color w:val="auto"/>
              </w:rPr>
            </w:pPr>
          </w:p>
        </w:tc>
      </w:tr>
      <w:tr>
        <w:trPr>
          <w:trHeight w:val="184"/>
        </w:trPr>
        <w:tc>
          <w:tcPr>
            <w:tcW w:w="4580" w:type="dxa"/>
            <w:vAlign w:val="bottom"/>
            <w:gridSpan w:val="2"/>
          </w:tcPr>
          <w:p>
            <w:pPr>
              <w:ind w:left="120"/>
              <w:spacing w:after="0"/>
              <w:rPr>
                <w:sz w:val="20"/>
                <w:szCs w:val="20"/>
                <w:color w:val="auto"/>
              </w:rPr>
            </w:pPr>
            <w:r>
              <w:rPr>
                <w:rFonts w:ascii="Calibri" w:cs="Calibri" w:eastAsia="Calibri" w:hAnsi="Calibri"/>
                <w:sz w:val="15"/>
                <w:szCs w:val="15"/>
                <w:color w:val="auto"/>
              </w:rPr>
              <w:t>Royalty, product and other revenues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26,102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30,002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38,141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42,076</w:t>
            </w:r>
          </w:p>
        </w:tc>
        <w:tc>
          <w:tcPr>
            <w:tcW w:w="0" w:type="dxa"/>
            <w:vAlign w:val="bottom"/>
          </w:tcPr>
          <w:p>
            <w:pPr>
              <w:spacing w:after="0"/>
              <w:rPr>
                <w:sz w:val="1"/>
                <w:szCs w:val="1"/>
                <w:color w:val="auto"/>
              </w:rPr>
            </w:pPr>
          </w:p>
        </w:tc>
      </w:tr>
      <w:tr>
        <w:trPr>
          <w:trHeight w:val="22"/>
        </w:trPr>
        <w:tc>
          <w:tcPr>
            <w:tcW w:w="8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spacing w:after="0"/>
              <w:rPr>
                <w:sz w:val="17"/>
                <w:szCs w:val="17"/>
                <w:color w:val="auto"/>
              </w:rPr>
            </w:pPr>
          </w:p>
        </w:tc>
        <w:tc>
          <w:tcPr>
            <w:tcW w:w="3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179,070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179,083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372,880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362,883</w:t>
            </w:r>
          </w:p>
        </w:tc>
        <w:tc>
          <w:tcPr>
            <w:tcW w:w="0" w:type="dxa"/>
            <w:vAlign w:val="bottom"/>
          </w:tcPr>
          <w:p>
            <w:pPr>
              <w:spacing w:after="0"/>
              <w:rPr>
                <w:sz w:val="1"/>
                <w:szCs w:val="1"/>
                <w:color w:val="auto"/>
              </w:rPr>
            </w:pPr>
          </w:p>
        </w:tc>
      </w:tr>
      <w:tr>
        <w:trPr>
          <w:trHeight w:val="164"/>
        </w:trPr>
        <w:tc>
          <w:tcPr>
            <w:tcW w:w="458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OPERATING EXPENSES:</w:t>
            </w: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Costs of revenues</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314,209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299,827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583,790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559,185</w:t>
            </w:r>
          </w:p>
        </w:tc>
        <w:tc>
          <w:tcPr>
            <w:tcW w:w="0" w:type="dxa"/>
            <w:vAlign w:val="bottom"/>
          </w:tcPr>
          <w:p>
            <w:pPr>
              <w:spacing w:after="0"/>
              <w:rPr>
                <w:sz w:val="1"/>
                <w:szCs w:val="1"/>
                <w:color w:val="auto"/>
              </w:rPr>
            </w:pPr>
          </w:p>
        </w:tc>
      </w:tr>
      <w:tr>
        <w:trPr>
          <w:trHeight w:val="184"/>
        </w:trPr>
        <w:tc>
          <w:tcPr>
            <w:tcW w:w="4580" w:type="dxa"/>
            <w:vAlign w:val="bottom"/>
            <w:gridSpan w:val="2"/>
          </w:tcPr>
          <w:p>
            <w:pPr>
              <w:ind w:left="120"/>
              <w:spacing w:after="0"/>
              <w:rPr>
                <w:sz w:val="20"/>
                <w:szCs w:val="20"/>
                <w:color w:val="auto"/>
              </w:rPr>
            </w:pPr>
            <w:r>
              <w:rPr>
                <w:rFonts w:ascii="Calibri" w:cs="Calibri" w:eastAsia="Calibri" w:hAnsi="Calibri"/>
                <w:sz w:val="15"/>
                <w:szCs w:val="15"/>
                <w:color w:val="auto"/>
              </w:rPr>
              <w:t>Selling, general and administratve</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158,152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146,688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310,712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277,456</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 operatng expenses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472,361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446,515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894,502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836,641</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 income (expense), net</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2,744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5,922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14,661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15,758</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(21,752)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(21,364)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(37,599)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(37,234)</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Loss from contnuing operatons before income tax beneft</w:t>
            </w: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(312,299)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(282,874)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(544,560)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(495,234)</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Income tax beneft</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(69,833)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(93,758)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(130,673)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(143,245)</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(242,466)</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(189,116)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(413,887)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(351,989)</w:t>
            </w:r>
          </w:p>
        </w:tc>
        <w:tc>
          <w:tcPr>
            <w:tcW w:w="0" w:type="dxa"/>
            <w:vAlign w:val="bottom"/>
          </w:tcPr>
          <w:p>
            <w:pPr>
              <w:spacing w:after="0"/>
              <w:rPr>
                <w:sz w:val="1"/>
                <w:szCs w:val="1"/>
                <w:color w:val="auto"/>
              </w:rPr>
            </w:pPr>
          </w:p>
        </w:tc>
      </w:tr>
      <w:tr>
        <w:trPr>
          <w:trHeight w:val="150"/>
        </w:trPr>
        <w:tc>
          <w:tcPr>
            <w:tcW w:w="4580" w:type="dxa"/>
            <w:vAlign w:val="bottom"/>
            <w:gridSpan w:val="2"/>
          </w:tcPr>
          <w:p>
            <w:pPr>
              <w:ind w:left="20"/>
              <w:spacing w:after="0" w:line="151" w:lineRule="exact"/>
              <w:rPr>
                <w:sz w:val="20"/>
                <w:szCs w:val="20"/>
                <w:color w:val="auto"/>
              </w:rPr>
            </w:pPr>
            <w:r>
              <w:rPr>
                <w:rFonts w:ascii="Calibri" w:cs="Calibri" w:eastAsia="Calibri" w:hAnsi="Calibri"/>
                <w:sz w:val="15"/>
                <w:szCs w:val="15"/>
                <w:color w:val="auto"/>
              </w:rPr>
              <w:t>Net loss from discontnued operatons, net of tax benefts of $286,</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gridSpan w:val="2"/>
          </w:tcPr>
          <w:p>
            <w:pPr>
              <w:ind w:left="180"/>
              <w:spacing w:after="0"/>
              <w:rPr>
                <w:sz w:val="20"/>
                <w:szCs w:val="20"/>
                <w:color w:val="auto"/>
              </w:rPr>
            </w:pPr>
            <w:r>
              <w:rPr>
                <w:rFonts w:ascii="Calibri" w:cs="Calibri" w:eastAsia="Calibri" w:hAnsi="Calibri"/>
                <w:sz w:val="15"/>
                <w:szCs w:val="15"/>
                <w:color w:val="auto"/>
              </w:rPr>
              <w:t>$191, $631 and $373</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(954)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(639)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(2,109)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(1,248)</w:t>
            </w:r>
          </w:p>
        </w:tc>
        <w:tc>
          <w:tcPr>
            <w:tcW w:w="0" w:type="dxa"/>
            <w:vAlign w:val="bottom"/>
          </w:tcPr>
          <w:p>
            <w:pPr>
              <w:spacing w:after="0"/>
              <w:rPr>
                <w:sz w:val="1"/>
                <w:szCs w:val="1"/>
                <w:color w:val="auto"/>
              </w:rPr>
            </w:pPr>
          </w:p>
        </w:tc>
      </w:tr>
      <w:tr>
        <w:trPr>
          <w:trHeight w:val="26"/>
        </w:trPr>
        <w:tc>
          <w:tcPr>
            <w:tcW w:w="8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3" w:lineRule="exact"/>
              <w:rPr>
                <w:sz w:val="20"/>
                <w:szCs w:val="20"/>
                <w:color w:val="auto"/>
              </w:rPr>
            </w:pPr>
            <w:r>
              <w:rPr>
                <w:rFonts w:ascii="Calibri" w:cs="Calibri" w:eastAsia="Calibri" w:hAnsi="Calibri"/>
                <w:sz w:val="15"/>
                <w:szCs w:val="15"/>
                <w:b w:val="1"/>
                <w:bCs w:val="1"/>
                <w:color w:val="auto"/>
              </w:rPr>
              <w:t>NET LOSS</w:t>
            </w:r>
          </w:p>
        </w:tc>
        <w:tc>
          <w:tcPr>
            <w:tcW w:w="3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(243,420)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(189,755)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(415,996)</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(353,237)</w:t>
            </w:r>
          </w:p>
        </w:tc>
        <w:tc>
          <w:tcPr>
            <w:tcW w:w="0" w:type="dxa"/>
            <w:vAlign w:val="bottom"/>
          </w:tcPr>
          <w:p>
            <w:pPr>
              <w:spacing w:after="0"/>
              <w:rPr>
                <w:sz w:val="1"/>
                <w:szCs w:val="1"/>
                <w:color w:val="auto"/>
              </w:rPr>
            </w:pPr>
          </w:p>
        </w:tc>
      </w:tr>
      <w:tr>
        <w:trPr>
          <w:trHeight w:val="164"/>
        </w:trPr>
        <w:tc>
          <w:tcPr>
            <w:tcW w:w="458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Contnuing operatons</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(2.44)</w:t>
            </w:r>
          </w:p>
        </w:tc>
        <w:tc>
          <w:tcPr>
            <w:tcW w:w="0" w:type="dxa"/>
            <w:vAlign w:val="bottom"/>
          </w:tcPr>
          <w:p>
            <w:pPr>
              <w:spacing w:after="0"/>
              <w:rPr>
                <w:sz w:val="1"/>
                <w:szCs w:val="1"/>
                <w:color w:val="auto"/>
              </w:rPr>
            </w:pPr>
          </w:p>
        </w:tc>
      </w:tr>
      <w:tr>
        <w:trPr>
          <w:trHeight w:val="184"/>
        </w:trPr>
        <w:tc>
          <w:tcPr>
            <w:tcW w:w="4580" w:type="dxa"/>
            <w:vAlign w:val="bottom"/>
            <w:gridSpan w:val="2"/>
          </w:tcPr>
          <w:p>
            <w:pPr>
              <w:ind w:left="120"/>
              <w:spacing w:after="0"/>
              <w:rPr>
                <w:sz w:val="20"/>
                <w:szCs w:val="20"/>
                <w:color w:val="auto"/>
              </w:rPr>
            </w:pPr>
            <w:r>
              <w:rPr>
                <w:rFonts w:ascii="Calibri" w:cs="Calibri" w:eastAsia="Calibri" w:hAnsi="Calibri"/>
                <w:sz w:val="15"/>
                <w:szCs w:val="15"/>
                <w:color w:val="auto"/>
              </w:rPr>
              <w:t>Discontnued operatons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(0.01)</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120"/>
              <w:spacing w:after="0" w:line="173" w:lineRule="exact"/>
              <w:rPr>
                <w:sz w:val="20"/>
                <w:szCs w:val="20"/>
                <w:color w:val="auto"/>
              </w:rPr>
            </w:pPr>
            <w:r>
              <w:rPr>
                <w:rFonts w:ascii="Calibri" w:cs="Calibri" w:eastAsia="Calibri" w:hAnsi="Calibri"/>
                <w:sz w:val="15"/>
                <w:szCs w:val="15"/>
                <w:color w:val="auto"/>
              </w:rPr>
              <w:t>Consolidated</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(2.45)</w:t>
            </w:r>
          </w:p>
        </w:tc>
        <w:tc>
          <w:tcPr>
            <w:tcW w:w="0" w:type="dxa"/>
            <w:vAlign w:val="bottom"/>
          </w:tcPr>
          <w:p>
            <w:pPr>
              <w:spacing w:after="0"/>
              <w:rPr>
                <w:sz w:val="1"/>
                <w:szCs w:val="1"/>
                <w:color w:val="auto"/>
              </w:rPr>
            </w:pP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b w:val="1"/>
                <w:bCs w:val="1"/>
                <w:color w:val="auto"/>
              </w:rPr>
              <w:t>DIVIDENDS DECLARED PER SHARE</w:t>
            </w: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0.375</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0.32</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0.75</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0.64</w:t>
            </w:r>
          </w:p>
        </w:tc>
        <w:tc>
          <w:tcPr>
            <w:tcW w:w="0" w:type="dxa"/>
            <w:vAlign w:val="bottom"/>
          </w:tcPr>
          <w:p>
            <w:pPr>
              <w:spacing w:after="0"/>
              <w:rPr>
                <w:sz w:val="1"/>
                <w:szCs w:val="1"/>
                <w:color w:val="auto"/>
              </w:rPr>
            </w:pPr>
          </w:p>
        </w:tc>
      </w:tr>
      <w:tr>
        <w:trPr>
          <w:trHeight w:val="22"/>
        </w:trPr>
        <w:tc>
          <w:tcPr>
            <w:tcW w:w="4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b w:val="1"/>
                <w:bCs w:val="1"/>
                <w:color w:val="auto"/>
              </w:rPr>
              <w:t>COMPREHENSIVE LOSS:</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0" w:type="dxa"/>
            <w:vAlign w:val="bottom"/>
          </w:tcPr>
          <w:p>
            <w:pPr>
              <w:ind w:left="120"/>
              <w:spacing w:after="0"/>
              <w:rPr>
                <w:sz w:val="20"/>
                <w:szCs w:val="20"/>
                <w:color w:val="auto"/>
              </w:rPr>
            </w:pPr>
            <w:r>
              <w:rPr>
                <w:rFonts w:ascii="Calibri" w:cs="Calibri" w:eastAsia="Calibri" w:hAnsi="Calibri"/>
                <w:sz w:val="15"/>
                <w:szCs w:val="15"/>
                <w:color w:val="auto"/>
              </w:rPr>
              <w:t>Net loss</w:t>
            </w:r>
          </w:p>
        </w:tc>
        <w:tc>
          <w:tcPr>
            <w:tcW w:w="3760" w:type="dxa"/>
            <w:vAlign w:val="bottom"/>
          </w:tcPr>
          <w:p>
            <w:pPr>
              <w:spacing w:after="0"/>
              <w:rPr>
                <w:sz w:val="16"/>
                <w:szCs w:val="16"/>
                <w:color w:val="auto"/>
              </w:rPr>
            </w:pPr>
          </w:p>
        </w:tc>
        <w:tc>
          <w:tcPr>
            <w:tcW w:w="320" w:type="dxa"/>
            <w:vAlign w:val="bottom"/>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(243,420)</w:t>
            </w:r>
          </w:p>
        </w:tc>
        <w:tc>
          <w:tcPr>
            <w:tcW w:w="8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(189,755)</w:t>
            </w:r>
          </w:p>
        </w:tc>
        <w:tc>
          <w:tcPr>
            <w:tcW w:w="10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(415,996)</w:t>
            </w:r>
          </w:p>
        </w:tc>
        <w:tc>
          <w:tcPr>
            <w:tcW w:w="8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(353,237)</w:t>
            </w:r>
          </w:p>
        </w:tc>
        <w:tc>
          <w:tcPr>
            <w:tcW w:w="0" w:type="dxa"/>
            <w:vAlign w:val="bottom"/>
          </w:tcPr>
          <w:p>
            <w:pPr>
              <w:spacing w:after="0"/>
              <w:rPr>
                <w:sz w:val="1"/>
                <w:szCs w:val="1"/>
                <w:color w:val="auto"/>
              </w:rPr>
            </w:pPr>
          </w:p>
        </w:tc>
      </w:tr>
      <w:tr>
        <w:trPr>
          <w:trHeight w:val="22"/>
        </w:trPr>
        <w:tc>
          <w:tcPr>
            <w:tcW w:w="4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Change in foreign currency translaton adjustments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(29,034)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11,559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(22,917)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645</w:t>
            </w:r>
          </w:p>
        </w:tc>
        <w:tc>
          <w:tcPr>
            <w:tcW w:w="0" w:type="dxa"/>
            <w:vAlign w:val="bottom"/>
          </w:tcPr>
          <w:p>
            <w:pPr>
              <w:spacing w:after="0"/>
              <w:rPr>
                <w:sz w:val="1"/>
                <w:szCs w:val="1"/>
                <w:color w:val="auto"/>
              </w:rPr>
            </w:pPr>
          </w:p>
        </w:tc>
      </w:tr>
      <w:tr>
        <w:trPr>
          <w:trHeight w:val="177"/>
        </w:trPr>
        <w:tc>
          <w:tcPr>
            <w:tcW w:w="4580" w:type="dxa"/>
            <w:vAlign w:val="bottom"/>
            <w:gridSpan w:val="2"/>
          </w:tcPr>
          <w:p>
            <w:pPr>
              <w:ind w:left="120"/>
              <w:spacing w:after="0" w:line="173" w:lineRule="exact"/>
              <w:rPr>
                <w:sz w:val="20"/>
                <w:szCs w:val="20"/>
                <w:color w:val="auto"/>
              </w:rPr>
            </w:pPr>
            <w:r>
              <w:rPr>
                <w:rFonts w:ascii="Calibri" w:cs="Calibri" w:eastAsia="Calibri" w:hAnsi="Calibri"/>
                <w:sz w:val="15"/>
                <w:szCs w:val="15"/>
                <w:color w:val="auto"/>
              </w:rPr>
              <w:t>Other comprehensive income (loss)</w:t>
            </w: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(29,034)</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11,559</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(22,917)</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645</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120"/>
              <w:spacing w:after="0" w:line="173" w:lineRule="exact"/>
              <w:rPr>
                <w:sz w:val="20"/>
                <w:szCs w:val="20"/>
                <w:color w:val="auto"/>
              </w:rPr>
            </w:pPr>
            <w:r>
              <w:rPr>
                <w:rFonts w:ascii="Calibri" w:cs="Calibri" w:eastAsia="Calibri" w:hAnsi="Calibri"/>
                <w:sz w:val="15"/>
                <w:szCs w:val="15"/>
                <w:color w:val="auto"/>
              </w:rPr>
              <w:t>Comprehensive loss</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(272,454)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(178,196)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(438,913)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(352,592)</w:t>
            </w:r>
          </w:p>
        </w:tc>
        <w:tc>
          <w:tcPr>
            <w:tcW w:w="0" w:type="dxa"/>
            <w:vAlign w:val="bottom"/>
          </w:tcPr>
          <w:p>
            <w:pPr>
              <w:spacing w:after="0"/>
              <w:rPr>
                <w:sz w:val="1"/>
                <w:szCs w:val="1"/>
                <w:color w:val="auto"/>
              </w:rPr>
            </w:pPr>
          </w:p>
        </w:tc>
      </w:tr>
      <w:tr>
        <w:trPr>
          <w:trHeight w:val="32"/>
        </w:trPr>
        <w:tc>
          <w:tcPr>
            <w:tcW w:w="8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1"/>
          <w:szCs w:val="11"/>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7280" w:type="dxa"/>
            <w:vAlign w:val="bottom"/>
            <w:tcBorders>
              <w:top w:val="single" w:sz="8" w:color="auto"/>
            </w:tcBorders>
            <w:gridSpan w:val="2"/>
            <w:vMerge w:val="restart"/>
          </w:tcPr>
          <w:p>
            <w:pPr>
              <w:ind w:left="20"/>
              <w:spacing w:after="0"/>
              <w:rPr>
                <w:sz w:val="20"/>
                <w:szCs w:val="20"/>
                <w:color w:val="auto"/>
              </w:rPr>
            </w:pPr>
            <w:r>
              <w:rPr>
                <w:rFonts w:ascii="Calibri" w:cs="Calibri" w:eastAsia="Calibri" w:hAnsi="Calibri"/>
                <w:sz w:val="24"/>
                <w:szCs w:val="24"/>
                <w:b w:val="1"/>
                <w:bCs w:val="1"/>
                <w:color w:val="auto"/>
              </w:rPr>
              <w:t>CONSOLIDATED BALANCE SHEETS</w:t>
            </w:r>
          </w:p>
        </w:tc>
        <w:tc>
          <w:tcPr>
            <w:tcW w:w="3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4"/>
                <w:szCs w:val="14"/>
                <w:color w:val="auto"/>
              </w:rPr>
              <w:t>(unaudited, in 000s, except</w:t>
            </w:r>
          </w:p>
        </w:tc>
        <w:tc>
          <w:tcPr>
            <w:tcW w:w="0" w:type="dxa"/>
            <w:vAlign w:val="bottom"/>
          </w:tcPr>
          <w:p>
            <w:pPr>
              <w:spacing w:after="0"/>
              <w:rPr>
                <w:sz w:val="1"/>
                <w:szCs w:val="1"/>
                <w:color w:val="auto"/>
              </w:rPr>
            </w:pPr>
          </w:p>
        </w:tc>
      </w:tr>
      <w:tr>
        <w:trPr>
          <w:trHeight w:val="172"/>
        </w:trPr>
        <w:tc>
          <w:tcPr>
            <w:tcW w:w="7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Calibri" w:cs="Calibri" w:eastAsia="Calibri" w:hAnsi="Calibri"/>
                <w:sz w:val="14"/>
                <w:szCs w:val="14"/>
                <w:color w:val="auto"/>
                <w:w w:val="99"/>
              </w:rPr>
              <w:t>share and per share amounts)</w:t>
            </w:r>
          </w:p>
        </w:tc>
        <w:tc>
          <w:tcPr>
            <w:tcW w:w="0" w:type="dxa"/>
            <w:vAlign w:val="bottom"/>
          </w:tcPr>
          <w:p>
            <w:pPr>
              <w:spacing w:after="0"/>
              <w:rPr>
                <w:sz w:val="1"/>
                <w:szCs w:val="1"/>
                <w:color w:val="auto"/>
              </w:rPr>
            </w:pPr>
          </w:p>
        </w:tc>
      </w:tr>
      <w:tr>
        <w:trPr>
          <w:trHeight w:val="34"/>
        </w:trPr>
        <w:tc>
          <w:tcPr>
            <w:tcW w:w="72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2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380" w:type="dxa"/>
            <w:vAlign w:val="bottom"/>
          </w:tcPr>
          <w:p>
            <w:pPr>
              <w:spacing w:after="0"/>
              <w:rPr>
                <w:sz w:val="15"/>
                <w:szCs w:val="15"/>
                <w:color w:val="auto"/>
              </w:rPr>
            </w:pPr>
          </w:p>
        </w:tc>
        <w:tc>
          <w:tcPr>
            <w:tcW w:w="1640" w:type="dxa"/>
            <w:vAlign w:val="bottom"/>
            <w:gridSpan w:val="2"/>
          </w:tcPr>
          <w:p>
            <w:pPr>
              <w:ind w:left="280"/>
              <w:spacing w:after="0" w:line="177" w:lineRule="exact"/>
              <w:rPr>
                <w:sz w:val="20"/>
                <w:szCs w:val="20"/>
                <w:color w:val="auto"/>
              </w:rPr>
            </w:pPr>
            <w:r>
              <w:rPr>
                <w:rFonts w:ascii="Calibri" w:cs="Calibri" w:eastAsia="Calibri" w:hAnsi="Calibri"/>
                <w:sz w:val="15"/>
                <w:szCs w:val="15"/>
                <w:b w:val="1"/>
                <w:bCs w:val="1"/>
                <w:color w:val="auto"/>
              </w:rPr>
              <w:t>December 31, 2024</w:t>
            </w:r>
          </w:p>
        </w:tc>
        <w:tc>
          <w:tcPr>
            <w:tcW w:w="160" w:type="dxa"/>
            <w:vAlign w:val="bottom"/>
          </w:tcPr>
          <w:p>
            <w:pPr>
              <w:spacing w:after="0"/>
              <w:rPr>
                <w:sz w:val="15"/>
                <w:szCs w:val="15"/>
                <w:color w:val="auto"/>
              </w:rPr>
            </w:pPr>
          </w:p>
        </w:tc>
        <w:tc>
          <w:tcPr>
            <w:tcW w:w="174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2024</w:t>
            </w:r>
          </w:p>
        </w:tc>
        <w:tc>
          <w:tcPr>
            <w:tcW w:w="0" w:type="dxa"/>
            <w:vAlign w:val="bottom"/>
          </w:tcPr>
          <w:p>
            <w:pPr>
              <w:spacing w:after="0"/>
              <w:rPr>
                <w:sz w:val="1"/>
                <w:szCs w:val="1"/>
                <w:color w:val="auto"/>
              </w:rPr>
            </w:pP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00" w:type="dxa"/>
            <w:vAlign w:val="bottom"/>
          </w:tcPr>
          <w:p>
            <w:pPr>
              <w:ind w:left="3360"/>
              <w:spacing w:after="0" w:line="177" w:lineRule="exact"/>
              <w:rPr>
                <w:sz w:val="20"/>
                <w:szCs w:val="20"/>
                <w:color w:val="auto"/>
              </w:rPr>
            </w:pPr>
            <w:r>
              <w:rPr>
                <w:rFonts w:ascii="Calibri" w:cs="Calibri" w:eastAsia="Calibri" w:hAnsi="Calibri"/>
                <w:sz w:val="15"/>
                <w:szCs w:val="15"/>
                <w:b w:val="1"/>
                <w:bCs w:val="1"/>
                <w:color w:val="auto"/>
              </w:rPr>
              <w:t>ASSETS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Cash and cash equivalents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320,051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1,053,326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Cash and cash equivalents - restricted</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21,473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21,867</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Receivables, less allowance for credit losses of $20,025 and $61,182</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321,171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69,075</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Prepaid expenses and other current assets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114,658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95,208</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current assets</w:t>
            </w:r>
          </w:p>
        </w:tc>
        <w:tc>
          <w:tcPr>
            <w:tcW w:w="3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777,353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1,239,476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Property and equipment, at cost, less accumulated depreciaton and amortzaton of $849,691 and $838,814</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143,833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131,319</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lease right of use assets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389,629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461,986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Intangible assets, net</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270,601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264,102</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Goodwill</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783,286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785,226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tax assets and income taxes receivable</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281,694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271,658</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noncurrent assets</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65,924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65,043</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assets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2,712,320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3,218,810</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280"/>
              <w:spacing w:after="0" w:line="164" w:lineRule="exact"/>
              <w:rPr>
                <w:sz w:val="20"/>
                <w:szCs w:val="20"/>
                <w:color w:val="auto"/>
              </w:rPr>
            </w:pPr>
            <w:r>
              <w:rPr>
                <w:rFonts w:ascii="Calibri" w:cs="Calibri" w:eastAsia="Calibri" w:hAnsi="Calibri"/>
                <w:sz w:val="15"/>
                <w:szCs w:val="15"/>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LIABILITIES:</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Accounts payable and accrued expenses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136,893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155,830</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Accrued salaries, wages and payroll taxes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64,993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105,548</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Accrued income taxes and reserves for uncertain tax positons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149,255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318,830</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Current porton of long-term debt</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349,611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lease liabilites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170,726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206,070</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revenue and other current liabilites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187,885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191,050</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current liabilites</w:t>
            </w:r>
          </w:p>
        </w:tc>
        <w:tc>
          <w:tcPr>
            <w:tcW w:w="3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1,059,363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977,328</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Long-term debt and line of credit borrowings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1,932,545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1,491,095</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tax liabilites and reserves for uncertain tax positons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292,643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291,063</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Operatng lease liabilites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228,041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265,373</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revenue and other noncurrent liabilites</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72,188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103,357</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liabilites</w:t>
            </w: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3,584,780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3,128,216</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COMMITMENTS AND CONTINGENCIES</w:t>
            </w:r>
          </w:p>
        </w:tc>
        <w:tc>
          <w:tcPr>
            <w:tcW w:w="3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STOCKHOLDERS' EQUITY:</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gridSpan w:val="2"/>
            <w:shd w:val="clear" w:color="auto" w:fill="CCEEFF"/>
          </w:tcPr>
          <w:p>
            <w:pPr>
              <w:ind w:left="100"/>
              <w:spacing w:after="0" w:line="151" w:lineRule="exact"/>
              <w:rPr>
                <w:sz w:val="20"/>
                <w:szCs w:val="20"/>
                <w:color w:val="auto"/>
              </w:rPr>
            </w:pPr>
            <w:r>
              <w:rPr>
                <w:rFonts w:ascii="Calibri" w:cs="Calibri" w:eastAsia="Calibri" w:hAnsi="Calibri"/>
                <w:sz w:val="15"/>
                <w:szCs w:val="15"/>
                <w:color w:val="auto"/>
              </w:rPr>
              <w:t>Common stock, no par, stated value $0.01 per share, 800,000,000 shares authorized, shares issued of</w:t>
            </w:r>
          </w:p>
        </w:tc>
        <w:tc>
          <w:tcPr>
            <w:tcW w:w="3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80" w:type="dxa"/>
            <w:vAlign w:val="bottom"/>
            <w:tcBorders>
              <w:bottom w:val="single" w:sz="8" w:color="CCEEFF"/>
            </w:tcBorders>
            <w:gridSpan w:val="2"/>
            <w:shd w:val="clear" w:color="auto" w:fill="CCEEFF"/>
          </w:tcPr>
          <w:p>
            <w:pPr>
              <w:ind w:left="260"/>
              <w:spacing w:after="0"/>
              <w:rPr>
                <w:sz w:val="20"/>
                <w:szCs w:val="20"/>
                <w:color w:val="auto"/>
              </w:rPr>
            </w:pPr>
            <w:r>
              <w:rPr>
                <w:rFonts w:ascii="Calibri" w:cs="Calibri" w:eastAsia="Calibri" w:hAnsi="Calibri"/>
                <w:sz w:val="15"/>
                <w:szCs w:val="15"/>
                <w:color w:val="auto"/>
              </w:rPr>
              <w:t>164,367,434 and 170,915,771</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1,644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1,709</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Additonal paid-in capital</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752,093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762,583</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Accumulated other comprehensive loss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(71,762)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(48,845)</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Retained earnings (defcit)</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(908,785)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12,654</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Less treasury shares, at cost, of 30,522,962 and 31,324,609</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(645,650)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(637,507)</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stockholders' equity (defciency)</w:t>
            </w: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(872,460)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90,594</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520"/>
              <w:spacing w:after="0" w:line="173" w:lineRule="exact"/>
              <w:rPr>
                <w:sz w:val="20"/>
                <w:szCs w:val="20"/>
                <w:color w:val="auto"/>
              </w:rPr>
            </w:pPr>
            <w:r>
              <w:rPr>
                <w:rFonts w:ascii="Calibri" w:cs="Calibri" w:eastAsia="Calibri" w:hAnsi="Calibri"/>
                <w:sz w:val="15"/>
                <w:szCs w:val="15"/>
                <w:color w:val="auto"/>
              </w:rPr>
              <w:t>Total liabilites and stockholders' equity</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2,712,320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3,218,810</w:t>
            </w:r>
          </w:p>
        </w:tc>
        <w:tc>
          <w:tcPr>
            <w:tcW w:w="0" w:type="dxa"/>
            <w:vAlign w:val="bottom"/>
          </w:tcPr>
          <w:p>
            <w:pPr>
              <w:spacing w:after="0"/>
              <w:rPr>
                <w:sz w:val="1"/>
                <w:szCs w:val="1"/>
                <w:color w:val="auto"/>
              </w:rPr>
            </w:pPr>
          </w:p>
        </w:tc>
      </w:tr>
      <w:tr>
        <w:trPr>
          <w:trHeight w:val="32"/>
        </w:trPr>
        <w:tc>
          <w:tcPr>
            <w:tcW w:w="7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hanging="231"/>
        <w:spacing w:after="0"/>
        <w:tabs>
          <w:tab w:leader="none" w:pos="380" w:val="left"/>
        </w:tabs>
        <w:numPr>
          <w:ilvl w:val="0"/>
          <w:numId w:val="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7280" w:type="dxa"/>
            <w:vAlign w:val="bottom"/>
            <w:tcBorders>
              <w:top w:val="single" w:sz="8" w:color="auto"/>
              <w:bottom w:val="single" w:sz="8" w:color="auto"/>
            </w:tcBorders>
            <w:gridSpan w:val="2"/>
          </w:tcPr>
          <w:p>
            <w:pPr>
              <w:ind w:left="20"/>
              <w:spacing w:after="0"/>
              <w:rPr>
                <w:sz w:val="20"/>
                <w:szCs w:val="20"/>
                <w:color w:val="auto"/>
              </w:rPr>
            </w:pPr>
            <w:r>
              <w:rPr>
                <w:rFonts w:ascii="Calibri" w:cs="Calibri" w:eastAsia="Calibri" w:hAnsi="Calibri"/>
                <w:sz w:val="24"/>
                <w:szCs w:val="24"/>
                <w:b w:val="1"/>
                <w:bCs w:val="1"/>
                <w:color w:val="auto"/>
              </w:rPr>
              <w:t>CONSOLIDATED STATEMENTS OF CASH FLOWS</w:t>
            </w:r>
          </w:p>
        </w:tc>
        <w:tc>
          <w:tcPr>
            <w:tcW w:w="6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(unaudited, in 000s)</w:t>
            </w:r>
          </w:p>
        </w:tc>
      </w:tr>
      <w:tr>
        <w:trPr>
          <w:trHeight w:val="181"/>
        </w:trPr>
        <w:tc>
          <w:tcPr>
            <w:tcW w:w="7280" w:type="dxa"/>
            <w:vAlign w:val="bottom"/>
            <w:gridSpan w:val="2"/>
          </w:tcPr>
          <w:p>
            <w:pPr>
              <w:ind w:left="20"/>
              <w:spacing w:after="0" w:line="181" w:lineRule="exact"/>
              <w:rPr>
                <w:sz w:val="20"/>
                <w:szCs w:val="20"/>
                <w:color w:val="auto"/>
              </w:rPr>
            </w:pPr>
            <w:r>
              <w:rPr>
                <w:rFonts w:ascii="Calibri" w:cs="Calibri" w:eastAsia="Calibri" w:hAnsi="Calibri"/>
                <w:sz w:val="15"/>
                <w:szCs w:val="15"/>
                <w:color w:val="auto"/>
              </w:rPr>
              <w:t>Six months ended December 31,</w:t>
            </w:r>
          </w:p>
        </w:tc>
        <w:tc>
          <w:tcPr>
            <w:tcW w:w="66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line="181" w:lineRule="exact"/>
              <w:rPr>
                <w:sz w:val="20"/>
                <w:szCs w:val="20"/>
                <w:color w:val="auto"/>
              </w:rPr>
            </w:pPr>
            <w:r>
              <w:rPr>
                <w:rFonts w:ascii="Calibri" w:cs="Calibri" w:eastAsia="Calibri" w:hAnsi="Calibri"/>
                <w:sz w:val="15"/>
                <w:szCs w:val="15"/>
                <w:color w:val="auto"/>
              </w:rPr>
              <w:t>2023</w:t>
            </w:r>
          </w:p>
        </w:tc>
      </w:tr>
      <w:tr>
        <w:trPr>
          <w:trHeight w:val="22"/>
        </w:trPr>
        <w:tc>
          <w:tcPr>
            <w:tcW w:w="7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7"/>
        </w:trPr>
        <w:tc>
          <w:tcPr>
            <w:tcW w:w="71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CASH FLOWS FROM OPERATING ACTIVITIES: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Net loss</w:t>
            </w:r>
          </w:p>
        </w:tc>
        <w:tc>
          <w:tcPr>
            <w:tcW w:w="660" w:type="dxa"/>
            <w:vAlign w:val="bottom"/>
            <w:tcBorders>
              <w:bottom w:val="single" w:sz="8" w:color="CCEEFF"/>
            </w:tcBorders>
            <w:shd w:val="clear" w:color="auto" w:fill="CCEEFF"/>
          </w:tcPr>
          <w:p>
            <w:pPr>
              <w:jc w:val="right"/>
              <w:ind w:right="483"/>
              <w:spacing w:after="0"/>
              <w:rPr>
                <w:sz w:val="20"/>
                <w:szCs w:val="20"/>
                <w:color w:val="auto"/>
              </w:rPr>
            </w:pPr>
            <w:r>
              <w:rPr>
                <w:rFonts w:ascii="Calibri" w:cs="Calibri" w:eastAsia="Calibri" w:hAnsi="Calibri"/>
                <w:sz w:val="15"/>
                <w:szCs w:val="15"/>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(415,996)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Calibri" w:cs="Calibri" w:eastAsia="Calibri" w:hAnsi="Calibri"/>
                <w:sz w:val="15"/>
                <w:szCs w:val="15"/>
                <w:color w:val="auto"/>
                <w:w w:val="7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(353,237)</w:t>
            </w:r>
          </w:p>
        </w:tc>
      </w:tr>
      <w:tr>
        <w:trPr>
          <w:trHeight w:val="184"/>
        </w:trPr>
        <w:tc>
          <w:tcPr>
            <w:tcW w:w="7280" w:type="dxa"/>
            <w:vAlign w:val="bottom"/>
            <w:gridSpan w:val="2"/>
          </w:tcPr>
          <w:p>
            <w:pPr>
              <w:ind w:left="240"/>
              <w:spacing w:after="0"/>
              <w:rPr>
                <w:sz w:val="20"/>
                <w:szCs w:val="20"/>
                <w:color w:val="auto"/>
              </w:rPr>
            </w:pPr>
            <w:r>
              <w:rPr>
                <w:rFonts w:ascii="Calibri" w:cs="Calibri" w:eastAsia="Calibri" w:hAnsi="Calibri"/>
                <w:sz w:val="15"/>
                <w:szCs w:val="15"/>
                <w:color w:val="auto"/>
              </w:rPr>
              <w:t>Adjustments to reconcile net loss to net cash used in operatng actvites:</w:t>
            </w: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Depreciaton and amortzaton</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58,026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60,331</w:t>
            </w:r>
          </w:p>
        </w:tc>
      </w:tr>
      <w:tr>
        <w:trPr>
          <w:trHeight w:val="184"/>
        </w:trPr>
        <w:tc>
          <w:tcPr>
            <w:tcW w:w="7280" w:type="dxa"/>
            <w:vAlign w:val="bottom"/>
            <w:gridSpan w:val="2"/>
          </w:tcPr>
          <w:p>
            <w:pPr>
              <w:ind w:left="320"/>
              <w:spacing w:after="0"/>
              <w:rPr>
                <w:sz w:val="20"/>
                <w:szCs w:val="20"/>
                <w:color w:val="auto"/>
              </w:rPr>
            </w:pPr>
            <w:r>
              <w:rPr>
                <w:rFonts w:ascii="Calibri" w:cs="Calibri" w:eastAsia="Calibri" w:hAnsi="Calibri"/>
                <w:sz w:val="15"/>
                <w:szCs w:val="15"/>
                <w:color w:val="auto"/>
              </w:rPr>
              <w:t>Provision for credit losses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20,727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21,536</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Deferred taxes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(1,531)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(35,525)</w:t>
            </w:r>
          </w:p>
        </w:tc>
      </w:tr>
      <w:tr>
        <w:trPr>
          <w:trHeight w:val="184"/>
        </w:trPr>
        <w:tc>
          <w:tcPr>
            <w:tcW w:w="7280" w:type="dxa"/>
            <w:vAlign w:val="bottom"/>
            <w:gridSpan w:val="2"/>
          </w:tcPr>
          <w:p>
            <w:pPr>
              <w:ind w:left="320"/>
              <w:spacing w:after="0"/>
              <w:rPr>
                <w:sz w:val="20"/>
                <w:szCs w:val="20"/>
                <w:color w:val="auto"/>
              </w:rPr>
            </w:pPr>
            <w:r>
              <w:rPr>
                <w:rFonts w:ascii="Calibri" w:cs="Calibri" w:eastAsia="Calibri" w:hAnsi="Calibri"/>
                <w:sz w:val="15"/>
                <w:szCs w:val="15"/>
                <w:color w:val="auto"/>
              </w:rPr>
              <w:t>Stock-based compensaton</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17,945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17,525</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Changes in assets and liabilites, net of acquisitons: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84"/>
        </w:trPr>
        <w:tc>
          <w:tcPr>
            <w:tcW w:w="7280" w:type="dxa"/>
            <w:vAlign w:val="bottom"/>
            <w:gridSpan w:val="2"/>
          </w:tcPr>
          <w:p>
            <w:pPr>
              <w:ind w:left="440"/>
              <w:spacing w:after="0"/>
              <w:rPr>
                <w:sz w:val="20"/>
                <w:szCs w:val="20"/>
                <w:color w:val="auto"/>
              </w:rPr>
            </w:pPr>
            <w:r>
              <w:rPr>
                <w:rFonts w:ascii="Calibri" w:cs="Calibri" w:eastAsia="Calibri" w:hAnsi="Calibri"/>
                <w:sz w:val="15"/>
                <w:szCs w:val="15"/>
                <w:color w:val="auto"/>
              </w:rPr>
              <w:t>Receivables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(262,348)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(348,833)</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Prepaid expenses, other current and noncurrent assets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2,588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(7,395)</w:t>
            </w:r>
          </w:p>
        </w:tc>
      </w:tr>
      <w:tr>
        <w:trPr>
          <w:trHeight w:val="184"/>
        </w:trPr>
        <w:tc>
          <w:tcPr>
            <w:tcW w:w="7280" w:type="dxa"/>
            <w:vAlign w:val="bottom"/>
            <w:gridSpan w:val="2"/>
          </w:tcPr>
          <w:p>
            <w:pPr>
              <w:ind w:left="440"/>
              <w:spacing w:after="0"/>
              <w:rPr>
                <w:sz w:val="20"/>
                <w:szCs w:val="20"/>
                <w:color w:val="auto"/>
              </w:rPr>
            </w:pPr>
            <w:r>
              <w:rPr>
                <w:rFonts w:ascii="Calibri" w:cs="Calibri" w:eastAsia="Calibri" w:hAnsi="Calibri"/>
                <w:sz w:val="15"/>
                <w:szCs w:val="15"/>
                <w:color w:val="auto"/>
              </w:rPr>
              <w:t>Accounts payable, accrued expenses, salaries, wages and payroll taxes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(76,806)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(58,543)</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Deferred revenue, other current and noncurrent liabilites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(45,170)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(58,520)</w:t>
            </w:r>
          </w:p>
        </w:tc>
      </w:tr>
      <w:tr>
        <w:trPr>
          <w:trHeight w:val="184"/>
        </w:trPr>
        <w:tc>
          <w:tcPr>
            <w:tcW w:w="7280" w:type="dxa"/>
            <w:vAlign w:val="bottom"/>
            <w:gridSpan w:val="2"/>
          </w:tcPr>
          <w:p>
            <w:pPr>
              <w:ind w:left="440"/>
              <w:spacing w:after="0"/>
              <w:rPr>
                <w:sz w:val="20"/>
                <w:szCs w:val="20"/>
                <w:color w:val="auto"/>
              </w:rPr>
            </w:pPr>
            <w:r>
              <w:rPr>
                <w:rFonts w:ascii="Calibri" w:cs="Calibri" w:eastAsia="Calibri" w:hAnsi="Calibri"/>
                <w:sz w:val="15"/>
                <w:szCs w:val="15"/>
                <w:color w:val="auto"/>
              </w:rPr>
              <w:t>Income tax receivables, accrued income taxes and income tax reserves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(192,340)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(180,706)</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Other, net</w:t>
            </w:r>
          </w:p>
        </w:tc>
        <w:tc>
          <w:tcPr>
            <w:tcW w:w="6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(733)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1,201</w:t>
            </w:r>
          </w:p>
        </w:tc>
      </w:tr>
      <w:tr>
        <w:trPr>
          <w:trHeight w:val="177"/>
        </w:trPr>
        <w:tc>
          <w:tcPr>
            <w:tcW w:w="7280" w:type="dxa"/>
            <w:vAlign w:val="bottom"/>
            <w:gridSpan w:val="2"/>
          </w:tcPr>
          <w:p>
            <w:pPr>
              <w:ind w:left="520"/>
              <w:spacing w:after="0" w:line="173" w:lineRule="exact"/>
              <w:rPr>
                <w:sz w:val="20"/>
                <w:szCs w:val="20"/>
                <w:color w:val="auto"/>
              </w:rPr>
            </w:pPr>
            <w:r>
              <w:rPr>
                <w:rFonts w:ascii="Calibri" w:cs="Calibri" w:eastAsia="Calibri" w:hAnsi="Calibri"/>
                <w:sz w:val="15"/>
                <w:szCs w:val="15"/>
                <w:color w:val="auto"/>
              </w:rPr>
              <w:t>Net cash used in operatng actvites</w:t>
            </w:r>
          </w:p>
        </w:tc>
        <w:tc>
          <w:tcPr>
            <w:tcW w:w="6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(895,638)</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(942,166)</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CASH FLOWS FROM INVESTING ACTIVITIES:</w:t>
            </w:r>
          </w:p>
        </w:tc>
        <w:tc>
          <w:tcPr>
            <w:tcW w:w="6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Capital expenditures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(49,115)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(32,708)</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made for business acquisitons, net of cash acquired</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(28,017)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(27,158)</w:t>
            </w: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Franchise loans funded</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(17,442)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(15,491)</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from franchisees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971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2,747</w:t>
            </w: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Other, net</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6,110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1,565</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Net cash used in investng actvites</w:t>
            </w:r>
          </w:p>
        </w:tc>
        <w:tc>
          <w:tcPr>
            <w:tcW w:w="6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(87,493)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(71,045)</w:t>
            </w:r>
          </w:p>
        </w:tc>
      </w:tr>
      <w:tr>
        <w:trPr>
          <w:trHeight w:val="164"/>
        </w:trPr>
        <w:tc>
          <w:tcPr>
            <w:tcW w:w="728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CASH FLOWS FROM FINANCING ACTIVITIES:</w:t>
            </w:r>
          </w:p>
        </w:tc>
        <w:tc>
          <w:tcPr>
            <w:tcW w:w="6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Repayments of line of credit borrowings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(25,000)</w:t>
            </w: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Proceeds from line of credit borrowings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890,000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825,000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Dividends paid</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(96,960)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(89,854)</w:t>
            </w: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Repurchase of common stock, including shares surrendered</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(436,233)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(378,709)</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Other, net</w:t>
            </w:r>
          </w:p>
        </w:tc>
        <w:tc>
          <w:tcPr>
            <w:tcW w:w="6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1,791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4,011</w:t>
            </w: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Net cash provided by fnancing actvites</w:t>
            </w:r>
          </w:p>
        </w:tc>
        <w:tc>
          <w:tcPr>
            <w:tcW w:w="6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258,598</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335,448</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Efects of exchange rate changes on cash</w:t>
            </w:r>
          </w:p>
        </w:tc>
        <w:tc>
          <w:tcPr>
            <w:tcW w:w="6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(9,136)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671</w:t>
            </w: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color w:val="auto"/>
              </w:rPr>
              <w:t>Net decrease in cash and cash equivalents, including restricted balances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(733,669)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(677,092)</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cash equivalents and restricted cash, beginning of period</w:t>
            </w:r>
          </w:p>
        </w:tc>
        <w:tc>
          <w:tcPr>
            <w:tcW w:w="6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1,075,193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1,015,316</w:t>
            </w:r>
          </w:p>
        </w:tc>
      </w:tr>
      <w:tr>
        <w:trPr>
          <w:trHeight w:val="177"/>
        </w:trPr>
        <w:tc>
          <w:tcPr>
            <w:tcW w:w="72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Cash, cash equivalents and restricted cash, end of period</w:t>
            </w:r>
          </w:p>
        </w:tc>
        <w:tc>
          <w:tcPr>
            <w:tcW w:w="660" w:type="dxa"/>
            <w:vAlign w:val="bottom"/>
            <w:tcBorders>
              <w:top w:val="single" w:sz="8" w:color="auto"/>
            </w:tcBorders>
          </w:tcPr>
          <w:p>
            <w:pPr>
              <w:jc w:val="right"/>
              <w:ind w:right="48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341,524</w:t>
            </w:r>
          </w:p>
        </w:tc>
        <w:tc>
          <w:tcPr>
            <w:tcW w:w="100" w:type="dxa"/>
            <w:vAlign w:val="bottom"/>
          </w:tcPr>
          <w:p>
            <w:pPr>
              <w:spacing w:after="0"/>
              <w:rPr>
                <w:sz w:val="15"/>
                <w:szCs w:val="15"/>
                <w:color w:val="auto"/>
              </w:rPr>
            </w:pPr>
          </w:p>
        </w:tc>
        <w:tc>
          <w:tcPr>
            <w:tcW w:w="44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w w:val="78"/>
              </w:rPr>
              <w:t>$</w:t>
            </w:r>
          </w:p>
        </w:tc>
        <w:tc>
          <w:tcPr>
            <w:tcW w:w="1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338,224</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SUPPLEMENTARY CASH FLOW DATA:</w:t>
            </w:r>
          </w:p>
        </w:tc>
        <w:tc>
          <w:tcPr>
            <w:tcW w:w="6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Income taxes paid, net (includes payments for purchased investment tax credits)</w:t>
            </w:r>
          </w:p>
        </w:tc>
        <w:tc>
          <w:tcPr>
            <w:tcW w:w="660" w:type="dxa"/>
            <w:vAlign w:val="bottom"/>
          </w:tcPr>
          <w:p>
            <w:pPr>
              <w:jc w:val="right"/>
              <w:ind w:right="483"/>
              <w:spacing w:after="0"/>
              <w:rPr>
                <w:sz w:val="20"/>
                <w:szCs w:val="20"/>
                <w:color w:val="auto"/>
              </w:rPr>
            </w:pPr>
            <w:r>
              <w:rPr>
                <w:rFonts w:ascii="Calibri" w:cs="Calibri" w:eastAsia="Calibri" w:hAnsi="Calibri"/>
                <w:sz w:val="15"/>
                <w:szCs w:val="15"/>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62,290</w:t>
            </w:r>
          </w:p>
        </w:tc>
        <w:tc>
          <w:tcPr>
            <w:tcW w:w="100" w:type="dxa"/>
            <w:vAlign w:val="bottom"/>
          </w:tcPr>
          <w:p>
            <w:pPr>
              <w:spacing w:after="0"/>
              <w:rPr>
                <w:sz w:val="16"/>
                <w:szCs w:val="16"/>
                <w:color w:val="auto"/>
              </w:rPr>
            </w:pPr>
          </w:p>
        </w:tc>
        <w:tc>
          <w:tcPr>
            <w:tcW w:w="440" w:type="dxa"/>
            <w:vAlign w:val="bottom"/>
          </w:tcPr>
          <w:p>
            <w:pPr>
              <w:jc w:val="right"/>
              <w:ind w:right="283"/>
              <w:spacing w:after="0"/>
              <w:rPr>
                <w:sz w:val="20"/>
                <w:szCs w:val="20"/>
                <w:color w:val="auto"/>
              </w:rPr>
            </w:pPr>
            <w:r>
              <w:rPr>
                <w:rFonts w:ascii="Calibri" w:cs="Calibri" w:eastAsia="Calibri" w:hAnsi="Calibri"/>
                <w:sz w:val="15"/>
                <w:szCs w:val="15"/>
                <w:color w:val="auto"/>
                <w:w w:val="78"/>
              </w:rPr>
              <w:t>$</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72,160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Interest paid on borrowings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33,412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35,496</w:t>
            </w: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Accrued additons to property and equipment</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3,798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4,036</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New operatng right of use assets and related lease liabilites</w:t>
            </w:r>
          </w:p>
        </w:tc>
        <w:tc>
          <w:tcPr>
            <w:tcW w:w="6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47,135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70,532</w:t>
            </w: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Accrued dividends payable to common shareholders</w:t>
            </w:r>
          </w:p>
        </w:tc>
        <w:tc>
          <w:tcPr>
            <w:tcW w:w="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50,176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5"/>
                <w:szCs w:val="15"/>
                <w:color w:val="auto"/>
              </w:rPr>
              <w:t>45,273</w:t>
            </w:r>
          </w:p>
        </w:tc>
      </w:tr>
      <w:tr>
        <w:trPr>
          <w:trHeight w:val="54"/>
        </w:trPr>
        <w:tc>
          <w:tcPr>
            <w:tcW w:w="7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r>
      <w:tr>
        <w:trPr>
          <w:trHeight w:val="20"/>
        </w:trPr>
        <w:tc>
          <w:tcPr>
            <w:tcW w:w="7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6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 Q2 FY2025 Form 10-Q</w:t>
      </w:r>
      <w:r>
        <w:rPr>
          <w:sz w:val="20"/>
          <w:szCs w:val="20"/>
          <w:color w:val="auto"/>
        </w:rPr>
        <w:tab/>
      </w:r>
      <w:r>
        <w:rPr>
          <w:rFonts w:ascii="Calibri" w:cs="Calibri" w:eastAsia="Calibri" w:hAnsi="Calibri"/>
          <w:sz w:val="11"/>
          <w:szCs w:val="11"/>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Calibri" w:cs="Calibri" w:eastAsia="Calibri" w:hAnsi="Calibri"/>
          <w:sz w:val="15"/>
          <w:szCs w:val="15"/>
          <w:u w:val="single" w:color="auto"/>
          <w:color w:val="0000FF"/>
        </w:rPr>
        <w:t>Table of Contents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Calibri" w:cs="Calibri" w:eastAsia="Calibri" w:hAnsi="Calibri"/>
          <w:sz w:val="24"/>
          <w:szCs w:val="24"/>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wp:posOffset>
            </wp:positionV>
            <wp:extent cx="7122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-168275</wp:posOffset>
            </wp:positionV>
            <wp:extent cx="7122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3"/>
          <w:szCs w:val="13"/>
          <w:color w:val="auto"/>
        </w:rPr>
        <w:t>(amounts in 000s, except per share amounts)</w:t>
      </w:r>
    </w:p>
    <w:p>
      <w:pPr>
        <w:spacing w:after="0" w:line="142" w:lineRule="exact"/>
        <w:rPr>
          <w:sz w:val="20"/>
          <w:szCs w:val="20"/>
          <w:color w:val="auto"/>
        </w:rPr>
      </w:pPr>
    </w:p>
    <w:p>
      <w:pPr>
        <w:sectPr>
          <w:pgSz w:w="11900" w:h="16838" w:orient="portrait"/>
          <w:cols w:equalWidth="0" w:num="2">
            <w:col w:w="7980" w:space="720"/>
            <w:col w:w="2540"/>
          </w:cols>
          <w:pgMar w:left="320" w:top="226"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Retained</w:t>
            </w:r>
          </w:p>
        </w:tc>
        <w:tc>
          <w:tcPr>
            <w:tcW w:w="1820" w:type="dxa"/>
            <w:vAlign w:val="bottom"/>
            <w:tcBorders>
              <w:bottom w:val="single" w:sz="8" w:color="auto"/>
            </w:tcBorders>
            <w:gridSpan w:val="4"/>
          </w:tcPr>
          <w:p>
            <w:pPr>
              <w:ind w:left="500"/>
              <w:spacing w:after="0"/>
              <w:rPr>
                <w:sz w:val="20"/>
                <w:szCs w:val="20"/>
                <w:color w:val="auto"/>
              </w:rPr>
            </w:pPr>
            <w:r>
              <w:rPr>
                <w:rFonts w:ascii="Calibri" w:cs="Calibri" w:eastAsia="Calibri" w:hAnsi="Calibri"/>
                <w:sz w:val="14"/>
                <w:szCs w:val="14"/>
                <w:color w:val="auto"/>
              </w:rPr>
              <w:t>Treasury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480"/>
              <w:spacing w:after="0"/>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200"/>
              <w:spacing w:after="0" w:line="88" w:lineRule="exact"/>
              <w:rPr>
                <w:sz w:val="20"/>
                <w:szCs w:val="20"/>
                <w:color w:val="auto"/>
              </w:rPr>
            </w:pPr>
            <w:r>
              <w:rPr>
                <w:rFonts w:ascii="Calibri" w:cs="Calibri" w:eastAsia="Calibri" w:hAnsi="Calibri"/>
                <w:sz w:val="9"/>
                <w:szCs w:val="9"/>
                <w:color w:val="auto"/>
              </w:rPr>
              <w:t>Earnings</w:t>
            </w:r>
          </w:p>
        </w:tc>
        <w:tc>
          <w:tcPr>
            <w:tcW w:w="960" w:type="dxa"/>
            <w:vAlign w:val="bottom"/>
            <w:gridSpan w:val="2"/>
            <w:vMerge w:val="restart"/>
          </w:tcPr>
          <w:p>
            <w:pPr>
              <w:ind w:left="500"/>
              <w:spacing w:after="0"/>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7"/>
                <w:szCs w:val="7"/>
                <w:color w:val="auto"/>
              </w:rPr>
            </w:pPr>
          </w:p>
        </w:tc>
        <w:tc>
          <w:tcPr>
            <w:tcW w:w="780" w:type="dxa"/>
            <w:vAlign w:val="bottom"/>
            <w:gridSpan w:val="2"/>
            <w:vMerge w:val="restart"/>
          </w:tcPr>
          <w:p>
            <w:pPr>
              <w:ind w:left="240"/>
              <w:spacing w:after="0"/>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(Defcit)</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2024</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170,916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762,583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(48,845)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12,654</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(31,325)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(637,507)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90,594</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(172,576)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(172,576)</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6,117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6,117</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7,463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7,463</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(23,990)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(2,611)</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1,319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26,848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247</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(567)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(35,882)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(35,882)</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(3,301)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(1,980)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(209,708)</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(211,721)</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$0.375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(52,307)</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(52,307)</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2024</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167,615</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1,676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744,076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(42,728)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(424,548)</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(30,573)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(646,541)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(368,065)</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(243,420)</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(243,420)</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(29,034)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(29,034)</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9,156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9,156</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810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(245)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1,144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1,709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(253)</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(3,248)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(1,949)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(190,396)</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(192,377)</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$0.375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(50,176)</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(50,176)</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2024</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164,367</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1,644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752,093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(71,762)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(908,785)</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(30,523)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(645,650)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(872,460)</w:t>
            </w:r>
          </w:p>
        </w:tc>
        <w:tc>
          <w:tcPr>
            <w:tcW w:w="0" w:type="dxa"/>
            <w:vAlign w:val="bottom"/>
          </w:tcPr>
          <w:p>
            <w:pPr>
              <w:spacing w:after="0"/>
              <w:rPr>
                <w:sz w:val="1"/>
                <w:szCs w:val="1"/>
                <w:color w:val="auto"/>
              </w:rPr>
            </w:pPr>
          </w:p>
        </w:tc>
      </w:tr>
      <w:tr>
        <w:trPr>
          <w:trHeight w:val="59"/>
        </w:trPr>
        <w:tc>
          <w:tcPr>
            <w:tcW w:w="3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hanging="169"/>
        <w:spacing w:after="0"/>
        <w:tabs>
          <w:tab w:leader="none" w:pos="260" w:val="left"/>
        </w:tabs>
        <w:numPr>
          <w:ilvl w:val="0"/>
          <w:numId w:val="5"/>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155575"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00"/>
        <w:spacing w:after="0"/>
        <w:rPr>
          <w:sz w:val="20"/>
          <w:szCs w:val="20"/>
          <w:color w:val="auto"/>
        </w:rPr>
      </w:pPr>
      <w:r>
        <w:rPr>
          <w:rFonts w:ascii="Calibri" w:cs="Calibri" w:eastAsia="Calibri" w:hAnsi="Calibri"/>
          <w:sz w:val="13"/>
          <w:szCs w:val="13"/>
          <w:color w:val="auto"/>
        </w:rPr>
        <w:t>(amounts 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-100330</wp:posOffset>
            </wp:positionV>
            <wp:extent cx="7122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30480</wp:posOffset>
            </wp:positionV>
            <wp:extent cx="7122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Calibri" w:cs="Calibri" w:eastAsia="Calibri" w:hAnsi="Calibri"/>
                <w:sz w:val="14"/>
                <w:szCs w:val="14"/>
                <w:color w:val="auto"/>
              </w:rPr>
              <w:t>Retained</w:t>
            </w:r>
          </w:p>
        </w:tc>
        <w:tc>
          <w:tcPr>
            <w:tcW w:w="1820" w:type="dxa"/>
            <w:vAlign w:val="bottom"/>
            <w:tcBorders>
              <w:bottom w:val="single" w:sz="8" w:color="auto"/>
            </w:tcBorders>
            <w:gridSpan w:val="4"/>
          </w:tcPr>
          <w:p>
            <w:pPr>
              <w:ind w:left="500"/>
              <w:spacing w:after="0"/>
              <w:rPr>
                <w:sz w:val="20"/>
                <w:szCs w:val="20"/>
                <w:color w:val="auto"/>
              </w:rPr>
            </w:pPr>
            <w:r>
              <w:rPr>
                <w:rFonts w:ascii="Calibri" w:cs="Calibri" w:eastAsia="Calibri" w:hAnsi="Calibri"/>
                <w:sz w:val="14"/>
                <w:szCs w:val="14"/>
                <w:color w:val="auto"/>
              </w:rPr>
              <w:t>Treasury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480"/>
              <w:spacing w:after="0"/>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200"/>
              <w:spacing w:after="0" w:line="88" w:lineRule="exact"/>
              <w:rPr>
                <w:sz w:val="20"/>
                <w:szCs w:val="20"/>
                <w:color w:val="auto"/>
              </w:rPr>
            </w:pPr>
            <w:r>
              <w:rPr>
                <w:rFonts w:ascii="Calibri" w:cs="Calibri" w:eastAsia="Calibri" w:hAnsi="Calibri"/>
                <w:sz w:val="9"/>
                <w:szCs w:val="9"/>
                <w:color w:val="auto"/>
              </w:rPr>
              <w:t>Earnings</w:t>
            </w:r>
          </w:p>
        </w:tc>
        <w:tc>
          <w:tcPr>
            <w:tcW w:w="960" w:type="dxa"/>
            <w:vAlign w:val="bottom"/>
            <w:gridSpan w:val="2"/>
            <w:vMerge w:val="restart"/>
          </w:tcPr>
          <w:p>
            <w:pPr>
              <w:ind w:left="500"/>
              <w:spacing w:after="0"/>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7"/>
                <w:szCs w:val="7"/>
                <w:color w:val="auto"/>
              </w:rPr>
            </w:pPr>
          </w:p>
        </w:tc>
        <w:tc>
          <w:tcPr>
            <w:tcW w:w="780" w:type="dxa"/>
            <w:vAlign w:val="bottom"/>
            <w:gridSpan w:val="2"/>
            <w:vMerge w:val="restart"/>
          </w:tcPr>
          <w:p>
            <w:pPr>
              <w:ind w:left="240"/>
              <w:spacing w:after="0"/>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ind w:left="260"/>
              <w:spacing w:after="0" w:line="164" w:lineRule="exact"/>
              <w:rPr>
                <w:sz w:val="20"/>
                <w:szCs w:val="20"/>
                <w:color w:val="auto"/>
              </w:rPr>
            </w:pPr>
            <w:r>
              <w:rPr>
                <w:rFonts w:ascii="Calibri" w:cs="Calibri" w:eastAsia="Calibri" w:hAnsi="Calibri"/>
                <w:sz w:val="14"/>
                <w:szCs w:val="14"/>
                <w:color w:val="auto"/>
              </w:rPr>
              <w:t>(Defcit)</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178,936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1,789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770,376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(37,099)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(48,677)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(32,786)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(654,325)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32,064</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(163,482)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(163,482)</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(10,914)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(10,914)</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6,211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6,211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(34,226)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(3,220)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1,867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37,348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(98)</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(823)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(28,464)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(28,464)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(3,265)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(1,927)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(131,341)</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(133,300)</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(46,901)</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(46,901)</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175,671</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1,757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740,434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(48,013)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(393,621)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(31,742)</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(645,441)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(344,884)</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(189,755)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(189,755)</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11,559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11,559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9,270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9,270</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(46)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7,087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6,876</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(125)</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(4,755)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(2,805)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(217,467)</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(220,320)</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(45,273)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(45,273)</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170,916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1,709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746,734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(36,454)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(846,162)</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(31,397)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(638,479)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(772,652)</w:t>
            </w:r>
          </w:p>
        </w:tc>
        <w:tc>
          <w:tcPr>
            <w:tcW w:w="0" w:type="dxa"/>
            <w:vAlign w:val="bottom"/>
          </w:tcPr>
          <w:p>
            <w:pPr>
              <w:spacing w:after="0"/>
              <w:rPr>
                <w:sz w:val="1"/>
                <w:szCs w:val="1"/>
                <w:color w:val="auto"/>
              </w:rPr>
            </w:pPr>
          </w:p>
        </w:tc>
      </w:tr>
      <w:tr>
        <w:trPr>
          <w:trHeight w:val="59"/>
        </w:trPr>
        <w:tc>
          <w:tcPr>
            <w:tcW w:w="3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780"/>
        <w:spacing w:after="0"/>
        <w:tabs>
          <w:tab w:leader="none" w:pos="1106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-94615</wp:posOffset>
            </wp:positionV>
            <wp:extent cx="16383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83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s>
        <w:rPr>
          <w:sz w:val="20"/>
          <w:szCs w:val="20"/>
          <w:color w:val="auto"/>
        </w:rPr>
      </w:pPr>
      <w:r>
        <w:rPr>
          <w:rFonts w:ascii="Calibri" w:cs="Calibri" w:eastAsia="Calibri" w:hAnsi="Calibri"/>
          <w:sz w:val="24"/>
          <w:szCs w:val="24"/>
          <w:b w:val="1"/>
          <w:bCs w:val="1"/>
          <w:color w:val="14AA40"/>
        </w:rPr>
        <w:t>NOTES TO CONSOLIDATED FINANCIAL STATEMENTS</w:t>
      </w:r>
      <w:r>
        <w:rPr>
          <w:sz w:val="20"/>
          <w:szCs w:val="20"/>
          <w:color w:val="auto"/>
        </w:rPr>
        <w:tab/>
      </w:r>
      <w:r>
        <w:rPr>
          <w:rFonts w:ascii="Calibri" w:cs="Calibri" w:eastAsia="Calibri" w:hAnsi="Calibri"/>
          <w:sz w:val="20"/>
          <w:szCs w:val="20"/>
          <w:color w:val="auto"/>
        </w:rPr>
        <w:t>(unaudited)</w:t>
      </w:r>
    </w:p>
    <w:p>
      <w:pPr>
        <w:spacing w:after="0" w:line="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1: SUMMARY OF SIGNIFICANT ACCOUNTING POLICIES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BASIS OF PRESENTATION </w:t>
      </w:r>
      <w:r>
        <w:rPr>
          <w:rFonts w:ascii="Calibri" w:cs="Calibri" w:eastAsia="Calibri" w:hAnsi="Calibri"/>
          <w:sz w:val="17"/>
          <w:szCs w:val="17"/>
          <w:color w:val="auto"/>
        </w:rPr>
        <w:t>– The consolidated balance sheets as of December 31, 2024 and June 30, 2024, the consolidated statements of operatons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comprehensive loss for the three and six months ended December 31, 2024 and 2023, the consolidated statements of cash fows for the six months ended December 31, 2024 and 2023, and the consolidated statements of stockholders' equity for the three and six months ended December 31, 2024 and 2023 have been prepared by the Company, without audit. In the opinion of management, all adjustments, which include only normal recurring adjustments, necessary to present fairly the fnancial positon, results of operatons, and cash fows as of December 31, 2024 and 2023 and for all periods presented, have been made.</w:t>
      </w:r>
    </w:p>
    <w:p>
      <w:pPr>
        <w:spacing w:after="0" w:line="106"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"H&amp;R Block," "the Company," "we," "our," and "us" are used interchangeably to refer to H&amp;R Block, Inc., to H&amp;R Block, Inc. and its subsidiaries, or to H&amp;R Block, Inc.'s operatng subsidiaries, as appropriate to the context.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Certain informaton and footnote disclosures normally included in fnancial statements prepared in accordance with accountng principles generally accepted in the United States (GAAP) have been condensed or omited. These consolidated fnancial statements should be read in conjuncton with the fnancial statements and notes thereto included in our June 30, 2024 Annual Report on Form 10-K. All amounts presented herein as of June 30, 2024 or for the year then ended are derived from our Annual Report on Form 10-K.</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MANAGEMENT ESTIMATES </w:t>
      </w:r>
      <w:r>
        <w:rPr>
          <w:rFonts w:ascii="Calibri" w:cs="Calibri" w:eastAsia="Calibri" w:hAnsi="Calibri"/>
          <w:sz w:val="17"/>
          <w:szCs w:val="17"/>
          <w:color w:val="auto"/>
        </w:rPr>
        <w:t>– The preparaton of fnancial statements in conformity with GAAP requires management to make estmates and assumptons that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afect the reported amounts of assets and liabilites and disclosure of contngent assets and liabilites at the date of the fnancial statements and the reported amounts of revenues and expenses during the reportng periods. Signifcant estmates, assumptons and judgments are applied in the evaluaton of contngent losses associated with pending claims and litgaton, reserves for uncertain tax positons, and fair value of reportng units. Estmates have been prepared based on the best informaton available as of each balance sheet date. As such, actual results could difer materially from those estmates.</w:t>
      </w:r>
    </w:p>
    <w:p>
      <w:pPr>
        <w:spacing w:after="0" w:line="103"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SEASONALITY OF BUSINESS </w:t>
      </w:r>
      <w:r>
        <w:rPr>
          <w:rFonts w:ascii="Calibri" w:cs="Calibri" w:eastAsia="Calibri" w:hAnsi="Calibri"/>
          <w:sz w:val="17"/>
          <w:szCs w:val="17"/>
          <w:color w:val="auto"/>
        </w:rPr>
        <w:t>– Our operatng revenues are seasonal in nature with peak revenues typically occurring in the months of February through April.</w:t>
      </w:r>
    </w:p>
    <w:p>
      <w:pPr>
        <w:spacing w:after="0" w:line="238" w:lineRule="auto"/>
        <w:rPr>
          <w:sz w:val="20"/>
          <w:szCs w:val="20"/>
          <w:color w:val="auto"/>
        </w:rPr>
      </w:pPr>
      <w:r>
        <w:rPr>
          <w:rFonts w:ascii="Calibri" w:cs="Calibri" w:eastAsia="Calibri" w:hAnsi="Calibri"/>
          <w:sz w:val="17"/>
          <w:szCs w:val="17"/>
          <w:color w:val="auto"/>
        </w:rPr>
        <w:t>Therefore, results for interim periods are not indicatve of results to be expected for the full year.</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b w:val="1"/>
          <w:bCs w:val="1"/>
          <w:color w:val="auto"/>
        </w:rPr>
        <w:t xml:space="preserve">DISCONTINUED OPERATIONS </w:t>
      </w:r>
      <w:r>
        <w:rPr>
          <w:rFonts w:ascii="Calibri" w:cs="Calibri" w:eastAsia="Calibri" w:hAnsi="Calibri"/>
          <w:sz w:val="17"/>
          <w:szCs w:val="17"/>
          <w:color w:val="auto"/>
        </w:rPr>
        <w:t>– Our discontnued operatons include the results of operatons of Sand Canyon Corporaton, previously known as Opton One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Mortgage Corporaton, which exited its mortgage business in fscal year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24"/>
        <w:spacing w:after="0"/>
        <w:tabs>
          <w:tab w:leader="none" w:pos="360" w:val="left"/>
        </w:tabs>
        <w:numPr>
          <w:ilvl w:val="0"/>
          <w:numId w:val="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2: REVENUE RECOGNITION</w:t>
      </w:r>
    </w:p>
    <w:p>
      <w:pPr>
        <w:spacing w:after="0" w:line="112"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The majority of our revenues are from our United States (U.S.) tax services business. The following table disaggregates our U.S. revenues by major service line, with revenues from our internatonal tax services businesses and from Wave included as separate lines: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5"/>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line="177" w:lineRule="exact"/>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5"/>
                <w:szCs w:val="15"/>
                <w:color w:val="auto"/>
              </w:rPr>
            </w:pPr>
          </w:p>
        </w:tc>
        <w:tc>
          <w:tcPr>
            <w:tcW w:w="2320" w:type="dxa"/>
            <w:vAlign w:val="bottom"/>
            <w:gridSpan w:val="3"/>
          </w:tcPr>
          <w:p>
            <w:pPr>
              <w:jc w:val="right"/>
              <w:spacing w:after="0" w:line="177" w:lineRule="exact"/>
              <w:rPr>
                <w:sz w:val="20"/>
                <w:szCs w:val="20"/>
                <w:color w:val="auto"/>
              </w:rPr>
            </w:pPr>
            <w:r>
              <w:rPr>
                <w:rFonts w:ascii="Calibri" w:cs="Calibri" w:eastAsia="Calibri" w:hAnsi="Calibri"/>
                <w:sz w:val="15"/>
                <w:szCs w:val="15"/>
                <w:color w:val="auto"/>
              </w:rPr>
              <w:t>Six months ended December 31,</w:t>
            </w:r>
          </w:p>
        </w:tc>
        <w:tc>
          <w:tcPr>
            <w:tcW w:w="600" w:type="dxa"/>
            <w:vAlign w:val="bottom"/>
          </w:tcPr>
          <w:p>
            <w:pPr>
              <w:spacing w:after="0"/>
              <w:rPr>
                <w:sz w:val="15"/>
                <w:szCs w:val="15"/>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7"/>
        </w:trPr>
        <w:tc>
          <w:tcPr>
            <w:tcW w:w="448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assisted tax preparaton</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48,380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3"/>
              <w:spacing w:after="0"/>
              <w:rPr>
                <w:sz w:val="20"/>
                <w:szCs w:val="20"/>
                <w:color w:val="auto"/>
              </w:rPr>
            </w:pPr>
            <w:r>
              <w:rPr>
                <w:rFonts w:ascii="Calibri" w:cs="Calibri" w:eastAsia="Calibri" w:hAnsi="Calibri"/>
                <w:sz w:val="15"/>
                <w:szCs w:val="15"/>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48,342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91,343</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Calibri" w:cs="Calibri" w:eastAsia="Calibri" w:hAnsi="Calibri"/>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87,605</w:t>
            </w: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U.S. royaltes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3,499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5,454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9,351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11,155</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DIY tax preparaton</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13,744</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13,111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16,980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16,959</w:t>
            </w: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Refund Transfers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637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813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1,497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1,955</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Peace of Mind® Extended Service Plan</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16,145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17,440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39,242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42,287</w:t>
            </w: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Tax Identty Shield®</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4,013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4,694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7,922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9,274</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6"/>
        </w:trPr>
        <w:tc>
          <w:tcPr>
            <w:tcW w:w="45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10,148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11,700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18,974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20,333</w:t>
            </w: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Interest and fee income on Emerald Advance®</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12,308</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15,235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12,308</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15,533</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Internatonal</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31,811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29,569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96,666</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90,134</w:t>
            </w: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Wave</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26,561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23,133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52,964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47,076</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11,824</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9,592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25,633</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20,572</w:t>
            </w:r>
          </w:p>
        </w:tc>
      </w:tr>
      <w:tr>
        <w:trPr>
          <w:trHeight w:val="177"/>
        </w:trPr>
        <w:tc>
          <w:tcPr>
            <w:tcW w:w="4580" w:type="dxa"/>
            <w:vAlign w:val="bottom"/>
            <w:gridSpan w:val="2"/>
          </w:tcPr>
          <w:p>
            <w:pPr>
              <w:ind w:left="220"/>
              <w:spacing w:after="0" w:line="173" w:lineRule="exact"/>
              <w:rPr>
                <w:sz w:val="20"/>
                <w:szCs w:val="20"/>
                <w:color w:val="auto"/>
              </w:rPr>
            </w:pPr>
            <w:r>
              <w:rPr>
                <w:rFonts w:ascii="Calibri" w:cs="Calibri" w:eastAsia="Calibri" w:hAnsi="Calibri"/>
                <w:sz w:val="15"/>
                <w:szCs w:val="15"/>
                <w:color w:val="auto"/>
              </w:rPr>
              <w:t>Total revenues</w:t>
            </w: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179,070</w:t>
            </w: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ind w:right="403"/>
              <w:spacing w:after="0" w:line="177" w:lineRule="exact"/>
              <w:rPr>
                <w:sz w:val="20"/>
                <w:szCs w:val="20"/>
                <w:color w:val="auto"/>
              </w:rPr>
            </w:pPr>
            <w:r>
              <w:rPr>
                <w:rFonts w:ascii="Calibri" w:cs="Calibri" w:eastAsia="Calibri" w:hAnsi="Calibri"/>
                <w:sz w:val="15"/>
                <w:szCs w:val="15"/>
                <w:color w:val="auto"/>
              </w:rPr>
              <w:t>$</w:t>
            </w: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179,083</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372,880</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right"/>
              <w:ind w:right="82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362,883</w:t>
            </w:r>
          </w:p>
        </w:tc>
      </w:tr>
      <w:tr>
        <w:trPr>
          <w:trHeight w:val="59"/>
        </w:trPr>
        <w:tc>
          <w:tcPr>
            <w:tcW w:w="4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0"/>
        </w:trPr>
        <w:tc>
          <w:tcPr>
            <w:tcW w:w="44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Changes in the balances of deferred revenue and wages for our Peace of Mind® Extended Service Plan (POM)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8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48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POM</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color w:val="auto"/>
              </w:rPr>
              <w:t>Deferred Revenue</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Deferred Wages</w:t>
            </w:r>
          </w:p>
        </w:tc>
      </w:tr>
      <w:tr>
        <w:trPr>
          <w:trHeight w:val="22"/>
        </w:trPr>
        <w:tc>
          <w:tcPr>
            <w:tcW w:w="4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7"/>
        </w:trPr>
        <w:tc>
          <w:tcPr>
            <w:tcW w:w="47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4760" w:type="dxa"/>
            <w:vAlign w:val="bottom"/>
          </w:tcPr>
          <w:p>
            <w:pPr>
              <w:ind w:left="20"/>
              <w:spacing w:after="0" w:line="177" w:lineRule="exact"/>
              <w:rPr>
                <w:sz w:val="20"/>
                <w:szCs w:val="20"/>
                <w:color w:val="auto"/>
              </w:rPr>
            </w:pPr>
            <w:r>
              <w:rPr>
                <w:rFonts w:ascii="Calibri" w:cs="Calibri" w:eastAsia="Calibri" w:hAnsi="Calibri"/>
                <w:sz w:val="15"/>
                <w:szCs w:val="15"/>
                <w:color w:val="auto"/>
              </w:rPr>
              <w:t>Balance, beginning of the period</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156,610</w:t>
            </w:r>
          </w:p>
        </w:tc>
        <w:tc>
          <w:tcPr>
            <w:tcW w:w="80" w:type="dxa"/>
            <w:vAlign w:val="bottom"/>
          </w:tcPr>
          <w:p>
            <w:pPr>
              <w:spacing w:after="0"/>
              <w:rPr>
                <w:sz w:val="15"/>
                <w:szCs w:val="15"/>
                <w:color w:val="auto"/>
              </w:rPr>
            </w:pPr>
          </w:p>
        </w:tc>
        <w:tc>
          <w:tcPr>
            <w:tcW w:w="240" w:type="dxa"/>
            <w:vAlign w:val="bottom"/>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167,257</w:t>
            </w:r>
          </w:p>
        </w:tc>
        <w:tc>
          <w:tcPr>
            <w:tcW w:w="80" w:type="dxa"/>
            <w:vAlign w:val="bottom"/>
          </w:tcPr>
          <w:p>
            <w:pPr>
              <w:spacing w:after="0"/>
              <w:rPr>
                <w:sz w:val="15"/>
                <w:szCs w:val="15"/>
                <w:color w:val="auto"/>
              </w:rPr>
            </w:pPr>
          </w:p>
        </w:tc>
        <w:tc>
          <w:tcPr>
            <w:tcW w:w="580" w:type="dxa"/>
            <w:vAlign w:val="bottom"/>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20,212</w:t>
            </w:r>
          </w:p>
        </w:tc>
        <w:tc>
          <w:tcPr>
            <w:tcW w:w="100" w:type="dxa"/>
            <w:vAlign w:val="bottom"/>
          </w:tcPr>
          <w:p>
            <w:pPr>
              <w:spacing w:after="0"/>
              <w:rPr>
                <w:sz w:val="15"/>
                <w:szCs w:val="15"/>
                <w:color w:val="auto"/>
              </w:rPr>
            </w:pPr>
          </w:p>
        </w:tc>
        <w:tc>
          <w:tcPr>
            <w:tcW w:w="300" w:type="dxa"/>
            <w:vAlign w:val="bottom"/>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21,828</w:t>
            </w: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Amounts deferred</w:t>
            </w: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3,209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3,601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w:t>
            </w: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Amounts recognized on previous deferrals</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(46,962)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color w:val="auto"/>
              </w:rPr>
              <w:t>(48,995)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(6,092)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color w:val="auto"/>
              </w:rPr>
              <w:t>(5,590)</w:t>
            </w: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48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 end of the period</w:t>
            </w:r>
          </w:p>
        </w:tc>
        <w:tc>
          <w:tcPr>
            <w:tcW w:w="52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112,857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121,863</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14,135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16,246</w:t>
            </w:r>
          </w:p>
        </w:tc>
      </w:tr>
      <w:tr>
        <w:trPr>
          <w:trHeight w:val="32"/>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December 31, 2024, deferred revenue related to POM was $112.9 million. We expect that $83.0 million will be recognized over the next twelve months, while the remaining balance will be recognized over the following fve years.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December 31, 2024 and 2023, Tax Identty Shield® (TIS) deferred revenue was $14.1 million and $16.5 million, respectvely. Deferred revenue related to TIS was $21.4 million and $25.2 million as of June 30, 2024 and 2023, respectvely. All deferred revenue related to TIS will be recognized by April 2025.</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3: EARNINGS PER SHARE AND STOCKHOLDERS' EQUITY</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EARNINGS PER SHARE </w:t>
      </w:r>
      <w:r>
        <w:rPr>
          <w:rFonts w:ascii="Calibri" w:cs="Calibri" w:eastAsia="Calibri" w:hAnsi="Calibri"/>
          <w:sz w:val="17"/>
          <w:szCs w:val="17"/>
          <w:color w:val="auto"/>
        </w:rPr>
        <w:t>– Basic and diluted earnings (loss) per share is computed using the two-class method. The two-class method is an earnings allocaton formula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determines net income per share for each class of common stock and partcipatng security according to dividends declared and partcipaton rights in undistributed earnings. Per share amounts are computed by dividing net income (loss) from contnuing operatons atributable to common shareholders by the weighted average shares outstanding during each period. Diluted earnings per share excludes the impact of shares of common stock issuable upon the lapse of certain restrictons or the exercise of optons to purchase 2.7 million shares for the three and six months ended December 31, 2024 and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1"/>
          <w:szCs w:val="11"/>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shares for the three and six months ended December 31, 2023, as the efect would be antdilutve due to the net loss from contnuing operatons during the periods.</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The computatons of basic and diluted earnings (loss) per share from contnuing operatons are as follows:</w:t>
      </w:r>
    </w:p>
    <w:p>
      <w:pPr>
        <w:spacing w:after="0" w:line="125"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6"/>
                <w:szCs w:val="16"/>
                <w:color w:val="auto"/>
              </w:rPr>
            </w:pPr>
          </w:p>
        </w:tc>
        <w:tc>
          <w:tcPr>
            <w:tcW w:w="2920" w:type="dxa"/>
            <w:vAlign w:val="bottom"/>
            <w:gridSpan w:val="4"/>
          </w:tcPr>
          <w:p>
            <w:pPr>
              <w:jc w:val="right"/>
              <w:ind w:right="543"/>
              <w:spacing w:after="0"/>
              <w:rPr>
                <w:sz w:val="20"/>
                <w:szCs w:val="20"/>
                <w:color w:val="auto"/>
              </w:rPr>
            </w:pPr>
            <w:r>
              <w:rPr>
                <w:rFonts w:ascii="Calibri" w:cs="Calibri" w:eastAsia="Calibri" w:hAnsi="Calibri"/>
                <w:sz w:val="15"/>
                <w:szCs w:val="15"/>
                <w:color w:val="auto"/>
              </w:rPr>
              <w:t>Six months ended December 31,</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0" w:type="dxa"/>
            <w:vAlign w:val="bottom"/>
          </w:tcPr>
          <w:p>
            <w:pPr>
              <w:spacing w:after="0"/>
              <w:rPr>
                <w:sz w:val="1"/>
                <w:szCs w:val="1"/>
                <w:color w:val="auto"/>
              </w:rPr>
            </w:pPr>
          </w:p>
        </w:tc>
      </w:tr>
      <w:tr>
        <w:trPr>
          <w:trHeight w:val="22"/>
        </w:trPr>
        <w:tc>
          <w:tcPr>
            <w:tcW w:w="4580" w:type="dxa"/>
            <w:vAlign w:val="bottom"/>
            <w:vMerge w:val="restart"/>
          </w:tcPr>
          <w:p>
            <w:pPr>
              <w:ind w:left="20"/>
              <w:spacing w:after="0"/>
              <w:rPr>
                <w:sz w:val="20"/>
                <w:szCs w:val="20"/>
                <w:color w:val="auto"/>
              </w:rPr>
            </w:pPr>
            <w:r>
              <w:rPr>
                <w:rFonts w:ascii="Calibri" w:cs="Calibri" w:eastAsia="Calibri" w:hAnsi="Calibri"/>
                <w:sz w:val="15"/>
                <w:szCs w:val="15"/>
                <w:color w:val="auto"/>
              </w:rPr>
              <w:t>Net loss from contnuing operatons atributable to shareholders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(242,466)</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(189,116)</w:t>
            </w:r>
          </w:p>
        </w:tc>
        <w:tc>
          <w:tcPr>
            <w:tcW w:w="10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(413,887)</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(351,989)</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Amounts allocated to partcipatng securites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(369)</w:t>
            </w:r>
          </w:p>
        </w:tc>
        <w:tc>
          <w:tcPr>
            <w:tcW w:w="0" w:type="dxa"/>
            <w:vAlign w:val="bottom"/>
          </w:tcPr>
          <w:p>
            <w:pPr>
              <w:spacing w:after="0"/>
              <w:rPr>
                <w:sz w:val="1"/>
                <w:szCs w:val="1"/>
                <w:color w:val="auto"/>
              </w:rPr>
            </w:pPr>
          </w:p>
        </w:tc>
      </w:tr>
      <w:tr>
        <w:trPr>
          <w:trHeight w:val="130"/>
        </w:trPr>
        <w:tc>
          <w:tcPr>
            <w:tcW w:w="4580" w:type="dxa"/>
            <w:vAlign w:val="bottom"/>
          </w:tcPr>
          <w:p>
            <w:pPr>
              <w:ind w:left="20"/>
              <w:spacing w:after="0" w:line="131" w:lineRule="exact"/>
              <w:rPr>
                <w:sz w:val="20"/>
                <w:szCs w:val="20"/>
                <w:color w:val="auto"/>
              </w:rPr>
            </w:pPr>
            <w:r>
              <w:rPr>
                <w:rFonts w:ascii="Calibri" w:cs="Calibri" w:eastAsia="Calibri" w:hAnsi="Calibri"/>
                <w:sz w:val="14"/>
                <w:szCs w:val="14"/>
                <w:color w:val="auto"/>
              </w:rPr>
              <w:t>Net loss from contnuing operatons atributable to common</w:t>
            </w: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58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20" w:type="dxa"/>
            <w:vAlign w:val="bottom"/>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(242,706)</w:t>
            </w:r>
          </w:p>
        </w:tc>
        <w:tc>
          <w:tcPr>
            <w:tcW w:w="8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(189,308)</w:t>
            </w:r>
          </w:p>
        </w:tc>
        <w:tc>
          <w:tcPr>
            <w:tcW w:w="10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(414,356)</w:t>
            </w:r>
          </w:p>
        </w:tc>
        <w:tc>
          <w:tcPr>
            <w:tcW w:w="8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(352,358)</w:t>
            </w:r>
          </w:p>
        </w:tc>
        <w:tc>
          <w:tcPr>
            <w:tcW w:w="0" w:type="dxa"/>
            <w:vAlign w:val="bottom"/>
          </w:tcPr>
          <w:p>
            <w:pPr>
              <w:spacing w:after="0"/>
              <w:rPr>
                <w:sz w:val="1"/>
                <w:szCs w:val="1"/>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580" w:type="dxa"/>
            <w:vAlign w:val="bottom"/>
          </w:tcPr>
          <w:p>
            <w:pPr>
              <w:ind w:left="20"/>
              <w:spacing w:after="0"/>
              <w:rPr>
                <w:sz w:val="20"/>
                <w:szCs w:val="20"/>
                <w:color w:val="auto"/>
              </w:rPr>
            </w:pPr>
            <w:r>
              <w:rPr>
                <w:rFonts w:ascii="Calibri" w:cs="Calibri" w:eastAsia="Calibri" w:hAnsi="Calibri"/>
                <w:sz w:val="15"/>
                <w:szCs w:val="15"/>
                <w:color w:val="auto"/>
              </w:rPr>
              <w:t>Basic weighted average common shares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135,563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142,340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137,359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144,307</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Potental dilutve shares</w:t>
            </w: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line="173" w:lineRule="exact"/>
              <w:rPr>
                <w:sz w:val="20"/>
                <w:szCs w:val="20"/>
                <w:color w:val="auto"/>
              </w:rPr>
            </w:pPr>
            <w:r>
              <w:rPr>
                <w:rFonts w:ascii="Calibri" w:cs="Calibri" w:eastAsia="Calibri" w:hAnsi="Calibri"/>
                <w:sz w:val="15"/>
                <w:szCs w:val="15"/>
                <w:color w:val="auto"/>
              </w:rPr>
              <w:t>Dilutve weighted average common shares</w:t>
            </w: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135,563</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142,340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137,359</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144,307</w:t>
            </w: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580" w:type="dxa"/>
            <w:vAlign w:val="bottom"/>
          </w:tcPr>
          <w:p>
            <w:pPr>
              <w:ind w:left="20"/>
              <w:spacing w:after="0" w:line="151" w:lineRule="exact"/>
              <w:rPr>
                <w:sz w:val="20"/>
                <w:szCs w:val="20"/>
                <w:color w:val="auto"/>
              </w:rPr>
            </w:pPr>
            <w:r>
              <w:rPr>
                <w:rFonts w:ascii="Calibri" w:cs="Calibri" w:eastAsia="Calibri" w:hAnsi="Calibri"/>
                <w:sz w:val="15"/>
                <w:szCs w:val="15"/>
                <w:color w:val="auto"/>
              </w:rPr>
              <w:t>Loss per share from contnuing operatons atributable to common</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5"/>
                <w:szCs w:val="15"/>
                <w:color w:val="auto"/>
              </w:rPr>
              <w:t>Basic</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(2.44)</w:t>
            </w:r>
          </w:p>
        </w:tc>
        <w:tc>
          <w:tcPr>
            <w:tcW w:w="0" w:type="dxa"/>
            <w:vAlign w:val="bottom"/>
          </w:tcPr>
          <w:p>
            <w:pPr>
              <w:spacing w:after="0"/>
              <w:rPr>
                <w:sz w:val="1"/>
                <w:szCs w:val="1"/>
                <w:color w:val="auto"/>
              </w:rPr>
            </w:pPr>
          </w:p>
        </w:tc>
      </w:tr>
      <w:tr>
        <w:trPr>
          <w:trHeight w:val="184"/>
        </w:trPr>
        <w:tc>
          <w:tcPr>
            <w:tcW w:w="4580" w:type="dxa"/>
            <w:vAlign w:val="bottom"/>
          </w:tcPr>
          <w:p>
            <w:pPr>
              <w:ind w:left="140"/>
              <w:spacing w:after="0"/>
              <w:rPr>
                <w:sz w:val="20"/>
                <w:szCs w:val="20"/>
                <w:color w:val="auto"/>
              </w:rPr>
            </w:pPr>
            <w:r>
              <w:rPr>
                <w:rFonts w:ascii="Calibri" w:cs="Calibri" w:eastAsia="Calibri" w:hAnsi="Calibri"/>
                <w:sz w:val="15"/>
                <w:szCs w:val="15"/>
                <w:color w:val="auto"/>
              </w:rPr>
              <w:t>Diluted</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(1.79)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(3.02)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(2.44)</w:t>
            </w:r>
          </w:p>
        </w:tc>
        <w:tc>
          <w:tcPr>
            <w:tcW w:w="0" w:type="dxa"/>
            <w:vAlign w:val="bottom"/>
          </w:tcPr>
          <w:p>
            <w:pPr>
              <w:spacing w:after="0"/>
              <w:rPr>
                <w:sz w:val="1"/>
                <w:szCs w:val="1"/>
                <w:color w:val="auto"/>
              </w:rPr>
            </w:pPr>
          </w:p>
        </w:tc>
      </w:tr>
      <w:tr>
        <w:trPr>
          <w:trHeight w:val="54"/>
        </w:trPr>
        <w:tc>
          <w:tcPr>
            <w:tcW w:w="45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decrease in the weighted average shares outstanding is due to share repurchases completed in the current and prior fscal years.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STOCK-BASED COMPENSATION </w:t>
      </w:r>
      <w:r>
        <w:rPr>
          <w:rFonts w:ascii="Calibri" w:cs="Calibri" w:eastAsia="Calibri" w:hAnsi="Calibri"/>
          <w:sz w:val="17"/>
          <w:szCs w:val="17"/>
          <w:color w:val="auto"/>
        </w:rPr>
        <w:t>– We granted 1.1 million and 1.7 million shares, including adjustments for performance achievement and dividend equivalents,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under our stock-based compensaton plans during the six months ended December 31, 2024 and 2023, respectvely. Stock-based compensaton expense of our contnuing operatons totaled $9.2 million and $17.9 million for the three and six months ended December 31, 2024, respectvely, and $9.9 million and $17.5 million for the three and six months ended December 31, 2023, respectvely. As of December 31, 2024, unrecognized compensaton cost for nonvested shares and units totaled $59.5 million.</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4: RECEIVABLES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Receivables, net of their related allowance,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(in 000s)</w:t>
            </w:r>
          </w:p>
        </w:tc>
        <w:tc>
          <w:tcPr>
            <w:tcW w:w="0" w:type="dxa"/>
            <w:vAlign w:val="bottom"/>
          </w:tcPr>
          <w:p>
            <w:pPr>
              <w:spacing w:after="0"/>
              <w:rPr>
                <w:sz w:val="1"/>
                <w:szCs w:val="1"/>
                <w:color w:val="auto"/>
              </w:rPr>
            </w:pPr>
          </w:p>
        </w:tc>
      </w:tr>
      <w:tr>
        <w:trPr>
          <w:trHeight w:val="43"/>
        </w:trPr>
        <w:tc>
          <w:tcPr>
            <w:tcW w:w="48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8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440" w:type="dxa"/>
            <w:vAlign w:val="bottom"/>
          </w:tcPr>
          <w:p>
            <w:pPr>
              <w:spacing w:after="0"/>
              <w:rPr>
                <w:sz w:val="15"/>
                <w:szCs w:val="15"/>
                <w:color w:val="auto"/>
              </w:rPr>
            </w:pPr>
          </w:p>
        </w:tc>
        <w:tc>
          <w:tcPr>
            <w:tcW w:w="1880" w:type="dxa"/>
            <w:vAlign w:val="bottom"/>
            <w:gridSpan w:val="3"/>
          </w:tcPr>
          <w:p>
            <w:pPr>
              <w:jc w:val="right"/>
              <w:ind w:right="63"/>
              <w:spacing w:after="0" w:line="177" w:lineRule="exact"/>
              <w:rPr>
                <w:sz w:val="20"/>
                <w:szCs w:val="20"/>
                <w:color w:val="auto"/>
              </w:rPr>
            </w:pPr>
            <w:r>
              <w:rPr>
                <w:rFonts w:ascii="Calibri" w:cs="Calibri" w:eastAsia="Calibri" w:hAnsi="Calibri"/>
                <w:sz w:val="15"/>
                <w:szCs w:val="15"/>
                <w:b w:val="1"/>
                <w:bCs w:val="1"/>
                <w:color w:val="auto"/>
              </w:rPr>
              <w:t>December 31, 2024</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gridSpan w:val="3"/>
          </w:tcPr>
          <w:p>
            <w:pPr>
              <w:jc w:val="right"/>
              <w:ind w:right="163"/>
              <w:spacing w:after="0" w:line="177" w:lineRule="exact"/>
              <w:rPr>
                <w:sz w:val="20"/>
                <w:szCs w:val="20"/>
                <w:color w:val="auto"/>
              </w:rPr>
            </w:pPr>
            <w:r>
              <w:rPr>
                <w:rFonts w:ascii="Calibri" w:cs="Calibri" w:eastAsia="Calibri" w:hAnsi="Calibri"/>
                <w:sz w:val="15"/>
                <w:szCs w:val="15"/>
                <w:color w:val="auto"/>
              </w:rPr>
              <w:t>June 30, 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360"/>
              <w:spacing w:after="0" w:line="177" w:lineRule="exact"/>
              <w:rPr>
                <w:sz w:val="20"/>
                <w:szCs w:val="20"/>
                <w:color w:val="auto"/>
              </w:rPr>
            </w:pPr>
            <w:r>
              <w:rPr>
                <w:rFonts w:ascii="Calibri" w:cs="Calibri" w:eastAsia="Calibri" w:hAnsi="Calibri"/>
                <w:sz w:val="15"/>
                <w:szCs w:val="15"/>
                <w:color w:val="auto"/>
              </w:rPr>
              <w:t>Short-term</w:t>
            </w:r>
          </w:p>
        </w:tc>
        <w:tc>
          <w:tcPr>
            <w:tcW w:w="7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380"/>
              <w:spacing w:after="0" w:line="177" w:lineRule="exact"/>
              <w:rPr>
                <w:sz w:val="20"/>
                <w:szCs w:val="20"/>
                <w:color w:val="auto"/>
              </w:rPr>
            </w:pPr>
            <w:r>
              <w:rPr>
                <w:rFonts w:ascii="Calibri" w:cs="Calibri" w:eastAsia="Calibri" w:hAnsi="Calibri"/>
                <w:sz w:val="15"/>
                <w:szCs w:val="15"/>
                <w:color w:val="auto"/>
              </w:rPr>
              <w:t>Short-term</w:t>
            </w:r>
          </w:p>
        </w:tc>
        <w:tc>
          <w:tcPr>
            <w:tcW w:w="6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0" w:type="dxa"/>
            <w:vAlign w:val="bottom"/>
          </w:tcPr>
          <w:p>
            <w:pPr>
              <w:spacing w:after="0"/>
              <w:rPr>
                <w:sz w:val="1"/>
                <w:szCs w:val="1"/>
                <w:color w:val="auto"/>
              </w:rPr>
            </w:pPr>
          </w:p>
        </w:tc>
      </w:tr>
      <w:tr>
        <w:trPr>
          <w:trHeight w:val="22"/>
        </w:trPr>
        <w:tc>
          <w:tcPr>
            <w:tcW w:w="4860" w:type="dxa"/>
            <w:vAlign w:val="bottom"/>
            <w:gridSpan w:val="2"/>
            <w:vMerge w:val="restart"/>
          </w:tcPr>
          <w:p>
            <w:pPr>
              <w:ind w:left="20"/>
              <w:spacing w:after="0"/>
              <w:rPr>
                <w:sz w:val="20"/>
                <w:szCs w:val="20"/>
                <w:color w:val="auto"/>
              </w:rPr>
            </w:pPr>
            <w:r>
              <w:rPr>
                <w:rFonts w:ascii="Calibri" w:cs="Calibri" w:eastAsia="Calibri" w:hAnsi="Calibri"/>
                <w:sz w:val="15"/>
                <w:szCs w:val="15"/>
                <w:color w:val="auto"/>
              </w:rPr>
              <w:t>Loans to franchisees</w:t>
            </w: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860" w:type="dxa"/>
            <w:vAlign w:val="bottom"/>
            <w:gridSpan w:val="2"/>
            <w:vMerge w:val="continue"/>
          </w:tcPr>
          <w:p>
            <w:pPr>
              <w:spacing w:after="0"/>
              <w:rPr>
                <w:sz w:val="15"/>
                <w:szCs w:val="15"/>
                <w:color w:val="auto"/>
              </w:rPr>
            </w:pPr>
          </w:p>
        </w:tc>
        <w:tc>
          <w:tcPr>
            <w:tcW w:w="440" w:type="dxa"/>
            <w:vAlign w:val="bottom"/>
          </w:tcPr>
          <w:p>
            <w:pPr>
              <w:jc w:val="right"/>
              <w:ind w:right="283"/>
              <w:spacing w:after="0" w:line="177" w:lineRule="exact"/>
              <w:rPr>
                <w:sz w:val="20"/>
                <w:szCs w:val="20"/>
                <w:color w:val="auto"/>
              </w:rPr>
            </w:pPr>
            <w:r>
              <w:rPr>
                <w:rFonts w:ascii="Calibri" w:cs="Calibri" w:eastAsia="Calibri" w:hAnsi="Calibri"/>
                <w:sz w:val="15"/>
                <w:szCs w:val="15"/>
                <w:b w:val="1"/>
                <w:bCs w:val="1"/>
                <w:color w:val="auto"/>
                <w:w w:val="78"/>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19,764</w:t>
            </w:r>
          </w:p>
        </w:tc>
        <w:tc>
          <w:tcPr>
            <w:tcW w:w="80" w:type="dxa"/>
            <w:vAlign w:val="bottom"/>
          </w:tcPr>
          <w:p>
            <w:pPr>
              <w:spacing w:after="0"/>
              <w:rPr>
                <w:sz w:val="15"/>
                <w:szCs w:val="15"/>
                <w:color w:val="auto"/>
              </w:rPr>
            </w:pPr>
          </w:p>
        </w:tc>
        <w:tc>
          <w:tcPr>
            <w:tcW w:w="720" w:type="dxa"/>
            <w:vAlign w:val="bottom"/>
          </w:tcPr>
          <w:p>
            <w:pPr>
              <w:jc w:val="right"/>
              <w:ind w:right="543"/>
              <w:spacing w:after="0" w:line="177" w:lineRule="exact"/>
              <w:rPr>
                <w:sz w:val="20"/>
                <w:szCs w:val="20"/>
                <w:color w:val="auto"/>
              </w:rPr>
            </w:pPr>
            <w:r>
              <w:rPr>
                <w:rFonts w:ascii="Calibri" w:cs="Calibri" w:eastAsia="Calibri" w:hAnsi="Calibri"/>
                <w:sz w:val="15"/>
                <w:szCs w:val="15"/>
                <w:b w:val="1"/>
                <w:bCs w:val="1"/>
                <w:color w:val="auto"/>
              </w:rPr>
              <w:t>$</w:t>
            </w:r>
          </w:p>
        </w:tc>
        <w:tc>
          <w:tcPr>
            <w:tcW w:w="8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20,861</w:t>
            </w:r>
          </w:p>
        </w:tc>
        <w:tc>
          <w:tcPr>
            <w:tcW w:w="80" w:type="dxa"/>
            <w:vAlign w:val="bottom"/>
          </w:tcPr>
          <w:p>
            <w:pPr>
              <w:spacing w:after="0"/>
              <w:rPr>
                <w:sz w:val="15"/>
                <w:szCs w:val="15"/>
                <w:color w:val="auto"/>
              </w:rPr>
            </w:pPr>
          </w:p>
        </w:tc>
        <w:tc>
          <w:tcPr>
            <w:tcW w:w="460" w:type="dxa"/>
            <w:vAlign w:val="bottom"/>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5,917</w:t>
            </w:r>
          </w:p>
        </w:tc>
        <w:tc>
          <w:tcPr>
            <w:tcW w:w="100" w:type="dxa"/>
            <w:vAlign w:val="bottom"/>
          </w:tcPr>
          <w:p>
            <w:pPr>
              <w:spacing w:after="0"/>
              <w:rPr>
                <w:sz w:val="15"/>
                <w:szCs w:val="15"/>
                <w:color w:val="auto"/>
              </w:rPr>
            </w:pPr>
          </w:p>
        </w:tc>
        <w:tc>
          <w:tcPr>
            <w:tcW w:w="620" w:type="dxa"/>
            <w:vAlign w:val="bottom"/>
          </w:tcPr>
          <w:p>
            <w:pPr>
              <w:jc w:val="right"/>
              <w:ind w:right="463"/>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16,498</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Receivables for U.S. assisted and DIY tax preparaton and related fees</w:t>
            </w: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9,823</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5,440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18,440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5,332</w:t>
            </w:r>
          </w:p>
        </w:tc>
        <w:tc>
          <w:tcPr>
            <w:tcW w:w="0" w:type="dxa"/>
            <w:vAlign w:val="bottom"/>
          </w:tcPr>
          <w:p>
            <w:pPr>
              <w:spacing w:after="0"/>
              <w:rPr>
                <w:sz w:val="1"/>
                <w:szCs w:val="1"/>
                <w:color w:val="auto"/>
              </w:rPr>
            </w:pP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H&amp;R Block's Instant Refund® receivables</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b w:val="1"/>
                <w:bCs w:val="1"/>
                <w:color w:val="auto"/>
              </w:rPr>
              <w:t>1,375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b w:val="1"/>
                <w:bCs w:val="1"/>
                <w:color w:val="auto"/>
              </w:rPr>
              <w:t>184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2,947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207</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Emerald Advance®</w:t>
            </w: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266,110</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23,643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17,867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21,360</w:t>
            </w:r>
          </w:p>
        </w:tc>
        <w:tc>
          <w:tcPr>
            <w:tcW w:w="0" w:type="dxa"/>
            <w:vAlign w:val="bottom"/>
          </w:tcPr>
          <w:p>
            <w:pPr>
              <w:spacing w:after="0"/>
              <w:rPr>
                <w:sz w:val="1"/>
                <w:szCs w:val="1"/>
                <w:color w:val="auto"/>
              </w:rPr>
            </w:pP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Sofware receivables from retailers</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b w:val="1"/>
                <w:bCs w:val="1"/>
                <w:color w:val="auto"/>
              </w:rPr>
              <w:t>2,073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1,029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Royaltes and other receivables from franchisees</w:t>
            </w: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6,955</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5,808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Wave payment processing receivables</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b w:val="1"/>
                <w:bCs w:val="1"/>
                <w:color w:val="auto"/>
              </w:rPr>
              <w:t>693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1,078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14,378</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659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15,989</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427</w:t>
            </w:r>
          </w:p>
        </w:tc>
        <w:tc>
          <w:tcPr>
            <w:tcW w:w="0" w:type="dxa"/>
            <w:vAlign w:val="bottom"/>
          </w:tcPr>
          <w:p>
            <w:pPr>
              <w:spacing w:after="0"/>
              <w:rPr>
                <w:sz w:val="1"/>
                <w:szCs w:val="1"/>
                <w:color w:val="auto"/>
              </w:rPr>
            </w:pPr>
          </w:p>
        </w:tc>
      </w:tr>
      <w:tr>
        <w:trPr>
          <w:trHeight w:val="177"/>
        </w:trPr>
        <w:tc>
          <w:tcPr>
            <w:tcW w:w="48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Total</w:t>
            </w:r>
          </w:p>
        </w:tc>
        <w:tc>
          <w:tcPr>
            <w:tcW w:w="44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b w:val="1"/>
                <w:bCs w:val="1"/>
                <w:color w:val="auto"/>
                <w:w w:val="78"/>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321,171</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543"/>
              <w:spacing w:after="0" w:line="177"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50,787</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69,075</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463"/>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43,824</w:t>
            </w:r>
          </w:p>
        </w:tc>
        <w:tc>
          <w:tcPr>
            <w:tcW w:w="0" w:type="dxa"/>
            <w:vAlign w:val="bottom"/>
          </w:tcPr>
          <w:p>
            <w:pPr>
              <w:spacing w:after="0"/>
              <w:rPr>
                <w:sz w:val="1"/>
                <w:szCs w:val="1"/>
                <w:color w:val="auto"/>
              </w:rPr>
            </w:pPr>
          </w:p>
        </w:tc>
      </w:tr>
      <w:tr>
        <w:trPr>
          <w:trHeight w:val="59"/>
        </w:trPr>
        <w:tc>
          <w:tcPr>
            <w:tcW w:w="4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hanging="224"/>
        <w:spacing w:after="0"/>
        <w:tabs>
          <w:tab w:leader="none" w:pos="360" w:val="left"/>
        </w:tabs>
        <w:numPr>
          <w:ilvl w:val="0"/>
          <w:numId w:val="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Balances presented above as short-term are included in receivables, while the long-term portons are included in other noncurrent assets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LOANS TO FRANCHISEES </w:t>
      </w:r>
      <w:r>
        <w:rPr>
          <w:rFonts w:ascii="Calibri" w:cs="Calibri" w:eastAsia="Calibri" w:hAnsi="Calibri"/>
          <w:sz w:val="17"/>
          <w:szCs w:val="17"/>
          <w:color w:val="auto"/>
        </w:rPr>
        <w:t>– Franchisee loan balances consist of term loans made primarily to fnance the purchase of franchises and revolving lines of credit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primarily for the purpose of funding working capital needs. As of December 31, 2024 and June 30, 2024, loans with a principal balance more than 90 days past due or on non-accrual status were $2.2 million and $1.1 million, respectvely.</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b w:val="1"/>
          <w:bCs w:val="1"/>
          <w:color w:val="auto"/>
        </w:rPr>
        <w:t>H&amp;R BLOCK'S INSTANT REFUND</w:t>
      </w:r>
      <w:r>
        <w:rPr>
          <w:rFonts w:ascii="Calibri" w:cs="Calibri" w:eastAsia="Calibri" w:hAnsi="Calibri"/>
          <w:sz w:val="17"/>
          <w:szCs w:val="17"/>
          <w:color w:val="auto"/>
        </w:rPr>
        <w:t>® – H&amp;R Block's Instant Refund® amounts are generally received from the Canada Revenue Agency within 60 days of fling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client's return, with the remaining balance collectble from the client.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review the credit quality of our Instant Refund receivables based on pools, which are segregated by the tax return year of originaton, with older years being deemed more unlikely to be repaid. We establish an allowance for credit losses at an amount that we believe refects the receivable at net realizable value. In December of each year, we charge-of the receivables and the related allowance to an amount we believe represents the net realizable value.</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tax return year of originaton, as of December 31, 2024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77"/>
        </w:trPr>
        <w:tc>
          <w:tcPr>
            <w:tcW w:w="73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Tax return year of originaton</w:t>
            </w:r>
          </w:p>
        </w:tc>
        <w:tc>
          <w:tcPr>
            <w:tcW w:w="74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spacing w:after="0" w:line="177" w:lineRule="exact"/>
              <w:rPr>
                <w:sz w:val="20"/>
                <w:szCs w:val="20"/>
                <w:color w:val="auto"/>
              </w:rPr>
            </w:pPr>
            <w:r>
              <w:rPr>
                <w:rFonts w:ascii="Calibri" w:cs="Calibri" w:eastAsia="Calibri" w:hAnsi="Calibri"/>
                <w:sz w:val="15"/>
                <w:szCs w:val="15"/>
                <w:color w:val="auto"/>
              </w:rPr>
              <w:t>More Than 60 Days Past Due</w:t>
            </w: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7"/>
        </w:trPr>
        <w:tc>
          <w:tcPr>
            <w:tcW w:w="722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83"/>
              <w:spacing w:after="0" w:line="177" w:lineRule="exact"/>
              <w:rPr>
                <w:sz w:val="20"/>
                <w:szCs w:val="20"/>
                <w:color w:val="auto"/>
              </w:rPr>
            </w:pPr>
            <w:r>
              <w:rPr>
                <w:rFonts w:ascii="Calibri" w:cs="Calibri" w:eastAsia="Calibri" w:hAnsi="Calibri"/>
                <w:sz w:val="15"/>
                <w:szCs w:val="15"/>
                <w:b w:val="1"/>
                <w:bCs w:val="1"/>
                <w:color w:val="auto"/>
                <w:w w:val="78"/>
              </w:rPr>
              <w:t>$</w:t>
            </w:r>
          </w:p>
        </w:tc>
        <w:tc>
          <w:tcPr>
            <w:tcW w:w="1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316</w:t>
            </w: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6"/>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2022 and prior</w:t>
            </w:r>
          </w:p>
        </w:tc>
        <w:tc>
          <w:tcPr>
            <w:tcW w:w="7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1,184</w:t>
            </w:r>
          </w:p>
        </w:tc>
      </w:tr>
      <w:tr>
        <w:trPr>
          <w:trHeight w:val="177"/>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1,559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1,500</w:t>
            </w:r>
          </w:p>
        </w:tc>
      </w:tr>
      <w:tr>
        <w:trPr>
          <w:trHeight w:val="22"/>
        </w:trPr>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6"/>
        </w:trPr>
        <w:tc>
          <w:tcPr>
            <w:tcW w:w="73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r>
      <w:tr>
        <w:trPr>
          <w:trHeight w:val="177"/>
        </w:trPr>
        <w:tc>
          <w:tcPr>
            <w:tcW w:w="73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740" w:type="dxa"/>
            <w:vAlign w:val="bottom"/>
            <w:tcBorders>
              <w:top w:val="single" w:sz="8" w:color="auto"/>
            </w:tcBorders>
          </w:tcPr>
          <w:p>
            <w:pPr>
              <w:jc w:val="right"/>
              <w:ind w:right="583"/>
              <w:spacing w:after="0" w:line="177" w:lineRule="exact"/>
              <w:rPr>
                <w:sz w:val="20"/>
                <w:szCs w:val="20"/>
                <w:color w:val="auto"/>
              </w:rPr>
            </w:pPr>
            <w:r>
              <w:rPr>
                <w:rFonts w:ascii="Calibri" w:cs="Calibri" w:eastAsia="Calibri" w:hAnsi="Calibri"/>
                <w:sz w:val="15"/>
                <w:szCs w:val="15"/>
                <w:b w:val="1"/>
                <w:bCs w:val="1"/>
                <w:color w:val="auto"/>
                <w:w w:val="78"/>
              </w:rPr>
              <w:t>$</w:t>
            </w:r>
          </w:p>
        </w:tc>
        <w:tc>
          <w:tcPr>
            <w:tcW w:w="1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1,559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59"/>
        </w:trPr>
        <w:tc>
          <w:tcPr>
            <w:tcW w:w="7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r>
      <w:tr>
        <w:trPr>
          <w:trHeight w:val="20"/>
        </w:trPr>
        <w:tc>
          <w:tcPr>
            <w:tcW w:w="7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20" w:type="dxa"/>
            <w:vAlign w:val="bottom"/>
            <w:tcBorders>
              <w:top w:val="single" w:sz="8" w:color="CCEEFF"/>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EMERALD ADVANCE</w:t>
      </w:r>
      <w:r>
        <w:rPr>
          <w:rFonts w:ascii="Calibri" w:cs="Calibri" w:eastAsia="Calibri" w:hAnsi="Calibri"/>
          <w:sz w:val="17"/>
          <w:szCs w:val="17"/>
          <w:color w:val="auto"/>
        </w:rPr>
        <w:t>® – We review the credit quality of our purchased partcipaton interests in Emerald Advance® (EA) receivables based on pools, which are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segregated by the fscal year of originaton, with older years being deemed more unlikely to be repaid. We establish an allowance for credit losses at an amount that we believe refects the receivable at net realizable value. Typically, in December of each year, we charge-of the receivables and the related allowance for EAs to an amount we believe represents the net realizable value.</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fscal year of originaton, as of December 31, 2024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32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7"/>
        </w:trPr>
        <w:tc>
          <w:tcPr>
            <w:tcW w:w="73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Fiscal year of originaton</w:t>
            </w:r>
          </w:p>
        </w:tc>
        <w:tc>
          <w:tcPr>
            <w:tcW w:w="72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Non-Accrual</w:t>
            </w: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722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2025</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w w:val="78"/>
              </w:rPr>
              <w:t>$</w:t>
            </w: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270,393</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4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6"/>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2024 and prior</w:t>
            </w:r>
          </w:p>
        </w:tc>
        <w:tc>
          <w:tcPr>
            <w:tcW w:w="7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38,469</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38,469</w:t>
            </w:r>
          </w:p>
        </w:tc>
      </w:tr>
      <w:tr>
        <w:trPr>
          <w:trHeight w:val="177"/>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308,862</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4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38,469</w:t>
            </w:r>
          </w:p>
        </w:tc>
      </w:tr>
      <w:tr>
        <w:trPr>
          <w:trHeight w:val="22"/>
        </w:trPr>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73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7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(19,109)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77"/>
        </w:trPr>
        <w:tc>
          <w:tcPr>
            <w:tcW w:w="73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72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w w:val="78"/>
              </w:rPr>
              <w:t>$</w:t>
            </w: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289,753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9"/>
        </w:trPr>
        <w:tc>
          <w:tcPr>
            <w:tcW w:w="7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r>
      <w:tr>
        <w:trPr>
          <w:trHeight w:val="20"/>
        </w:trPr>
        <w:tc>
          <w:tcPr>
            <w:tcW w:w="7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1"/>
          <w:szCs w:val="11"/>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ALLOWANCE FOR CREDIT LOSSES </w:t>
      </w:r>
      <w:r>
        <w:rPr>
          <w:rFonts w:ascii="Calibri" w:cs="Calibri" w:eastAsia="Calibri" w:hAnsi="Calibri"/>
          <w:sz w:val="17"/>
          <w:szCs w:val="17"/>
          <w:color w:val="auto"/>
        </w:rPr>
        <w:t>– Actvity in the allowance for credit losses for EA and all other short-term and long-term receivables for the six months ended</w:t>
      </w:r>
    </w:p>
    <w:p>
      <w:pPr>
        <w:spacing w:after="0" w:line="238" w:lineRule="auto"/>
        <w:rPr>
          <w:sz w:val="20"/>
          <w:szCs w:val="20"/>
          <w:color w:val="auto"/>
        </w:rPr>
      </w:pPr>
      <w:r>
        <w:rPr>
          <w:rFonts w:ascii="Calibri" w:cs="Calibri" w:eastAsia="Calibri" w:hAnsi="Calibri"/>
          <w:sz w:val="17"/>
          <w:szCs w:val="17"/>
          <w:color w:val="auto"/>
        </w:rPr>
        <w:t>December 31, 2024 and 2023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7"/>
        </w:trPr>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gridSpan w:val="2"/>
          </w:tcPr>
          <w:p>
            <w:pPr>
              <w:ind w:left="940"/>
              <w:spacing w:after="0" w:line="177" w:lineRule="exact"/>
              <w:rPr>
                <w:sz w:val="20"/>
                <w:szCs w:val="20"/>
                <w:color w:val="auto"/>
              </w:rPr>
            </w:pPr>
            <w:r>
              <w:rPr>
                <w:rFonts w:ascii="Calibri" w:cs="Calibri" w:eastAsia="Calibri" w:hAnsi="Calibri"/>
                <w:sz w:val="15"/>
                <w:szCs w:val="15"/>
                <w:color w:val="auto"/>
              </w:rPr>
              <w:t>EAs</w:t>
            </w:r>
          </w:p>
        </w:tc>
        <w:tc>
          <w:tcPr>
            <w:tcW w:w="720" w:type="dxa"/>
            <w:vAlign w:val="bottom"/>
          </w:tcPr>
          <w:p>
            <w:pPr>
              <w:spacing w:after="0"/>
              <w:rPr>
                <w:sz w:val="15"/>
                <w:szCs w:val="15"/>
                <w:color w:val="auto"/>
              </w:rPr>
            </w:pPr>
          </w:p>
        </w:tc>
        <w:tc>
          <w:tcPr>
            <w:tcW w:w="1280" w:type="dxa"/>
            <w:vAlign w:val="bottom"/>
            <w:gridSpan w:val="2"/>
          </w:tcPr>
          <w:p>
            <w:pPr>
              <w:ind w:left="620"/>
              <w:spacing w:after="0" w:line="177" w:lineRule="exact"/>
              <w:rPr>
                <w:sz w:val="20"/>
                <w:szCs w:val="20"/>
                <w:color w:val="auto"/>
              </w:rPr>
            </w:pPr>
            <w:r>
              <w:rPr>
                <w:rFonts w:ascii="Calibri" w:cs="Calibri" w:eastAsia="Calibri" w:hAnsi="Calibri"/>
                <w:sz w:val="15"/>
                <w:szCs w:val="15"/>
                <w:color w:val="auto"/>
              </w:rPr>
              <w:t>All Other</w:t>
            </w:r>
          </w:p>
        </w:tc>
        <w:tc>
          <w:tcPr>
            <w:tcW w:w="74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Calibri" w:cs="Calibri" w:eastAsia="Calibri" w:hAnsi="Calibri"/>
                <w:sz w:val="15"/>
                <w:szCs w:val="15"/>
                <w:color w:val="auto"/>
              </w:rPr>
              <w:t>Total</w:t>
            </w:r>
          </w:p>
        </w:tc>
      </w:tr>
      <w:tr>
        <w:trPr>
          <w:trHeight w:val="22"/>
        </w:trPr>
        <w:tc>
          <w:tcPr>
            <w:tcW w:w="5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522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2024</w:t>
            </w:r>
          </w:p>
        </w:tc>
        <w:tc>
          <w:tcPr>
            <w:tcW w:w="80" w:type="dxa"/>
            <w:vAlign w:val="bottom"/>
          </w:tcPr>
          <w:p>
            <w:pPr>
              <w:spacing w:after="0"/>
              <w:rPr>
                <w:sz w:val="15"/>
                <w:szCs w:val="15"/>
                <w:color w:val="auto"/>
              </w:rPr>
            </w:pPr>
          </w:p>
        </w:tc>
        <w:tc>
          <w:tcPr>
            <w:tcW w:w="740" w:type="dxa"/>
            <w:vAlign w:val="bottom"/>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Pr>
          <w:p>
            <w:pPr>
              <w:jc w:val="center"/>
              <w:ind w:left="563"/>
              <w:spacing w:after="0" w:line="177" w:lineRule="exact"/>
              <w:rPr>
                <w:sz w:val="20"/>
                <w:szCs w:val="20"/>
                <w:color w:val="auto"/>
              </w:rPr>
            </w:pPr>
            <w:r>
              <w:rPr>
                <w:rFonts w:ascii="Calibri" w:cs="Calibri" w:eastAsia="Calibri" w:hAnsi="Calibri"/>
                <w:sz w:val="15"/>
                <w:szCs w:val="15"/>
                <w:b w:val="1"/>
                <w:bCs w:val="1"/>
                <w:color w:val="auto"/>
              </w:rPr>
              <w:t>33,536</w:t>
            </w:r>
          </w:p>
        </w:tc>
        <w:tc>
          <w:tcPr>
            <w:tcW w:w="100" w:type="dxa"/>
            <w:vAlign w:val="bottom"/>
          </w:tcPr>
          <w:p>
            <w:pPr>
              <w:spacing w:after="0"/>
              <w:rPr>
                <w:sz w:val="15"/>
                <w:szCs w:val="15"/>
                <w:color w:val="auto"/>
              </w:rPr>
            </w:pPr>
          </w:p>
        </w:tc>
        <w:tc>
          <w:tcPr>
            <w:tcW w:w="720" w:type="dxa"/>
            <w:vAlign w:val="bottom"/>
          </w:tcPr>
          <w:p>
            <w:pPr>
              <w:jc w:val="right"/>
              <w:ind w:right="563"/>
              <w:spacing w:after="0" w:line="177" w:lineRule="exact"/>
              <w:rPr>
                <w:sz w:val="20"/>
                <w:szCs w:val="20"/>
                <w:color w:val="auto"/>
              </w:rPr>
            </w:pPr>
            <w:r>
              <w:rPr>
                <w:rFonts w:ascii="Calibri" w:cs="Calibri" w:eastAsia="Calibri" w:hAnsi="Calibri"/>
                <w:sz w:val="15"/>
                <w:szCs w:val="15"/>
                <w:b w:val="1"/>
                <w:bCs w:val="1"/>
                <w:color w:val="auto"/>
                <w:w w:val="78"/>
              </w:rPr>
              <w:t>$</w:t>
            </w: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45,327</w:t>
            </w:r>
          </w:p>
        </w:tc>
        <w:tc>
          <w:tcPr>
            <w:tcW w:w="80" w:type="dxa"/>
            <w:vAlign w:val="bottom"/>
          </w:tcPr>
          <w:p>
            <w:pPr>
              <w:spacing w:after="0"/>
              <w:rPr>
                <w:sz w:val="15"/>
                <w:szCs w:val="15"/>
                <w:color w:val="auto"/>
              </w:rPr>
            </w:pPr>
          </w:p>
        </w:tc>
        <w:tc>
          <w:tcPr>
            <w:tcW w:w="740" w:type="dxa"/>
            <w:vAlign w:val="bottom"/>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Pr>
          <w:p>
            <w:pPr>
              <w:jc w:val="center"/>
              <w:ind w:left="564"/>
              <w:spacing w:after="0" w:line="177" w:lineRule="exact"/>
              <w:rPr>
                <w:sz w:val="20"/>
                <w:szCs w:val="20"/>
                <w:color w:val="auto"/>
              </w:rPr>
            </w:pPr>
            <w:r>
              <w:rPr>
                <w:rFonts w:ascii="Calibri" w:cs="Calibri" w:eastAsia="Calibri" w:hAnsi="Calibri"/>
                <w:sz w:val="15"/>
                <w:szCs w:val="15"/>
                <w:b w:val="1"/>
                <w:bCs w:val="1"/>
                <w:color w:val="auto"/>
              </w:rPr>
              <w:t>78,863</w:t>
            </w:r>
          </w:p>
        </w:tc>
      </w:tr>
      <w:tr>
        <w:trPr>
          <w:trHeight w:val="22"/>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left="563"/>
              <w:spacing w:after="0"/>
              <w:rPr>
                <w:sz w:val="20"/>
                <w:szCs w:val="20"/>
                <w:color w:val="auto"/>
              </w:rPr>
            </w:pPr>
            <w:r>
              <w:rPr>
                <w:rFonts w:ascii="Calibri" w:cs="Calibri" w:eastAsia="Calibri" w:hAnsi="Calibri"/>
                <w:sz w:val="15"/>
                <w:szCs w:val="15"/>
                <w:b w:val="1"/>
                <w:bCs w:val="1"/>
                <w:color w:val="auto"/>
              </w:rPr>
              <w:t>19,109</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1,618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left="564"/>
              <w:spacing w:after="0"/>
              <w:rPr>
                <w:sz w:val="20"/>
                <w:szCs w:val="20"/>
                <w:color w:val="auto"/>
              </w:rPr>
            </w:pPr>
            <w:r>
              <w:rPr>
                <w:rFonts w:ascii="Calibri" w:cs="Calibri" w:eastAsia="Calibri" w:hAnsi="Calibri"/>
                <w:sz w:val="15"/>
                <w:szCs w:val="15"/>
                <w:b w:val="1"/>
                <w:bCs w:val="1"/>
                <w:color w:val="auto"/>
              </w:rPr>
              <w:t>20,727</w:t>
            </w:r>
          </w:p>
        </w:tc>
      </w:tr>
      <w:tr>
        <w:trPr>
          <w:trHeight w:val="184"/>
        </w:trPr>
        <w:tc>
          <w:tcPr>
            <w:tcW w:w="530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740" w:type="dxa"/>
            <w:vAlign w:val="bottom"/>
          </w:tcPr>
          <w:p>
            <w:pPr>
              <w:spacing w:after="0"/>
              <w:rPr>
                <w:sz w:val="16"/>
                <w:szCs w:val="16"/>
                <w:color w:val="auto"/>
              </w:rPr>
            </w:pPr>
          </w:p>
        </w:tc>
        <w:tc>
          <w:tcPr>
            <w:tcW w:w="1180" w:type="dxa"/>
            <w:vAlign w:val="bottom"/>
          </w:tcPr>
          <w:p>
            <w:pPr>
              <w:jc w:val="center"/>
              <w:ind w:left="523"/>
              <w:spacing w:after="0"/>
              <w:rPr>
                <w:sz w:val="20"/>
                <w:szCs w:val="20"/>
                <w:color w:val="auto"/>
              </w:rPr>
            </w:pPr>
            <w:r>
              <w:rPr>
                <w:rFonts w:ascii="Calibri" w:cs="Calibri" w:eastAsia="Calibri" w:hAnsi="Calibri"/>
                <w:sz w:val="15"/>
                <w:szCs w:val="15"/>
                <w:b w:val="1"/>
                <w:bCs w:val="1"/>
                <w:color w:val="auto"/>
              </w:rPr>
              <w:t>(33,536)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(45,552)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jc w:val="center"/>
              <w:ind w:left="544"/>
              <w:spacing w:after="0"/>
              <w:rPr>
                <w:sz w:val="20"/>
                <w:szCs w:val="20"/>
                <w:color w:val="auto"/>
              </w:rPr>
            </w:pPr>
            <w:r>
              <w:rPr>
                <w:rFonts w:ascii="Calibri" w:cs="Calibri" w:eastAsia="Calibri" w:hAnsi="Calibri"/>
                <w:sz w:val="15"/>
                <w:szCs w:val="15"/>
                <w:b w:val="1"/>
                <w:bCs w:val="1"/>
                <w:color w:val="auto"/>
              </w:rPr>
              <w:t>(79,088)</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9"/>
        </w:trPr>
        <w:tc>
          <w:tcPr>
            <w:tcW w:w="53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December 31, 2024</w:t>
            </w:r>
          </w:p>
        </w:tc>
        <w:tc>
          <w:tcPr>
            <w:tcW w:w="74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center"/>
              <w:ind w:left="563"/>
              <w:spacing w:after="0" w:line="177" w:lineRule="exact"/>
              <w:rPr>
                <w:sz w:val="20"/>
                <w:szCs w:val="20"/>
                <w:color w:val="auto"/>
              </w:rPr>
            </w:pPr>
            <w:r>
              <w:rPr>
                <w:rFonts w:ascii="Calibri" w:cs="Calibri" w:eastAsia="Calibri" w:hAnsi="Calibri"/>
                <w:sz w:val="15"/>
                <w:szCs w:val="15"/>
                <w:b w:val="1"/>
                <w:bCs w:val="1"/>
                <w:color w:val="auto"/>
              </w:rPr>
              <w:t>19,109</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b w:val="1"/>
                <w:bCs w:val="1"/>
                <w:color w:val="auto"/>
                <w:w w:val="78"/>
              </w:rPr>
              <w:t>$</w:t>
            </w:r>
          </w:p>
        </w:tc>
        <w:tc>
          <w:tcPr>
            <w:tcW w:w="12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1,393</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center"/>
              <w:ind w:left="564"/>
              <w:spacing w:after="0" w:line="177" w:lineRule="exact"/>
              <w:rPr>
                <w:sz w:val="20"/>
                <w:szCs w:val="20"/>
                <w:color w:val="auto"/>
              </w:rPr>
            </w:pPr>
            <w:r>
              <w:rPr>
                <w:rFonts w:ascii="Calibri" w:cs="Calibri" w:eastAsia="Calibri" w:hAnsi="Calibri"/>
                <w:sz w:val="15"/>
                <w:szCs w:val="15"/>
                <w:b w:val="1"/>
                <w:bCs w:val="1"/>
                <w:color w:val="auto"/>
              </w:rPr>
              <w:t>20,502</w:t>
            </w:r>
          </w:p>
        </w:tc>
      </w:tr>
      <w:tr>
        <w:trPr>
          <w:trHeight w:val="177"/>
        </w:trPr>
        <w:tc>
          <w:tcPr>
            <w:tcW w:w="53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July 1, 2023</w:t>
            </w: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color w:val="auto"/>
              </w:rPr>
              <w:t>$</w:t>
            </w:r>
          </w:p>
        </w:tc>
        <w:tc>
          <w:tcPr>
            <w:tcW w:w="1180" w:type="dxa"/>
            <w:vAlign w:val="bottom"/>
            <w:tcBorders>
              <w:top w:val="single" w:sz="8" w:color="auto"/>
            </w:tcBorders>
          </w:tcPr>
          <w:p>
            <w:pPr>
              <w:jc w:val="center"/>
              <w:ind w:left="563"/>
              <w:spacing w:after="0" w:line="177" w:lineRule="exact"/>
              <w:rPr>
                <w:sz w:val="20"/>
                <w:szCs w:val="20"/>
                <w:color w:val="auto"/>
              </w:rPr>
            </w:pPr>
            <w:r>
              <w:rPr>
                <w:rFonts w:ascii="Calibri" w:cs="Calibri" w:eastAsia="Calibri" w:hAnsi="Calibri"/>
                <w:sz w:val="15"/>
                <w:szCs w:val="15"/>
                <w:color w:val="auto"/>
              </w:rPr>
              <w:t>27,386</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color w:val="auto"/>
                <w:w w:val="78"/>
              </w:rPr>
              <w:t>$</w:t>
            </w: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35,108</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color w:val="auto"/>
              </w:rPr>
              <w:t>$</w:t>
            </w:r>
          </w:p>
        </w:tc>
        <w:tc>
          <w:tcPr>
            <w:tcW w:w="1180" w:type="dxa"/>
            <w:vAlign w:val="bottom"/>
            <w:tcBorders>
              <w:top w:val="single" w:sz="8" w:color="auto"/>
            </w:tcBorders>
          </w:tcPr>
          <w:p>
            <w:pPr>
              <w:jc w:val="center"/>
              <w:ind w:left="564"/>
              <w:spacing w:after="0" w:line="177" w:lineRule="exact"/>
              <w:rPr>
                <w:sz w:val="20"/>
                <w:szCs w:val="20"/>
                <w:color w:val="auto"/>
              </w:rPr>
            </w:pPr>
            <w:r>
              <w:rPr>
                <w:rFonts w:ascii="Calibri" w:cs="Calibri" w:eastAsia="Calibri" w:hAnsi="Calibri"/>
                <w:sz w:val="15"/>
                <w:szCs w:val="15"/>
                <w:color w:val="auto"/>
              </w:rPr>
              <w:t>62,494</w:t>
            </w:r>
          </w:p>
        </w:tc>
      </w:tr>
      <w:tr>
        <w:trPr>
          <w:trHeight w:val="22"/>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6"/>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left="563"/>
              <w:spacing w:after="0"/>
              <w:rPr>
                <w:sz w:val="20"/>
                <w:szCs w:val="20"/>
                <w:color w:val="auto"/>
              </w:rPr>
            </w:pPr>
            <w:r>
              <w:rPr>
                <w:rFonts w:ascii="Calibri" w:cs="Calibri" w:eastAsia="Calibri" w:hAnsi="Calibri"/>
                <w:sz w:val="15"/>
                <w:szCs w:val="15"/>
                <w:color w:val="auto"/>
              </w:rPr>
              <w:t>17,885</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3,651</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left="564"/>
              <w:spacing w:after="0"/>
              <w:rPr>
                <w:sz w:val="20"/>
                <w:szCs w:val="20"/>
                <w:color w:val="auto"/>
              </w:rPr>
            </w:pPr>
            <w:r>
              <w:rPr>
                <w:rFonts w:ascii="Calibri" w:cs="Calibri" w:eastAsia="Calibri" w:hAnsi="Calibri"/>
                <w:sz w:val="15"/>
                <w:szCs w:val="15"/>
                <w:color w:val="auto"/>
              </w:rPr>
              <w:t>21,536</w:t>
            </w:r>
          </w:p>
        </w:tc>
      </w:tr>
      <w:tr>
        <w:trPr>
          <w:trHeight w:val="184"/>
        </w:trPr>
        <w:tc>
          <w:tcPr>
            <w:tcW w:w="530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740" w:type="dxa"/>
            <w:vAlign w:val="bottom"/>
          </w:tcPr>
          <w:p>
            <w:pPr>
              <w:spacing w:after="0"/>
              <w:rPr>
                <w:sz w:val="16"/>
                <w:szCs w:val="16"/>
                <w:color w:val="auto"/>
              </w:rPr>
            </w:pPr>
          </w:p>
        </w:tc>
        <w:tc>
          <w:tcPr>
            <w:tcW w:w="1180" w:type="dxa"/>
            <w:vAlign w:val="bottom"/>
          </w:tcPr>
          <w:p>
            <w:pPr>
              <w:jc w:val="center"/>
              <w:ind w:left="543"/>
              <w:spacing w:after="0"/>
              <w:rPr>
                <w:sz w:val="20"/>
                <w:szCs w:val="20"/>
                <w:color w:val="auto"/>
              </w:rPr>
            </w:pPr>
            <w:r>
              <w:rPr>
                <w:rFonts w:ascii="Calibri" w:cs="Calibri" w:eastAsia="Calibri" w:hAnsi="Calibri"/>
                <w:sz w:val="15"/>
                <w:szCs w:val="15"/>
                <w:color w:val="auto"/>
              </w:rPr>
              <w:t>(27,714)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color w:val="auto"/>
              </w:rPr>
              <w:t>(37,613)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jc w:val="center"/>
              <w:ind w:left="544"/>
              <w:spacing w:after="0"/>
              <w:rPr>
                <w:sz w:val="20"/>
                <w:szCs w:val="20"/>
                <w:color w:val="auto"/>
              </w:rPr>
            </w:pPr>
            <w:r>
              <w:rPr>
                <w:rFonts w:ascii="Calibri" w:cs="Calibri" w:eastAsia="Calibri" w:hAnsi="Calibri"/>
                <w:sz w:val="15"/>
                <w:szCs w:val="15"/>
                <w:color w:val="auto"/>
              </w:rPr>
              <w:t>(65,327)</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9"/>
        </w:trPr>
        <w:tc>
          <w:tcPr>
            <w:tcW w:w="53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74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color w:val="auto"/>
              </w:rPr>
              <w:t>$</w:t>
            </w:r>
          </w:p>
        </w:tc>
        <w:tc>
          <w:tcPr>
            <w:tcW w:w="1180" w:type="dxa"/>
            <w:vAlign w:val="bottom"/>
            <w:tcBorders>
              <w:bottom w:val="single" w:sz="8" w:color="CCEEFF"/>
            </w:tcBorders>
            <w:shd w:val="clear" w:color="auto" w:fill="CCEEFF"/>
          </w:tcPr>
          <w:p>
            <w:pPr>
              <w:jc w:val="center"/>
              <w:ind w:left="563"/>
              <w:spacing w:after="0" w:line="177" w:lineRule="exact"/>
              <w:rPr>
                <w:sz w:val="20"/>
                <w:szCs w:val="20"/>
                <w:color w:val="auto"/>
              </w:rPr>
            </w:pPr>
            <w:r>
              <w:rPr>
                <w:rFonts w:ascii="Calibri" w:cs="Calibri" w:eastAsia="Calibri" w:hAnsi="Calibri"/>
                <w:sz w:val="15"/>
                <w:szCs w:val="15"/>
                <w:color w:val="auto"/>
              </w:rPr>
              <w:t>17,557</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color w:val="auto"/>
                <w:w w:val="78"/>
              </w:rPr>
              <w:t>$</w:t>
            </w:r>
          </w:p>
        </w:tc>
        <w:tc>
          <w:tcPr>
            <w:tcW w:w="12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1,146</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63"/>
              <w:spacing w:after="0" w:line="177" w:lineRule="exact"/>
              <w:rPr>
                <w:sz w:val="20"/>
                <w:szCs w:val="20"/>
                <w:color w:val="auto"/>
              </w:rPr>
            </w:pPr>
            <w:r>
              <w:rPr>
                <w:rFonts w:ascii="Calibri" w:cs="Calibri" w:eastAsia="Calibri" w:hAnsi="Calibri"/>
                <w:sz w:val="15"/>
                <w:szCs w:val="15"/>
                <w:color w:val="auto"/>
              </w:rPr>
              <w:t>$</w:t>
            </w:r>
          </w:p>
        </w:tc>
        <w:tc>
          <w:tcPr>
            <w:tcW w:w="1180" w:type="dxa"/>
            <w:vAlign w:val="bottom"/>
            <w:tcBorders>
              <w:bottom w:val="single" w:sz="8" w:color="CCEEFF"/>
            </w:tcBorders>
            <w:shd w:val="clear" w:color="auto" w:fill="CCEEFF"/>
          </w:tcPr>
          <w:p>
            <w:pPr>
              <w:jc w:val="center"/>
              <w:ind w:left="564"/>
              <w:spacing w:after="0" w:line="177" w:lineRule="exact"/>
              <w:rPr>
                <w:sz w:val="20"/>
                <w:szCs w:val="20"/>
                <w:color w:val="auto"/>
              </w:rPr>
            </w:pPr>
            <w:r>
              <w:rPr>
                <w:rFonts w:ascii="Calibri" w:cs="Calibri" w:eastAsia="Calibri" w:hAnsi="Calibri"/>
                <w:sz w:val="15"/>
                <w:szCs w:val="15"/>
                <w:color w:val="auto"/>
              </w:rPr>
              <w:t>18,703</w:t>
            </w:r>
          </w:p>
        </w:tc>
      </w:tr>
      <w:tr>
        <w:trPr>
          <w:trHeight w:val="32"/>
        </w:trPr>
        <w:tc>
          <w:tcPr>
            <w:tcW w:w="5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144"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For the six months ended December 31, 2024, there were $33.5 million of gross charge-ofs related to EAs which were originated in fscal year 2024.</w:t>
      </w:r>
    </w:p>
    <w:p>
      <w:pPr>
        <w:spacing w:after="0" w:line="8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5: GOODWILL AND INTANGIBLE ASSETS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Changes in the carrying amount of goodwill for the six months ended December 31, 2024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gridSpan w:val="2"/>
          </w:tcPr>
          <w:p>
            <w:pPr>
              <w:ind w:left="680"/>
              <w:spacing w:after="0" w:line="177" w:lineRule="exact"/>
              <w:rPr>
                <w:sz w:val="20"/>
                <w:szCs w:val="20"/>
                <w:color w:val="auto"/>
              </w:rPr>
            </w:pPr>
            <w:r>
              <w:rPr>
                <w:rFonts w:ascii="Calibri" w:cs="Calibri" w:eastAsia="Calibri" w:hAnsi="Calibri"/>
                <w:sz w:val="15"/>
                <w:szCs w:val="15"/>
                <w:color w:val="auto"/>
              </w:rPr>
              <w:t>Goodwill</w:t>
            </w:r>
          </w:p>
        </w:tc>
        <w:tc>
          <w:tcPr>
            <w:tcW w:w="2160" w:type="dxa"/>
            <w:vAlign w:val="bottom"/>
            <w:gridSpan w:val="3"/>
          </w:tcPr>
          <w:p>
            <w:pPr>
              <w:ind w:left="20"/>
              <w:spacing w:after="0" w:line="177" w:lineRule="exact"/>
              <w:rPr>
                <w:sz w:val="20"/>
                <w:szCs w:val="20"/>
                <w:color w:val="auto"/>
              </w:rPr>
            </w:pPr>
            <w:r>
              <w:rPr>
                <w:rFonts w:ascii="Calibri" w:cs="Calibri" w:eastAsia="Calibri" w:hAnsi="Calibri"/>
                <w:sz w:val="15"/>
                <w:szCs w:val="15"/>
                <w:color w:val="auto"/>
              </w:rPr>
              <w:t>Accumulated Impairment Losses</w:t>
            </w:r>
          </w:p>
        </w:tc>
        <w:tc>
          <w:tcPr>
            <w:tcW w:w="8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color w:val="auto"/>
              </w:rPr>
              <w:t>Net</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78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2024</w:t>
            </w:r>
          </w:p>
        </w:tc>
        <w:tc>
          <w:tcPr>
            <w:tcW w:w="100" w:type="dxa"/>
            <w:vAlign w:val="bottom"/>
          </w:tcPr>
          <w:p>
            <w:pPr>
              <w:spacing w:after="0"/>
              <w:rPr>
                <w:sz w:val="15"/>
                <w:szCs w:val="15"/>
                <w:color w:val="auto"/>
              </w:rPr>
            </w:pPr>
          </w:p>
        </w:tc>
        <w:tc>
          <w:tcPr>
            <w:tcW w:w="780" w:type="dxa"/>
            <w:vAlign w:val="bottom"/>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923,523</w:t>
            </w:r>
          </w:p>
        </w:tc>
        <w:tc>
          <w:tcPr>
            <w:tcW w:w="80" w:type="dxa"/>
            <w:vAlign w:val="bottom"/>
          </w:tcPr>
          <w:p>
            <w:pPr>
              <w:spacing w:after="0"/>
              <w:rPr>
                <w:sz w:val="15"/>
                <w:szCs w:val="15"/>
                <w:color w:val="auto"/>
              </w:rPr>
            </w:pPr>
          </w:p>
        </w:tc>
        <w:tc>
          <w:tcPr>
            <w:tcW w:w="7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785,226</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Acquisitons</w:t>
            </w:r>
            <w:r>
              <w:rPr>
                <w:rFonts w:ascii="Calibri" w:cs="Calibri" w:eastAsia="Calibri" w:hAnsi="Calibri"/>
                <w:sz w:val="20"/>
                <w:szCs w:val="20"/>
                <w:color w:val="auto"/>
                <w:vertAlign w:val="superscript"/>
              </w:rPr>
              <w:t>(1)</w:t>
            </w: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12,761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12,761</w:t>
            </w:r>
          </w:p>
        </w:tc>
      </w:tr>
      <w:tr>
        <w:trPr>
          <w:trHeight w:val="184"/>
        </w:trPr>
        <w:tc>
          <w:tcPr>
            <w:tcW w:w="4880" w:type="dxa"/>
            <w:vAlign w:val="bottom"/>
            <w:gridSpan w:val="2"/>
          </w:tcPr>
          <w:p>
            <w:pPr>
              <w:ind w:left="20"/>
              <w:spacing w:after="0"/>
              <w:rPr>
                <w:sz w:val="20"/>
                <w:szCs w:val="20"/>
                <w:color w:val="auto"/>
              </w:rPr>
            </w:pPr>
            <w:r>
              <w:rPr>
                <w:rFonts w:ascii="Calibri" w:cs="Calibri" w:eastAsia="Calibri" w:hAnsi="Calibri"/>
                <w:sz w:val="15"/>
                <w:szCs w:val="15"/>
                <w:color w:val="auto"/>
              </w:rPr>
              <w:t>Disposals and foreign currency changes, net</w:t>
            </w: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(14,701)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2"/>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(14,701)</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Impairments</w:t>
            </w:r>
          </w:p>
        </w:tc>
        <w:tc>
          <w:tcPr>
            <w:tcW w:w="7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177"/>
        </w:trPr>
        <w:tc>
          <w:tcPr>
            <w:tcW w:w="48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2024</w:t>
            </w:r>
          </w:p>
        </w:tc>
        <w:tc>
          <w:tcPr>
            <w:tcW w:w="78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921,583</w:t>
            </w:r>
          </w:p>
        </w:tc>
        <w:tc>
          <w:tcPr>
            <w:tcW w:w="80" w:type="dxa"/>
            <w:vAlign w:val="bottom"/>
          </w:tcPr>
          <w:p>
            <w:pPr>
              <w:spacing w:after="0"/>
              <w:rPr>
                <w:sz w:val="15"/>
                <w:szCs w:val="15"/>
                <w:color w:val="auto"/>
              </w:rPr>
            </w:pPr>
          </w:p>
        </w:tc>
        <w:tc>
          <w:tcPr>
            <w:tcW w:w="7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783,286</w:t>
            </w:r>
          </w:p>
        </w:tc>
      </w:tr>
      <w:tr>
        <w:trPr>
          <w:trHeight w:val="59"/>
        </w:trPr>
        <w:tc>
          <w:tcPr>
            <w:tcW w:w="4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20" w:hanging="217"/>
        <w:spacing w:after="0"/>
        <w:tabs>
          <w:tab w:leader="none" w:pos="220" w:val="left"/>
        </w:tabs>
        <w:numPr>
          <w:ilvl w:val="0"/>
          <w:numId w:val="9"/>
        </w:numPr>
        <w:rPr>
          <w:rFonts w:ascii="Calibri" w:cs="Calibri" w:eastAsia="Calibri" w:hAnsi="Calibri"/>
          <w:sz w:val="18"/>
          <w:szCs w:val="18"/>
          <w:color w:val="auto"/>
          <w:vertAlign w:val="superscript"/>
        </w:rPr>
      </w:pPr>
      <w:r>
        <w:rPr>
          <w:rFonts w:ascii="Calibri" w:cs="Calibri" w:eastAsia="Calibri" w:hAnsi="Calibri"/>
          <w:sz w:val="14"/>
          <w:szCs w:val="14"/>
          <w:color w:val="auto"/>
        </w:rPr>
        <w:t>All goodwill added during the period is expected to be tax-deductble for federal income tax reportng.</w:t>
      </w:r>
    </w:p>
    <w:p>
      <w:pPr>
        <w:spacing w:after="0" w:line="100" w:lineRule="exact"/>
        <w:rPr>
          <w:sz w:val="20"/>
          <w:szCs w:val="20"/>
          <w:color w:val="auto"/>
        </w:rPr>
      </w:pPr>
    </w:p>
    <w:p>
      <w:pPr>
        <w:ind w:firstLine="193"/>
        <w:spacing w:after="0" w:line="237" w:lineRule="auto"/>
        <w:rPr>
          <w:sz w:val="20"/>
          <w:szCs w:val="20"/>
          <w:color w:val="auto"/>
        </w:rPr>
      </w:pPr>
      <w:r>
        <w:rPr>
          <w:rFonts w:ascii="Calibri" w:cs="Calibri" w:eastAsia="Calibri" w:hAnsi="Calibri"/>
          <w:sz w:val="17"/>
          <w:szCs w:val="17"/>
          <w:color w:val="auto"/>
        </w:rPr>
        <w:t>We test goodwill for impairment annually as of February 1, or more frequently if events occur or circumstances change which would, more likely than not, reduce the fair value of a reportng unit below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59"/>
        <w:spacing w:after="0"/>
        <w:tabs>
          <w:tab w:leader="none" w:pos="360" w:val="left"/>
        </w:tabs>
        <w:numPr>
          <w:ilvl w:val="0"/>
          <w:numId w:val="10"/>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Components of intangible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43"/>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color w:val="auto"/>
              </w:rPr>
              <w:t>Accumulated</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Calibri" w:cs="Calibri" w:eastAsia="Calibri" w:hAnsi="Calibri"/>
                <w:sz w:val="15"/>
                <w:szCs w:val="15"/>
                <w:color w:val="auto"/>
              </w:rPr>
              <w:t>Gross Carrying Amount</w:t>
            </w:r>
          </w:p>
        </w:tc>
        <w:tc>
          <w:tcPr>
            <w:tcW w:w="5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Amortzaton</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Net</w:t>
            </w:r>
          </w:p>
        </w:tc>
      </w:tr>
      <w:tr>
        <w:trPr>
          <w:trHeight w:val="26"/>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7"/>
        </w:trPr>
        <w:tc>
          <w:tcPr>
            <w:tcW w:w="5760" w:type="dxa"/>
            <w:vAlign w:val="bottom"/>
          </w:tcPr>
          <w:p>
            <w:pPr>
              <w:ind w:left="20"/>
              <w:spacing w:after="0" w:line="177" w:lineRule="exact"/>
              <w:rPr>
                <w:sz w:val="20"/>
                <w:szCs w:val="20"/>
                <w:color w:val="auto"/>
              </w:rPr>
            </w:pPr>
            <w:r>
              <w:rPr>
                <w:rFonts w:ascii="Calibri" w:cs="Calibri" w:eastAsia="Calibri" w:hAnsi="Calibri"/>
                <w:sz w:val="15"/>
                <w:szCs w:val="15"/>
                <w:color w:val="auto"/>
              </w:rPr>
              <w:t>As of December 31, 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413,752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(235,650)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Calibri" w:cs="Calibri" w:eastAsia="Calibri" w:hAnsi="Calibri"/>
                <w:sz w:val="15"/>
                <w:szCs w:val="15"/>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178,102</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350,700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(280,481)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70,219</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123,495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(122,332)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1,163</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22,807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(19,857)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2,950</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70,100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(54,543)</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15,557</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5,800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(3,190)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2,610</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5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15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986,654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(716,053)</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4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270,601</w:t>
            </w:r>
          </w:p>
        </w:tc>
      </w:tr>
      <w:tr>
        <w:trPr>
          <w:trHeight w:val="164"/>
        </w:trPr>
        <w:tc>
          <w:tcPr>
            <w:tcW w:w="5860" w:type="dxa"/>
            <w:vAlign w:val="bottom"/>
            <w:gridSpan w:val="2"/>
          </w:tcPr>
          <w:p>
            <w:pPr>
              <w:ind w:left="20"/>
              <w:spacing w:after="0" w:line="164" w:lineRule="exact"/>
              <w:rPr>
                <w:sz w:val="20"/>
                <w:szCs w:val="20"/>
                <w:color w:val="auto"/>
              </w:rPr>
            </w:pPr>
            <w:r>
              <w:rPr>
                <w:rFonts w:ascii="Calibri" w:cs="Calibri" w:eastAsia="Calibri" w:hAnsi="Calibri"/>
                <w:sz w:val="15"/>
                <w:szCs w:val="15"/>
                <w:color w:val="auto"/>
              </w:rPr>
              <w:t>As of June 30, 2024:</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403,955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(228,157)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175,798</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331,435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(270,245)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61,190</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122,673</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(119,610)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3,063</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21,977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(19,494)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2,483</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70,100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(51,432)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18,668</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5,800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(2,900)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2,900</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5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15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955,940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(691,838)</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4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264,102</w:t>
            </w:r>
          </w:p>
        </w:tc>
      </w:tr>
      <w:tr>
        <w:trPr>
          <w:trHeight w:val="32"/>
        </w:trPr>
        <w:tc>
          <w:tcPr>
            <w:tcW w:w="5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made payments to acquire businesses totaling $28.0 million and $27.2 million during the six months ended December 31, 2024 and 2023, respectvely. The amounts and weighted-average lives of intangible assets acquired during the six months ended December 31, 2024, including amounts capitalized related to internally-developed sofware,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alibri" w:cs="Calibri" w:eastAsia="Calibri" w:hAnsi="Calibri"/>
                <w:sz w:val="14"/>
                <w:szCs w:val="14"/>
                <w:color w:val="auto"/>
              </w:rPr>
              <w:t>(dollars in 000s)</w:t>
            </w:r>
          </w:p>
        </w:tc>
      </w:tr>
      <w:tr>
        <w:trPr>
          <w:trHeight w:val="43"/>
        </w:trPr>
        <w:tc>
          <w:tcPr>
            <w:tcW w:w="5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177"/>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Calibri" w:cs="Calibri" w:eastAsia="Calibri" w:hAnsi="Calibri"/>
                <w:sz w:val="15"/>
                <w:szCs w:val="15"/>
                <w:color w:val="auto"/>
              </w:rPr>
              <w:t>Amount</w:t>
            </w:r>
          </w:p>
        </w:tc>
        <w:tc>
          <w:tcPr>
            <w:tcW w:w="80" w:type="dxa"/>
            <w:vAlign w:val="bottom"/>
          </w:tcPr>
          <w:p>
            <w:pPr>
              <w:spacing w:after="0"/>
              <w:rPr>
                <w:sz w:val="15"/>
                <w:szCs w:val="15"/>
                <w:color w:val="auto"/>
              </w:rPr>
            </w:pPr>
          </w:p>
        </w:tc>
        <w:tc>
          <w:tcPr>
            <w:tcW w:w="3000" w:type="dxa"/>
            <w:vAlign w:val="bottom"/>
          </w:tcPr>
          <w:p>
            <w:pPr>
              <w:jc w:val="right"/>
              <w:spacing w:after="0" w:line="177" w:lineRule="exact"/>
              <w:rPr>
                <w:sz w:val="20"/>
                <w:szCs w:val="20"/>
                <w:color w:val="auto"/>
              </w:rPr>
            </w:pPr>
            <w:r>
              <w:rPr>
                <w:rFonts w:ascii="Calibri" w:cs="Calibri" w:eastAsia="Calibri" w:hAnsi="Calibri"/>
                <w:sz w:val="15"/>
                <w:szCs w:val="15"/>
                <w:color w:val="auto"/>
              </w:rPr>
              <w:t>Weighted-Average Life (in years)</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77"/>
        </w:trPr>
        <w:tc>
          <w:tcPr>
            <w:tcW w:w="562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Customer relatonships</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19,705</w:t>
            </w:r>
          </w:p>
        </w:tc>
        <w:tc>
          <w:tcPr>
            <w:tcW w:w="80" w:type="dxa"/>
            <w:vAlign w:val="bottom"/>
          </w:tcPr>
          <w:p>
            <w:pPr>
              <w:spacing w:after="0"/>
              <w:rPr>
                <w:sz w:val="15"/>
                <w:szCs w:val="15"/>
                <w:color w:val="auto"/>
              </w:rPr>
            </w:pPr>
          </w:p>
        </w:tc>
        <w:tc>
          <w:tcPr>
            <w:tcW w:w="3000" w:type="dxa"/>
            <w:vAlign w:val="bottom"/>
            <w:tcBorders>
              <w:top w:val="single" w:sz="8" w:color="auto"/>
            </w:tcBorders>
          </w:tcPr>
          <w:p>
            <w:pPr>
              <w:jc w:val="right"/>
              <w:ind w:right="1386"/>
              <w:spacing w:after="0" w:line="177" w:lineRule="exact"/>
              <w:rPr>
                <w:sz w:val="20"/>
                <w:szCs w:val="20"/>
                <w:color w:val="auto"/>
              </w:rPr>
            </w:pPr>
            <w:r>
              <w:rPr>
                <w:rFonts w:ascii="Calibri" w:cs="Calibri" w:eastAsia="Calibri" w:hAnsi="Calibri"/>
                <w:sz w:val="15"/>
                <w:szCs w:val="15"/>
                <w:b w:val="1"/>
                <w:bCs w:val="1"/>
                <w:color w:val="auto"/>
              </w:rPr>
              <w:t>5</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8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Reacquired franchise rights</w:t>
            </w:r>
          </w:p>
        </w:tc>
        <w:tc>
          <w:tcPr>
            <w:tcW w:w="10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9,983</w:t>
            </w:r>
          </w:p>
        </w:tc>
        <w:tc>
          <w:tcPr>
            <w:tcW w:w="3080" w:type="dxa"/>
            <w:vAlign w:val="bottom"/>
            <w:tcBorders>
              <w:bottom w:val="single" w:sz="8" w:color="CCEEFF"/>
            </w:tcBorders>
            <w:gridSpan w:val="2"/>
            <w:shd w:val="clear" w:color="auto" w:fill="CCEEFF"/>
          </w:tcPr>
          <w:p>
            <w:pPr>
              <w:jc w:val="right"/>
              <w:ind w:right="1386"/>
              <w:spacing w:after="0"/>
              <w:rPr>
                <w:sz w:val="20"/>
                <w:szCs w:val="20"/>
                <w:color w:val="auto"/>
              </w:rPr>
            </w:pPr>
            <w:r>
              <w:rPr>
                <w:rFonts w:ascii="Calibri" w:cs="Calibri" w:eastAsia="Calibri" w:hAnsi="Calibri"/>
                <w:sz w:val="15"/>
                <w:szCs w:val="15"/>
                <w:b w:val="1"/>
                <w:bCs w:val="1"/>
                <w:color w:val="auto"/>
              </w:rPr>
              <w:t>6</w:t>
            </w:r>
          </w:p>
        </w:tc>
      </w:tr>
      <w:tr>
        <w:trPr>
          <w:trHeight w:val="184"/>
        </w:trPr>
        <w:tc>
          <w:tcPr>
            <w:tcW w:w="5700" w:type="dxa"/>
            <w:vAlign w:val="bottom"/>
            <w:gridSpan w:val="2"/>
          </w:tcPr>
          <w:p>
            <w:pPr>
              <w:ind w:left="20"/>
              <w:spacing w:after="0"/>
              <w:rPr>
                <w:sz w:val="20"/>
                <w:szCs w:val="20"/>
                <w:color w:val="auto"/>
              </w:rPr>
            </w:pPr>
            <w:r>
              <w:rPr>
                <w:rFonts w:ascii="Calibri" w:cs="Calibri" w:eastAsia="Calibri" w:hAnsi="Calibri"/>
                <w:sz w:val="15"/>
                <w:szCs w:val="15"/>
                <w:color w:val="auto"/>
              </w:rPr>
              <w:t>Internally-developed sofware</w:t>
            </w:r>
          </w:p>
        </w:tc>
        <w:tc>
          <w:tcPr>
            <w:tcW w:w="10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b w:val="1"/>
                <w:bCs w:val="1"/>
                <w:color w:val="auto"/>
              </w:rPr>
              <w:t>1,027</w:t>
            </w:r>
          </w:p>
        </w:tc>
        <w:tc>
          <w:tcPr>
            <w:tcW w:w="3080" w:type="dxa"/>
            <w:vAlign w:val="bottom"/>
            <w:gridSpan w:val="2"/>
          </w:tcPr>
          <w:p>
            <w:pPr>
              <w:jc w:val="right"/>
              <w:ind w:right="1386"/>
              <w:spacing w:after="0"/>
              <w:rPr>
                <w:sz w:val="20"/>
                <w:szCs w:val="20"/>
                <w:color w:val="auto"/>
              </w:rPr>
            </w:pPr>
            <w:r>
              <w:rPr>
                <w:rFonts w:ascii="Calibri" w:cs="Calibri" w:eastAsia="Calibri" w:hAnsi="Calibri"/>
                <w:sz w:val="15"/>
                <w:szCs w:val="15"/>
                <w:b w:val="1"/>
                <w:bCs w:val="1"/>
                <w:color w:val="auto"/>
              </w:rPr>
              <w:t>3</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Noncompete agreements</w:t>
            </w:r>
          </w:p>
        </w:tc>
        <w:tc>
          <w:tcPr>
            <w:tcW w:w="10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871</w:t>
            </w:r>
          </w:p>
        </w:tc>
        <w:tc>
          <w:tcPr>
            <w:tcW w:w="3080" w:type="dxa"/>
            <w:vAlign w:val="bottom"/>
            <w:tcBorders>
              <w:bottom w:val="single" w:sz="8" w:color="CCEEFF"/>
            </w:tcBorders>
            <w:gridSpan w:val="2"/>
            <w:shd w:val="clear" w:color="auto" w:fill="CCEEFF"/>
          </w:tcPr>
          <w:p>
            <w:pPr>
              <w:jc w:val="right"/>
              <w:ind w:right="1386"/>
              <w:spacing w:after="0"/>
              <w:rPr>
                <w:sz w:val="20"/>
                <w:szCs w:val="20"/>
                <w:color w:val="auto"/>
              </w:rPr>
            </w:pPr>
            <w:r>
              <w:rPr>
                <w:rFonts w:ascii="Calibri" w:cs="Calibri" w:eastAsia="Calibri" w:hAnsi="Calibri"/>
                <w:sz w:val="15"/>
                <w:szCs w:val="15"/>
                <w:b w:val="1"/>
                <w:bCs w:val="1"/>
                <w:color w:val="auto"/>
              </w:rPr>
              <w:t>5</w:t>
            </w:r>
          </w:p>
        </w:tc>
      </w:tr>
      <w:tr>
        <w:trPr>
          <w:trHeight w:val="177"/>
        </w:trPr>
        <w:tc>
          <w:tcPr>
            <w:tcW w:w="57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Total</w:t>
            </w:r>
          </w:p>
        </w:tc>
        <w:tc>
          <w:tcPr>
            <w:tcW w:w="1020" w:type="dxa"/>
            <w:vAlign w:val="bottom"/>
            <w:tcBorders>
              <w:top w:val="single" w:sz="8" w:color="auto"/>
            </w:tcBorders>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31,586</w:t>
            </w:r>
          </w:p>
        </w:tc>
        <w:tc>
          <w:tcPr>
            <w:tcW w:w="3080" w:type="dxa"/>
            <w:vAlign w:val="bottom"/>
            <w:gridSpan w:val="2"/>
          </w:tcPr>
          <w:p>
            <w:pPr>
              <w:jc w:val="right"/>
              <w:ind w:right="1386"/>
              <w:spacing w:after="0" w:line="173" w:lineRule="exact"/>
              <w:rPr>
                <w:sz w:val="20"/>
                <w:szCs w:val="20"/>
                <w:color w:val="auto"/>
              </w:rPr>
            </w:pPr>
            <w:r>
              <w:rPr>
                <w:rFonts w:ascii="Calibri" w:cs="Calibri" w:eastAsia="Calibri" w:hAnsi="Calibri"/>
                <w:sz w:val="15"/>
                <w:szCs w:val="15"/>
                <w:b w:val="1"/>
                <w:bCs w:val="1"/>
                <w:color w:val="auto"/>
              </w:rPr>
              <w:t>5</w:t>
            </w:r>
          </w:p>
        </w:tc>
      </w:tr>
      <w:tr>
        <w:trPr>
          <w:trHeight w:val="59"/>
        </w:trPr>
        <w:tc>
          <w:tcPr>
            <w:tcW w:w="56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r>
      <w:tr>
        <w:trPr>
          <w:trHeight w:val="20"/>
        </w:trPr>
        <w:tc>
          <w:tcPr>
            <w:tcW w:w="56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Amortzaton of intangible assets for the three and six months ended December 31, 2024 was $12.1 million and $25.0 million, respectvely, compared to $15.4 million and $31.2 million for the three and six months ended December 31, 2023. Estmated amortzaton of intangible assets for fscal years ending June 30, 2025, 2026, 2027, 2028, and 2029 is $47.0 million, $39.9 million, $33.1 million, $24.9 million and $16.5 million,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6: LONG-TERM DEBT</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components of long-term debt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3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7"/>
        </w:trPr>
        <w:tc>
          <w:tcPr>
            <w:tcW w:w="73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380" w:type="dxa"/>
            <w:vAlign w:val="bottom"/>
          </w:tcPr>
          <w:p>
            <w:pPr>
              <w:spacing w:after="0"/>
              <w:rPr>
                <w:sz w:val="15"/>
                <w:szCs w:val="15"/>
                <w:color w:val="auto"/>
              </w:rPr>
            </w:pPr>
          </w:p>
        </w:tc>
        <w:tc>
          <w:tcPr>
            <w:tcW w:w="1620" w:type="dxa"/>
            <w:vAlign w:val="bottom"/>
            <w:gridSpan w:val="2"/>
          </w:tcPr>
          <w:p>
            <w:pPr>
              <w:ind w:left="280"/>
              <w:spacing w:after="0" w:line="177" w:lineRule="exact"/>
              <w:rPr>
                <w:sz w:val="20"/>
                <w:szCs w:val="20"/>
                <w:color w:val="auto"/>
              </w:rPr>
            </w:pPr>
            <w:r>
              <w:rPr>
                <w:rFonts w:ascii="Calibri" w:cs="Calibri" w:eastAsia="Calibri" w:hAnsi="Calibri"/>
                <w:sz w:val="15"/>
                <w:szCs w:val="15"/>
                <w:b w:val="1"/>
                <w:bCs w:val="1"/>
                <w:color w:val="auto"/>
              </w:rPr>
              <w:t>December 31, 2024</w:t>
            </w:r>
          </w:p>
        </w:tc>
        <w:tc>
          <w:tcPr>
            <w:tcW w:w="56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2024</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7"/>
        </w:trPr>
        <w:tc>
          <w:tcPr>
            <w:tcW w:w="7200" w:type="dxa"/>
            <w:vAlign w:val="bottom"/>
          </w:tcPr>
          <w:p>
            <w:pPr>
              <w:ind w:left="20"/>
              <w:spacing w:after="0" w:line="177" w:lineRule="exact"/>
              <w:rPr>
                <w:sz w:val="20"/>
                <w:szCs w:val="20"/>
                <w:color w:val="auto"/>
              </w:rPr>
            </w:pPr>
            <w:r>
              <w:rPr>
                <w:rFonts w:ascii="Calibri" w:cs="Calibri" w:eastAsia="Calibri" w:hAnsi="Calibri"/>
                <w:sz w:val="15"/>
                <w:szCs w:val="15"/>
                <w:color w:val="auto"/>
              </w:rPr>
              <w:t>Senior Notes, 5.250%, due October 2025</w:t>
            </w:r>
          </w:p>
        </w:tc>
        <w:tc>
          <w:tcPr>
            <w:tcW w:w="100" w:type="dxa"/>
            <w:vAlign w:val="bottom"/>
          </w:tcPr>
          <w:p>
            <w:pPr>
              <w:spacing w:after="0"/>
              <w:rPr>
                <w:sz w:val="15"/>
                <w:szCs w:val="15"/>
                <w:color w:val="auto"/>
              </w:rPr>
            </w:pPr>
          </w:p>
        </w:tc>
        <w:tc>
          <w:tcPr>
            <w:tcW w:w="380" w:type="dxa"/>
            <w:vAlign w:val="bottom"/>
          </w:tcPr>
          <w:p>
            <w:pPr>
              <w:jc w:val="right"/>
              <w:ind w:right="223"/>
              <w:spacing w:after="0" w:line="177" w:lineRule="exact"/>
              <w:rPr>
                <w:sz w:val="20"/>
                <w:szCs w:val="20"/>
                <w:color w:val="auto"/>
              </w:rPr>
            </w:pPr>
            <w:r>
              <w:rPr>
                <w:rFonts w:ascii="Calibri" w:cs="Calibri" w:eastAsia="Calibri" w:hAnsi="Calibri"/>
                <w:sz w:val="15"/>
                <w:szCs w:val="15"/>
                <w:b w:val="1"/>
                <w:bCs w:val="1"/>
                <w:color w:val="auto"/>
                <w:w w:val="78"/>
              </w:rPr>
              <w:t>$</w:t>
            </w:r>
          </w:p>
        </w:tc>
        <w:tc>
          <w:tcPr>
            <w:tcW w:w="15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350,000</w:t>
            </w:r>
          </w:p>
        </w:tc>
        <w:tc>
          <w:tcPr>
            <w:tcW w:w="80" w:type="dxa"/>
            <w:vAlign w:val="bottom"/>
          </w:tcPr>
          <w:p>
            <w:pPr>
              <w:spacing w:after="0"/>
              <w:rPr>
                <w:sz w:val="15"/>
                <w:szCs w:val="15"/>
                <w:color w:val="auto"/>
              </w:rPr>
            </w:pPr>
          </w:p>
        </w:tc>
        <w:tc>
          <w:tcPr>
            <w:tcW w:w="560" w:type="dxa"/>
            <w:vAlign w:val="bottom"/>
          </w:tcPr>
          <w:p>
            <w:pPr>
              <w:jc w:val="right"/>
              <w:ind w:right="383"/>
              <w:spacing w:after="0" w:line="177" w:lineRule="exact"/>
              <w:rPr>
                <w:sz w:val="20"/>
                <w:szCs w:val="20"/>
                <w:color w:val="auto"/>
              </w:rPr>
            </w:pPr>
            <w:r>
              <w:rPr>
                <w:rFonts w:ascii="Calibri" w:cs="Calibri" w:eastAsia="Calibri" w:hAnsi="Calibri"/>
                <w:sz w:val="15"/>
                <w:szCs w:val="15"/>
                <w:color w:val="auto"/>
              </w:rPr>
              <w:t>$</w:t>
            </w: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350,000</w:t>
            </w:r>
          </w:p>
        </w:tc>
      </w:tr>
      <w:tr>
        <w:trPr>
          <w:trHeight w:val="22"/>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Senior Notes, 2.500%, due July 2028</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500,000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500,000</w:t>
            </w:r>
          </w:p>
        </w:tc>
      </w:tr>
      <w:tr>
        <w:trPr>
          <w:trHeight w:val="184"/>
        </w:trPr>
        <w:tc>
          <w:tcPr>
            <w:tcW w:w="7300" w:type="dxa"/>
            <w:vAlign w:val="bottom"/>
            <w:gridSpan w:val="2"/>
          </w:tcPr>
          <w:p>
            <w:pPr>
              <w:ind w:left="20"/>
              <w:spacing w:after="0"/>
              <w:rPr>
                <w:sz w:val="20"/>
                <w:szCs w:val="20"/>
                <w:color w:val="auto"/>
              </w:rPr>
            </w:pPr>
            <w:r>
              <w:rPr>
                <w:rFonts w:ascii="Calibri" w:cs="Calibri" w:eastAsia="Calibri" w:hAnsi="Calibri"/>
                <w:sz w:val="15"/>
                <w:szCs w:val="15"/>
                <w:color w:val="auto"/>
              </w:rPr>
              <w:t>Senior Notes, 3.875%, due August 2030</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650,000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650,000</w:t>
            </w:r>
          </w:p>
        </w:tc>
      </w:tr>
      <w:tr>
        <w:trPr>
          <w:trHeight w:val="22"/>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Commited line of credit borrowings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790,000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7300" w:type="dxa"/>
            <w:vAlign w:val="bottom"/>
            <w:gridSpan w:val="2"/>
          </w:tcPr>
          <w:p>
            <w:pPr>
              <w:ind w:left="20"/>
              <w:spacing w:after="0"/>
              <w:rPr>
                <w:sz w:val="20"/>
                <w:szCs w:val="20"/>
                <w:color w:val="auto"/>
              </w:rPr>
            </w:pPr>
            <w:r>
              <w:rPr>
                <w:rFonts w:ascii="Calibri" w:cs="Calibri" w:eastAsia="Calibri" w:hAnsi="Calibri"/>
                <w:sz w:val="15"/>
                <w:szCs w:val="15"/>
                <w:color w:val="auto"/>
              </w:rPr>
              <w:t>Debt issuance costs and discounts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(7,844)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(8,905)</w:t>
            </w: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3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 long-term debt</w:t>
            </w:r>
          </w:p>
        </w:tc>
        <w:tc>
          <w:tcPr>
            <w:tcW w:w="3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2,282,156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1,491,095</w:t>
            </w:r>
          </w:p>
        </w:tc>
      </w:tr>
      <w:tr>
        <w:trPr>
          <w:trHeight w:val="184"/>
        </w:trPr>
        <w:tc>
          <w:tcPr>
            <w:tcW w:w="7300" w:type="dxa"/>
            <w:vAlign w:val="bottom"/>
            <w:gridSpan w:val="2"/>
          </w:tcPr>
          <w:p>
            <w:pPr>
              <w:ind w:left="20"/>
              <w:spacing w:after="0"/>
              <w:rPr>
                <w:sz w:val="20"/>
                <w:szCs w:val="20"/>
                <w:color w:val="auto"/>
              </w:rPr>
            </w:pPr>
            <w:r>
              <w:rPr>
                <w:rFonts w:ascii="Calibri" w:cs="Calibri" w:eastAsia="Calibri" w:hAnsi="Calibri"/>
                <w:sz w:val="15"/>
                <w:szCs w:val="15"/>
                <w:color w:val="auto"/>
              </w:rPr>
              <w:t>Less: Current porton</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(349,611)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73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Long-term porton</w:t>
            </w:r>
          </w:p>
        </w:tc>
        <w:tc>
          <w:tcPr>
            <w:tcW w:w="380" w:type="dxa"/>
            <w:vAlign w:val="bottom"/>
            <w:tcBorders>
              <w:bottom w:val="single" w:sz="8" w:color="CCEEFF"/>
            </w:tcBorders>
            <w:shd w:val="clear" w:color="auto" w:fill="CCEEFF"/>
          </w:tcPr>
          <w:p>
            <w:pPr>
              <w:jc w:val="right"/>
              <w:ind w:right="223"/>
              <w:spacing w:after="0" w:line="177" w:lineRule="exact"/>
              <w:rPr>
                <w:sz w:val="20"/>
                <w:szCs w:val="20"/>
                <w:color w:val="auto"/>
              </w:rPr>
            </w:pPr>
            <w:r>
              <w:rPr>
                <w:rFonts w:ascii="Calibri" w:cs="Calibri" w:eastAsia="Calibri" w:hAnsi="Calibri"/>
                <w:sz w:val="15"/>
                <w:szCs w:val="15"/>
                <w:b w:val="1"/>
                <w:bCs w:val="1"/>
                <w:color w:val="auto"/>
                <w:w w:val="78"/>
              </w:rPr>
              <w:t>$</w:t>
            </w: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1,932,545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83"/>
              <w:spacing w:after="0" w:line="177" w:lineRule="exact"/>
              <w:rPr>
                <w:sz w:val="20"/>
                <w:szCs w:val="20"/>
                <w:color w:val="auto"/>
              </w:rPr>
            </w:pPr>
            <w:r>
              <w:rPr>
                <w:rFonts w:ascii="Calibri" w:cs="Calibri" w:eastAsia="Calibri" w:hAnsi="Calibri"/>
                <w:sz w:val="15"/>
                <w:szCs w:val="15"/>
                <w:color w:val="auto"/>
              </w:rPr>
              <w:t>$</w:t>
            </w: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1,491,095</w:t>
            </w:r>
          </w:p>
        </w:tc>
      </w:tr>
      <w:tr>
        <w:trPr>
          <w:trHeight w:val="177"/>
        </w:trPr>
        <w:tc>
          <w:tcPr>
            <w:tcW w:w="73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Estmated fair value of long-term debt</w:t>
            </w:r>
          </w:p>
        </w:tc>
        <w:tc>
          <w:tcPr>
            <w:tcW w:w="38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b w:val="1"/>
                <w:bCs w:val="1"/>
                <w:color w:val="auto"/>
                <w:w w:val="78"/>
              </w:rPr>
              <w:t>$</w:t>
            </w: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2,193,000</w:t>
            </w:r>
          </w:p>
        </w:tc>
        <w:tc>
          <w:tcPr>
            <w:tcW w:w="80" w:type="dxa"/>
            <w:vAlign w:val="bottom"/>
          </w:tcPr>
          <w:p>
            <w:pPr>
              <w:spacing w:after="0"/>
              <w:rPr>
                <w:sz w:val="15"/>
                <w:szCs w:val="15"/>
                <w:color w:val="auto"/>
              </w:rPr>
            </w:pPr>
          </w:p>
        </w:tc>
        <w:tc>
          <w:tcPr>
            <w:tcW w:w="560" w:type="dxa"/>
            <w:vAlign w:val="bottom"/>
            <w:tcBorders>
              <w:top w:val="single" w:sz="8" w:color="auto"/>
            </w:tcBorders>
          </w:tcPr>
          <w:p>
            <w:pPr>
              <w:jc w:val="right"/>
              <w:ind w:right="383"/>
              <w:spacing w:after="0" w:line="177" w:lineRule="exact"/>
              <w:rPr>
                <w:sz w:val="20"/>
                <w:szCs w:val="20"/>
                <w:color w:val="auto"/>
              </w:rPr>
            </w:pPr>
            <w:r>
              <w:rPr>
                <w:rFonts w:ascii="Calibri" w:cs="Calibri" w:eastAsia="Calibri" w:hAnsi="Calibri"/>
                <w:sz w:val="15"/>
                <w:szCs w:val="15"/>
                <w:color w:val="auto"/>
              </w:rPr>
              <w:t>$</w:t>
            </w: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1,391,000</w:t>
            </w:r>
          </w:p>
        </w:tc>
      </w:tr>
      <w:tr>
        <w:trPr>
          <w:trHeight w:val="54"/>
        </w:trPr>
        <w:tc>
          <w:tcPr>
            <w:tcW w:w="7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0"/>
        </w:trPr>
        <w:tc>
          <w:tcPr>
            <w:tcW w:w="7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unsecured commited line of credit (CLOC) provides for an unsecured senior revolving credit facility in the aggregate principal amount of $1.5 billion, which includes a $175.0 million sublimit for swingline loans and a $50.0 million sublimit for standby leters of credit. We may request increases in the aggregate principal amount of the revolving credit facility of up to $500.0 million, subject to obtaining commitments from lenders and meetng certain other conditons. The CLOC will mature on June 11, 2026, unless extended pursuant to the terms of the CLOC, at which tme all outstanding amounts thereunder will be due and payable. Our CLOC includes an annual facility fee, which will vary depending on our then current credit ratngs.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The CLOC is subject to various conditons, triggers, events or occurrences that could result in earlier terminaton and contains customary representatons, warrantes, covenants and events of default, including, without limitaton: (1) a covenant requiring the Company to maintain a debt-to-EBITDA rato, as defned by the CLOC agreement, calculated on a consolidated basis of no greater than (a) 3.50 to 1.00 as of the last day of each fscal quarter ending on March 31, June 30, and September 30 of each year and (b) 4.50 to 1.00 as of the last day of each fscal quarter ending on December 31 of each year; (2) a covenant requiring us to maintain an interest coverage rato (EBITDA-to-interest expense) calculated on a consolidated basis of not less than 2.50 to 1.00 as of the last date of any fscal quarter; and (3) covenants restrictng our ability to incur certain additonal debt, incur liens, merge or consolidate with other companies, sell or dispose of assets (including equity interests), liquidate or dissolve, engage in certain transactons with afliates or enter into certain restrictve agreements. The CLOC includes provisions for an equity cure which could potentally allow us to independently cure certain defaults. Proceeds under the CLOC may be used for working capital needs or for other general corporate purposes. We were in compliance with these requirements as of December 31, 2024.</w:t>
      </w:r>
    </w:p>
    <w:p>
      <w:pPr>
        <w:spacing w:after="0" w:line="107"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had an outstanding balance of $790.0 million under our CLOC and amounts available to borrow were not limited by the debt-to-EBITDA covenant as of December 31, 2024.</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7: INCOME TAXES</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auto"/>
        </w:rPr>
        <w:t>We fle a consolidated federal income tax return in the U.S. with the Internal Revenue Service (IRS) and fle tax returns in various state, local, and foreign jurisdictons.</w:t>
      </w:r>
    </w:p>
    <w:p>
      <w:pPr>
        <w:spacing w:after="0" w:line="11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had gross unrecognized tax benefts of $244.1 million and $251.8 million as of December 31, 2024 and June 30, 2024, respectvely. The gross unrecognized tax benefts decreased by $7.7 million during the six months ended December 31, 2024. We believe it is reasonably possible that the balance of unrecognized tax benefts could decrease by approximately $148.4 million within the next twelve months. The antcipated decrease is due to the expiraton of statutes of limitatons, antcipated closure of various tax maters currently under examinaton, and setlements with tax authorites. For such maters where a change in the balance of unrecognized tax benefts is not yet deemed reasonably possible, no estmate has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1"/>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Our efectve tax rate for contnuing operatons, including the efects of discrete tax items, was 24.0% and 28.9% for the six months ended December 31, 2024 and 2023, respectvely. Discrete items increased the efectve tax rate by 0.3% and 5.4% for the six months ended December 31, 2024, and 2023, respectvely. Discrete income tax benefts of $1.5 million and $26.6 million were recorded in the six months ended December 31, 2024 and 2023, respectvely. The discrete tax beneft recorded in the current period primarily resulted from investment tax credit purchases. The discrete tax beneft recorded in the prior period primarily resulted from setlements with taxing authorites and state statute of limitatons expiratons. The impact of discrete tax items combined with the seasonal nature of our business can cause the efectve tax rate in our second quarter to be signifcantly diferent than the rate for our full fscal year.</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Consistent with prior years, our pretax loss for the six months ended December 31, 2024 is expected to be ofset by income in our third and fourth quarters due to the established patern of seasonality in our primary business operatons. As such, management has determined that it is more-likely-than-not that realizaton of tax benefts recorded in our fnancial statements will occur within our fscal year. The amount of tax beneft recorded for the six months ended December 31, 2024 refects management’s estmate of the annual efectve tax rate applied to year-to-date loss from contnuing operatons adjusted for the tax impact of discrete items for the periods presented.</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8: COMMITMENTS AND CONTINGENCIES</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Our U.S. and Canadian businesses ofer our 100% accuracy guarantee. Assisted tax returns are covered by our 100% accuracy guarantee, whereby we will reimburse a client for penaltes and interest atributable to an H&amp;R Block error on a return. DIY tax returns are covered by our 100% accuracy guarantee, whereby we will reimburse a client up to a maximum of $10,000 if our sofware makes an arithmetc error that results in payment of penaltes and/or interest to the respectve taxing authority that a client would otherwise not have been required to pay. Our liability related to estmated losses under the 100% accuracy guarantee was $9.7 million and $14.1 million as of December 31, 2024 and June 30, 2024, respectvely. The short-term and long-term portons of this liability are included in deferred revenue and other liabilites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Liabilites related to acquisitons for (1) estmated contngent consideraton based on expected fnancial performance of the acquired business and economic conditons at the tme of acquisiton and (2) estmated accrued compensaton related to contnued employment of key employees were $38.3 million and $26.9 million as of December 31, 2024 and June 30, 2024 respectvely, with amounts recorded in deferred revenue and other liabilites. Should actual results difer from our estmates, future payments made will difer from the above estmate and any diferences will be recorded in results from contnuing operatons.</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have contractual commitments to fund certain franchises with approved short-term lines of credit for the purpose of meetng their seasonal working capital needs. Our total obligaton under these lines of credit was $20.9 million at December 31, 2024, and net of amounts drawn and outstanding, our remaining commitment to fund totaled $5.8 million.</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During the six months ended December 31, 2024, the Company entered into an agreement to purchase federal investment tax credits (“ITC”), if certain conditons are met. During the six months ended December 31, 2024, we paid $22.9 million for ITCs. As of December 31, 2024, the Company has a remaining commitment to purchase additonal ITCs, for approximately $80.0 million if certain conditons set forth in the agreement are satsfed, with the fnal payment antcipated to occur by June 30, 2025.</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Emerald Advance® term loans are originated by Pathward® N.A. (Pathward). We purchase partcipaton interests, at par, in all EAs originated by Pathward in accordance with our partcipaton agreement. Our partcipaton interest varies by jurisdicton. At December 31, 2024, the principal balance of purchased partcipaton interests for the current year totaled $257.9 million, which represents 87% of total EA volume originated by Pathward.</w:t>
      </w:r>
    </w:p>
    <w:p>
      <w:pPr>
        <w:spacing w:after="0" w:line="8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9: LITIGATION AND OTHER RELATED CONTINGENCIES</w:t>
      </w:r>
    </w:p>
    <w:p>
      <w:pPr>
        <w:spacing w:after="0" w:line="12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We are a defendant in numerous litgaton and arbitraton maters, arising both in the ordinary course of business and otherwise, including as described below. The maters described below are not all of the lawsuits or arbitratons to which we are subject. In some of the maters, very large or indeterminate amounts,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punitve damages, may be sought. U.S. jurisdictons permit considerable variaton in the asserton of monetary damages or other relief. Jurisdictons may permit claimants not to specify the monetary damages sought or may permit claimants to state only that the amount sought is sufcient to invoke the jurisdicton. In additon, jurisdictons may permit plaintfs to allege monetary damages in amounts well exceeding reasonably possible verdicts in the jurisdicton for similar maters. We believe that the monetary relief which may be specifed in a lawsuit or claim bears litle relevance to its merits or dispositon value due to this variability in pleadings and our experience in handling and resolving numerous claims over an extended period of tme.</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outcome of a mater and the amount or range of potental loss at partcular points in tme may be difcult to ascertain. Among other things, uncertaintes can include how fact fnders will evaluate documentary evidence and the credibility and efectveness of witness testmony, and how courts and arbitrators will apply the law. Dispositon valuatons are also subject to the uncertainty of how opposing partes and their counsel will view the relevant evidence and applicable law.</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In additon to litgaton and arbitraton maters, we are also subject to other loss contngencies arising out of our business actvites, including as described below.</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accrue liabilites for litgaton, arbitraton and other related loss contngencies and any related setlements when it is probable that a loss has been incurred and the amount of the loss can be reasonably estmated. If a range of loss is estmated, and some amount within that range appears to be a beter estmate than any other amount within that range, then that amount is accrued. If no amount within the range can be identfed as a beter estmate than any other amount, we accrue the minimum amount in the range.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For such maters where a loss is believed to be reasonably possible, but not probable, or the loss cannot be reasonably estmated, no accrual has been made. It is possible that such maters could require us to pay damages or make other expenditures or accrue liabilites in amounts that could not be reasonably estmated as of December 31, 2024. While the potental future liabilites could be material in the partcular quarterly or annual periods in which they are recorded, based on informaton currently known, we do not believe any such liabilites are likely to have a material adverse efect on our business and our consolidated fnancial positon, results of operatons, and cash fows. Our accrued liabilites were $11.1 million and $7.2 million as of December 31, 2024 and June 30, 2024, respectvely.</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Our estmate of the aggregate range of reasonably possible losses includes (1) maters where a liability has been accrued and there is a reasonably possible loss in excess of the amount accrued for that liability, and (2) maters where a liability has not been accrued but we believe a loss is reasonably possible. This aggregate range only represents those losses as to which we are currently able to estmate a reasonably possible loss or range of loss. It does not represent our maximum loss exposure.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Maters for which we are not currently able to estmate the reasonably possible loss or range of loss are not included in this range. We are ofen unable to estmate the possible loss or range of loss untl developments in such maters have provided sufcient informaton to support an assessment of the reasonably possible loss or range of loss, such as precise informaton about the amount of damages or other remedies being asserted, the defenses to the claims being asserted, discovery from other partes and investgaton of factual allegatons, rulings by courts or arbitrators on motons or appeals, analyses by experts, or the status or terms of any setlement negotatons.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estmated range of reasonably possible loss is based upon currently available informaton and is subject to signifcant judgment and a variety of assumptons, as well as known and unknown uncertaintes. The maters underlying the estmated range will change from tme to tme, and actual results may vary signifcantly from the current estmate. As of December 31, 2024, we believe the estmate of the aggregate range of reasonably possible losses in excess of amounts accrued, where the range of loss can be estmated, is not material.</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At the end of each reportng period, we review relevant informaton with respect to litgaton, arbitraton and other related loss contngencies and update our accruals, disclosures, and estmates of reasonably possible loss or range of loss based on such reviews. Costs incurred with defending maters are expensed as incurred. Any receivable for insurance recoveries is recorded separately from the corresponding liability, and only if recovery is determined to be probable and reasonably estmable.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59"/>
        <w:spacing w:after="0"/>
        <w:tabs>
          <w:tab w:leader="none" w:pos="360" w:val="left"/>
        </w:tabs>
        <w:numPr>
          <w:ilvl w:val="0"/>
          <w:numId w:val="12"/>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believe we have meritorious defenses to the claims asserted in the various maters described in this note, and we intend to defend them vigorously. The amounts claimed in the maters are substantal, however, and there can be no assurances as to their outcomes. In the event of unfavorable outcomes, it could require modifcatons to our operatons; in additon, the amounts that may be required to be paid to discharge or setle the maters could be substantal and could have a material adverse impact on our business and our consolidated fnancial positon, results of operatons, and cash fows.</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have received and are responding to certain governmental inquiries, class actons and mass arbitratons relatng to the IRS Free File Program and other aspects of our DIY tax preparaton services, including the use of pixels. Related to one of these maters, on February 23, 2024, the Federal Trade Commission (FTC) fled an administratve complaint before the FTC alleging unfair or deceptve business acts or practces in connecton with certain aspects of our DIY tax preparaton services. A hearing before an administratve law judge (ALJ) of the FTC was scheduled to begin on October 23, 2024. We fled a complaint in federal court in the Western District of Missouri challenging the consttutonality of the ALJ’s removal protectons and seeking to enjoin the ALJ’s partcipaton in the adjudicaton of the mater. The federal court denied our moton for a preliminary injuncton on August 1, 2024. We fled an appeal with the Eighth Circuit Court of Appeals. On October 21, 2024, we entered into a Consent Agreement to resolve the allegatons of the complaint through a Decision and Order, which became fnal and efectve on January 8, 2025. The complaint fled in the Missouri federal court and the corresponding appeal were subsequently dismissed by consent of the partes. An accrual related to these maters is included in our loss contngency accrual.</w:t>
      </w:r>
    </w:p>
    <w:p>
      <w:pPr>
        <w:spacing w:after="0" w:line="107"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are from tme to tme a party to litgaton, arbitraton and other loss contngencies not discussed herein arising out of our business operatons. These maters may include actons by state atorneys general, other state regulators, federal regulators, individual plaintfs, and cases in which plaintfs seek to represent others who may be similarly situated.</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While we cannot provide assurance that we will ultmately prevail in each instance, we believe the amount, if any, we are required to pay to discharge or setle these other maters will not have a material adverse impact on our business and our consolidated fnancial positon, results of operatons, and cash fows.</w:t>
      </w:r>
    </w:p>
    <w:p>
      <w:pPr>
        <w:spacing w:after="0" w:line="92" w:lineRule="exact"/>
        <w:rPr>
          <w:sz w:val="20"/>
          <w:szCs w:val="20"/>
          <w:color w:val="auto"/>
        </w:rPr>
      </w:pPr>
    </w:p>
    <w:p>
      <w:pPr>
        <w:jc w:val="both"/>
        <w:ind w:left="1080" w:hanging="1082"/>
        <w:spacing w:after="0" w:line="234" w:lineRule="auto"/>
        <w:tabs>
          <w:tab w:leader="none" w:pos="1060" w:val="left"/>
        </w:tabs>
        <w:rPr>
          <w:sz w:val="20"/>
          <w:szCs w:val="20"/>
          <w:color w:val="auto"/>
        </w:rPr>
      </w:pPr>
      <w:r>
        <w:rPr>
          <w:rFonts w:ascii="Calibri" w:cs="Calibri" w:eastAsia="Calibri" w:hAnsi="Calibri"/>
          <w:sz w:val="24"/>
          <w:szCs w:val="24"/>
          <w:b w:val="1"/>
          <w:bCs w:val="1"/>
          <w:color w:val="14AA40"/>
        </w:rPr>
        <w:t>ITEM 2.</w:t>
        <w:tab/>
        <w:t>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RESULTS OF OPERATIONS</w:t>
      </w:r>
    </w:p>
    <w:p>
      <w:pPr>
        <w:spacing w:after="0" w:line="105" w:lineRule="exact"/>
        <w:rPr>
          <w:sz w:val="20"/>
          <w:szCs w:val="20"/>
          <w:color w:val="auto"/>
        </w:rPr>
      </w:pPr>
    </w:p>
    <w:p>
      <w:pPr>
        <w:jc w:val="both"/>
        <w:spacing w:after="0" w:line="256" w:lineRule="auto"/>
        <w:rPr>
          <w:sz w:val="20"/>
          <w:szCs w:val="20"/>
          <w:color w:val="auto"/>
        </w:rPr>
      </w:pPr>
      <w:r>
        <w:rPr>
          <w:rFonts w:ascii="Calibri" w:cs="Calibri" w:eastAsia="Calibri" w:hAnsi="Calibri"/>
          <w:sz w:val="16"/>
          <w:szCs w:val="16"/>
          <w:color w:val="auto"/>
        </w:rPr>
        <w:t>Our subsidiaries provide assisted and do-it-yourself (DIY) tax preparaton solutons through multple channels (including in-person, online and mobile applicatons, virtual, and desktop sofware) and distribute H&amp;R Block-branded products and services, including those of our bank partners, to the general public primarily in the United States (U.S.), Canada and Australia. Tax returns are either prepared by H&amp;R Block tax professionals in one of our company-owned or franchise ofces, virtually or via an online review or prepared and fled by our clients through our DIY tax solutons. We also ofer small business solutons through our company-owned and franchise ofces (including in-person, online and virtual) and online through Wave. We report a single segment that includes all of our contnuing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762635</wp:posOffset>
            </wp:positionV>
            <wp:extent cx="7138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0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4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77"/>
        </w:trPr>
        <w:tc>
          <w:tcPr>
            <w:tcW w:w="48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December 31,</w:t>
            </w:r>
          </w:p>
        </w:tc>
        <w:tc>
          <w:tcPr>
            <w:tcW w:w="500" w:type="dxa"/>
            <w:vAlign w:val="bottom"/>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00" w:type="dxa"/>
            <w:vAlign w:val="bottom"/>
          </w:tcPr>
          <w:p>
            <w:pPr>
              <w:spacing w:after="0"/>
              <w:rPr>
                <w:sz w:val="15"/>
                <w:szCs w:val="15"/>
                <w:color w:val="auto"/>
              </w:rPr>
            </w:pPr>
          </w:p>
        </w:tc>
        <w:tc>
          <w:tcPr>
            <w:tcW w:w="16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4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7"/>
        </w:trPr>
        <w:tc>
          <w:tcPr>
            <w:tcW w:w="470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r>
      <w:tr>
        <w:trPr>
          <w:trHeight w:val="184"/>
        </w:trPr>
        <w:tc>
          <w:tcPr>
            <w:tcW w:w="480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500" w:type="dxa"/>
            <w:vAlign w:val="bottom"/>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48,380</w:t>
            </w:r>
          </w:p>
        </w:tc>
        <w:tc>
          <w:tcPr>
            <w:tcW w:w="100" w:type="dxa"/>
            <w:vAlign w:val="bottom"/>
          </w:tcPr>
          <w:p>
            <w:pPr>
              <w:spacing w:after="0"/>
              <w:rPr>
                <w:sz w:val="16"/>
                <w:szCs w:val="16"/>
                <w:color w:val="auto"/>
              </w:rPr>
            </w:pPr>
          </w:p>
        </w:tc>
        <w:tc>
          <w:tcPr>
            <w:tcW w:w="480" w:type="dxa"/>
            <w:vAlign w:val="bottom"/>
          </w:tcPr>
          <w:p>
            <w:pPr>
              <w:jc w:val="right"/>
              <w:ind w:right="323"/>
              <w:spacing w:after="0"/>
              <w:rPr>
                <w:sz w:val="20"/>
                <w:szCs w:val="20"/>
                <w:color w:val="auto"/>
              </w:rPr>
            </w:pPr>
            <w:r>
              <w:rPr>
                <w:rFonts w:ascii="Calibri" w:cs="Calibri" w:eastAsia="Calibri" w:hAnsi="Calibri"/>
                <w:sz w:val="15"/>
                <w:szCs w:val="15"/>
                <w:color w:val="auto"/>
                <w:w w:val="78"/>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48,342</w:t>
            </w:r>
          </w:p>
        </w:tc>
        <w:tc>
          <w:tcPr>
            <w:tcW w:w="8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38</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0.1 %</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3,499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5,454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(1,955)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(35.8)%</w:t>
            </w:r>
          </w:p>
        </w:tc>
      </w:tr>
      <w:tr>
        <w:trPr>
          <w:trHeight w:val="184"/>
        </w:trPr>
        <w:tc>
          <w:tcPr>
            <w:tcW w:w="480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13,744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13,111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633</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4.8 %</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813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(21.6)%</w:t>
            </w:r>
          </w:p>
        </w:tc>
      </w:tr>
      <w:tr>
        <w:trPr>
          <w:trHeight w:val="184"/>
        </w:trPr>
        <w:tc>
          <w:tcPr>
            <w:tcW w:w="480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16,145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17,440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(1,295)</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(7.4)%</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4,013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4,694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(681)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(14.5)%</w:t>
            </w:r>
          </w:p>
        </w:tc>
      </w:tr>
      <w:tr>
        <w:trPr>
          <w:trHeight w:val="184"/>
        </w:trPr>
        <w:tc>
          <w:tcPr>
            <w:tcW w:w="480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11,824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9,592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2,232</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23.3 %</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79"/>
        </w:trPr>
        <w:tc>
          <w:tcPr>
            <w:tcW w:w="480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98,242</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99,446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(1,204)</w:t>
            </w:r>
          </w:p>
        </w:tc>
        <w:tc>
          <w:tcPr>
            <w:tcW w:w="17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(1.2)%</w:t>
            </w:r>
          </w:p>
        </w:tc>
      </w:tr>
      <w:tr>
        <w:trPr>
          <w:trHeight w:val="184"/>
        </w:trPr>
        <w:tc>
          <w:tcPr>
            <w:tcW w:w="480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10,148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11,700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(1,552)</w:t>
            </w:r>
          </w:p>
        </w:tc>
        <w:tc>
          <w:tcPr>
            <w:tcW w:w="170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(13.3)%</w:t>
            </w:r>
          </w:p>
        </w:tc>
      </w:tr>
      <w:tr>
        <w:trPr>
          <w:trHeight w:val="184"/>
        </w:trPr>
        <w:tc>
          <w:tcPr>
            <w:tcW w:w="4800" w:type="dxa"/>
            <w:vAlign w:val="bottom"/>
            <w:gridSpan w:val="2"/>
          </w:tcPr>
          <w:p>
            <w:pPr>
              <w:ind w:left="220"/>
              <w:spacing w:after="0"/>
              <w:rPr>
                <w:sz w:val="20"/>
                <w:szCs w:val="20"/>
                <w:color w:val="auto"/>
              </w:rPr>
            </w:pPr>
            <w:r>
              <w:rPr>
                <w:rFonts w:ascii="Calibri" w:cs="Calibri" w:eastAsia="Calibri" w:hAnsi="Calibri"/>
                <w:sz w:val="15"/>
                <w:szCs w:val="15"/>
                <w:color w:val="auto"/>
              </w:rPr>
              <w:t>Interest and fee income on Emerald Advance®</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12,308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15,235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(2,927)</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(19.2)%</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79"/>
        </w:trPr>
        <w:tc>
          <w:tcPr>
            <w:tcW w:w="480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22,456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26,935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(4,479)</w:t>
            </w:r>
          </w:p>
        </w:tc>
        <w:tc>
          <w:tcPr>
            <w:tcW w:w="17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(16.6)%</w:t>
            </w:r>
          </w:p>
        </w:tc>
      </w:tr>
      <w:tr>
        <w:trPr>
          <w:trHeight w:val="184"/>
        </w:trPr>
        <w:tc>
          <w:tcPr>
            <w:tcW w:w="480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31,811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29,569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2,242</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7.6 %</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26,561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23,133</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14.8 %</w:t>
            </w:r>
          </w:p>
        </w:tc>
      </w:tr>
      <w:tr>
        <w:trPr>
          <w:trHeight w:val="177"/>
        </w:trPr>
        <w:tc>
          <w:tcPr>
            <w:tcW w:w="480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179,070</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w w:val="78"/>
              </w:rPr>
              <w:t>$</w:t>
            </w: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179,083</w:t>
            </w:r>
          </w:p>
        </w:tc>
        <w:tc>
          <w:tcPr>
            <w:tcW w:w="80" w:type="dxa"/>
            <w:vAlign w:val="bottom"/>
          </w:tcPr>
          <w:p>
            <w:pPr>
              <w:spacing w:after="0"/>
              <w:rPr>
                <w:sz w:val="15"/>
                <w:szCs w:val="15"/>
                <w:color w:val="auto"/>
              </w:rPr>
            </w:pP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w:t>
            </w:r>
          </w:p>
        </w:tc>
        <w:tc>
          <w:tcPr>
            <w:tcW w:w="100" w:type="dxa"/>
            <w:vAlign w:val="bottom"/>
          </w:tcPr>
          <w:p>
            <w:pPr>
              <w:spacing w:after="0"/>
              <w:rPr>
                <w:sz w:val="15"/>
                <w:szCs w:val="15"/>
                <w:color w:val="auto"/>
              </w:rPr>
            </w:pPr>
          </w:p>
        </w:tc>
        <w:tc>
          <w:tcPr>
            <w:tcW w:w="1600" w:type="dxa"/>
            <w:vAlign w:val="bottom"/>
          </w:tcPr>
          <w:p>
            <w:pPr>
              <w:jc w:val="right"/>
              <w:spacing w:after="0" w:line="173" w:lineRule="exact"/>
              <w:rPr>
                <w:sz w:val="20"/>
                <w:szCs w:val="20"/>
                <w:color w:val="auto"/>
              </w:rPr>
            </w:pPr>
            <w:r>
              <w:rPr>
                <w:rFonts w:ascii="Calibri" w:cs="Calibri" w:eastAsia="Calibri" w:hAnsi="Calibri"/>
                <w:sz w:val="15"/>
                <w:szCs w:val="15"/>
                <w:color w:val="auto"/>
              </w:rPr>
              <w:t>— %</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6"/>
        </w:trPr>
        <w:tc>
          <w:tcPr>
            <w:tcW w:w="480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5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r>
      <w:tr>
        <w:trPr>
          <w:trHeight w:val="184"/>
        </w:trPr>
        <w:tc>
          <w:tcPr>
            <w:tcW w:w="480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81,565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77,795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(3,770)</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(4.8)%</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78,731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74,671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(4,060)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(5.4)%</w:t>
            </w:r>
          </w:p>
        </w:tc>
      </w:tr>
      <w:tr>
        <w:trPr>
          <w:trHeight w:val="184"/>
        </w:trPr>
        <w:tc>
          <w:tcPr>
            <w:tcW w:w="480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38,402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36,063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(2,339)</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(6.5)%</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79"/>
        </w:trPr>
        <w:tc>
          <w:tcPr>
            <w:tcW w:w="4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198,698</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188,529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(10,169)</w:t>
            </w:r>
          </w:p>
        </w:tc>
        <w:tc>
          <w:tcPr>
            <w:tcW w:w="17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(5.4)%</w:t>
            </w:r>
          </w:p>
        </w:tc>
      </w:tr>
      <w:tr>
        <w:trPr>
          <w:trHeight w:val="184"/>
        </w:trPr>
        <w:tc>
          <w:tcPr>
            <w:tcW w:w="480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104,999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101,194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(3,805)</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(3.8)%</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14,863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11,305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(31.5)%</w:t>
            </w:r>
          </w:p>
        </w:tc>
      </w:tr>
      <w:tr>
        <w:trPr>
          <w:trHeight w:val="184"/>
        </w:trPr>
        <w:tc>
          <w:tcPr>
            <w:tcW w:w="480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29,195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30,107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912</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3.0 %</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6"/>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5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19,416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21,754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10.7 %</w:t>
            </w:r>
          </w:p>
        </w:tc>
      </w:tr>
      <w:tr>
        <w:trPr>
          <w:trHeight w:val="184"/>
        </w:trPr>
        <w:tc>
          <w:tcPr>
            <w:tcW w:w="480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105,190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93,626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(11,564)</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(12.4)%</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99"/>
        </w:trPr>
        <w:tc>
          <w:tcPr>
            <w:tcW w:w="480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472,361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446,515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(25,846)</w:t>
            </w:r>
          </w:p>
        </w:tc>
        <w:tc>
          <w:tcPr>
            <w:tcW w:w="17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(5.8)%</w:t>
            </w:r>
          </w:p>
        </w:tc>
      </w:tr>
      <w:tr>
        <w:trPr>
          <w:trHeight w:val="177"/>
        </w:trPr>
        <w:tc>
          <w:tcPr>
            <w:tcW w:w="48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2,744</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5,922</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(3,178)</w:t>
            </w:r>
          </w:p>
        </w:tc>
        <w:tc>
          <w:tcPr>
            <w:tcW w:w="17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(53.7)%</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(21,752)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(21,364)</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(388)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(1.8)%</w:t>
            </w:r>
          </w:p>
        </w:tc>
      </w:tr>
      <w:tr>
        <w:trPr>
          <w:trHeight w:val="177"/>
        </w:trPr>
        <w:tc>
          <w:tcPr>
            <w:tcW w:w="48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loss</w:t>
            </w: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(312,299)</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(282,874)</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(29,425)</w:t>
            </w:r>
          </w:p>
        </w:tc>
        <w:tc>
          <w:tcPr>
            <w:tcW w:w="17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(10.4)%</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 beneft</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(69,833)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(93,758)</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(23,925)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(25.5)%</w:t>
            </w:r>
          </w:p>
        </w:tc>
      </w:tr>
      <w:tr>
        <w:trPr>
          <w:trHeight w:val="177"/>
        </w:trPr>
        <w:tc>
          <w:tcPr>
            <w:tcW w:w="48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(242,466)</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(189,116)</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(53,350)</w:t>
            </w:r>
          </w:p>
        </w:tc>
        <w:tc>
          <w:tcPr>
            <w:tcW w:w="17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(28.2)%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(639)</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(315)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(49.3)%</w:t>
            </w:r>
          </w:p>
        </w:tc>
      </w:tr>
      <w:tr>
        <w:trPr>
          <w:trHeight w:val="177"/>
        </w:trPr>
        <w:tc>
          <w:tcPr>
            <w:tcW w:w="48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(243,420)</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w w:val="78"/>
              </w:rPr>
              <w:t>$</w:t>
            </w: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(189,755)</w:t>
            </w:r>
          </w:p>
        </w:tc>
        <w:tc>
          <w:tcPr>
            <w:tcW w:w="80" w:type="dxa"/>
            <w:vAlign w:val="bottom"/>
          </w:tcPr>
          <w:p>
            <w:pPr>
              <w:spacing w:after="0"/>
              <w:rPr>
                <w:sz w:val="15"/>
                <w:szCs w:val="15"/>
                <w:color w:val="auto"/>
              </w:rPr>
            </w:pP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(53,665)</w:t>
            </w:r>
          </w:p>
        </w:tc>
        <w:tc>
          <w:tcPr>
            <w:tcW w:w="17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(28.3)%</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6"/>
        </w:trPr>
        <w:tc>
          <w:tcPr>
            <w:tcW w:w="480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5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r>
      <w:tr>
        <w:trPr>
          <w:trHeight w:val="184"/>
        </w:trPr>
        <w:tc>
          <w:tcPr>
            <w:tcW w:w="480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500" w:type="dxa"/>
            <w:vAlign w:val="bottom"/>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15"/>
                <w:szCs w:val="15"/>
                <w:b w:val="1"/>
                <w:bCs w:val="1"/>
                <w:color w:val="auto"/>
              </w:rPr>
              <w:t>(1.79)</w:t>
            </w:r>
          </w:p>
        </w:tc>
        <w:tc>
          <w:tcPr>
            <w:tcW w:w="100" w:type="dxa"/>
            <w:vAlign w:val="bottom"/>
          </w:tcPr>
          <w:p>
            <w:pPr>
              <w:spacing w:after="0"/>
              <w:rPr>
                <w:sz w:val="16"/>
                <w:szCs w:val="16"/>
                <w:color w:val="auto"/>
              </w:rPr>
            </w:pPr>
          </w:p>
        </w:tc>
        <w:tc>
          <w:tcPr>
            <w:tcW w:w="480" w:type="dxa"/>
            <w:vAlign w:val="bottom"/>
          </w:tcPr>
          <w:p>
            <w:pPr>
              <w:jc w:val="right"/>
              <w:ind w:right="323"/>
              <w:spacing w:after="0"/>
              <w:rPr>
                <w:sz w:val="20"/>
                <w:szCs w:val="20"/>
                <w:color w:val="auto"/>
              </w:rPr>
            </w:pPr>
            <w:r>
              <w:rPr>
                <w:rFonts w:ascii="Calibri" w:cs="Calibri" w:eastAsia="Calibri" w:hAnsi="Calibri"/>
                <w:sz w:val="15"/>
                <w:szCs w:val="15"/>
                <w:color w:val="auto"/>
                <w:w w:val="78"/>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(1.33)</w:t>
            </w:r>
          </w:p>
        </w:tc>
        <w:tc>
          <w:tcPr>
            <w:tcW w:w="8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(0.46)</w:t>
            </w:r>
          </w:p>
        </w:tc>
        <w:tc>
          <w:tcPr>
            <w:tcW w:w="1700" w:type="dxa"/>
            <w:vAlign w:val="bottom"/>
            <w:gridSpan w:val="2"/>
          </w:tcPr>
          <w:p>
            <w:pPr>
              <w:jc w:val="right"/>
              <w:spacing w:after="0"/>
              <w:rPr>
                <w:sz w:val="20"/>
                <w:szCs w:val="20"/>
                <w:color w:val="auto"/>
              </w:rPr>
            </w:pPr>
            <w:r>
              <w:rPr>
                <w:rFonts w:ascii="Calibri" w:cs="Calibri" w:eastAsia="Calibri" w:hAnsi="Calibri"/>
                <w:sz w:val="15"/>
                <w:szCs w:val="15"/>
                <w:color w:val="auto"/>
              </w:rPr>
              <w:t>(34.6)%</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6"/>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77"/>
        </w:trPr>
        <w:tc>
          <w:tcPr>
            <w:tcW w:w="480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0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(1.80)</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w w:val="78"/>
              </w:rPr>
              <w:t>$</w:t>
            </w: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(1.33)</w:t>
            </w:r>
          </w:p>
        </w:tc>
        <w:tc>
          <w:tcPr>
            <w:tcW w:w="80" w:type="dxa"/>
            <w:vAlign w:val="bottom"/>
          </w:tcPr>
          <w:p>
            <w:pPr>
              <w:spacing w:after="0"/>
              <w:rPr>
                <w:sz w:val="15"/>
                <w:szCs w:val="15"/>
                <w:color w:val="auto"/>
              </w:rPr>
            </w:pP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(0.47)</w:t>
            </w:r>
          </w:p>
        </w:tc>
        <w:tc>
          <w:tcPr>
            <w:tcW w:w="17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(35.3)%</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99"/>
        </w:trPr>
        <w:tc>
          <w:tcPr>
            <w:tcW w:w="480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500" w:type="dxa"/>
            <w:vAlign w:val="bottom"/>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3"/>
              <w:spacing w:after="0"/>
              <w:rPr>
                <w:sz w:val="20"/>
                <w:szCs w:val="20"/>
                <w:color w:val="auto"/>
              </w:rPr>
            </w:pPr>
            <w:r>
              <w:rPr>
                <w:rFonts w:ascii="Calibri" w:cs="Calibri" w:eastAsia="Calibri" w:hAnsi="Calibri"/>
                <w:sz w:val="15"/>
                <w:szCs w:val="15"/>
                <w:color w:val="auto"/>
                <w:w w:val="78"/>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(1.27)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Calibri" w:cs="Calibri" w:eastAsia="Calibri" w:hAnsi="Calibri"/>
                <w:sz w:val="15"/>
                <w:szCs w:val="15"/>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(0.46)</w:t>
            </w:r>
          </w:p>
        </w:tc>
        <w:tc>
          <w:tcPr>
            <w:tcW w:w="170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(36.2)%</w:t>
            </w:r>
          </w:p>
        </w:tc>
      </w:tr>
      <w:tr>
        <w:trPr>
          <w:trHeight w:val="238"/>
        </w:trPr>
        <w:tc>
          <w:tcPr>
            <w:tcW w:w="480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500" w:type="dxa"/>
            <w:vAlign w:val="bottom"/>
            <w:tcBorders>
              <w:bottom w:val="single" w:sz="8" w:color="CCEEFF"/>
            </w:tcBorders>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0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(261,352)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jc w:val="right"/>
              <w:ind w:right="323"/>
              <w:spacing w:after="0"/>
              <w:rPr>
                <w:sz w:val="20"/>
                <w:szCs w:val="20"/>
                <w:color w:val="auto"/>
              </w:rPr>
            </w:pPr>
            <w:r>
              <w:rPr>
                <w:rFonts w:ascii="Calibri" w:cs="Calibri" w:eastAsia="Calibri" w:hAnsi="Calibri"/>
                <w:sz w:val="15"/>
                <w:szCs w:val="15"/>
                <w:color w:val="auto"/>
                <w:w w:val="78"/>
              </w:rPr>
              <w:t>$</w:t>
            </w:r>
          </w:p>
        </w:tc>
        <w:tc>
          <w:tcPr>
            <w:tcW w:w="104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(231,403)</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jc w:val="right"/>
              <w:ind w:right="343"/>
              <w:spacing w:after="0"/>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(29,949)</w:t>
            </w:r>
          </w:p>
        </w:tc>
        <w:tc>
          <w:tcPr>
            <w:tcW w:w="170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(12.9)%</w:t>
            </w:r>
          </w:p>
        </w:tc>
      </w:tr>
      <w:tr>
        <w:trPr>
          <w:trHeight w:val="20"/>
        </w:trPr>
        <w:tc>
          <w:tcPr>
            <w:tcW w:w="4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20" w:hanging="217"/>
        <w:spacing w:after="0"/>
        <w:tabs>
          <w:tab w:leader="none" w:pos="220" w:val="left"/>
        </w:tabs>
        <w:numPr>
          <w:ilvl w:val="0"/>
          <w:numId w:val="13"/>
        </w:numPr>
        <w:rPr>
          <w:rFonts w:ascii="Calibri" w:cs="Calibri" w:eastAsia="Calibri" w:hAnsi="Calibri"/>
          <w:sz w:val="18"/>
          <w:szCs w:val="18"/>
          <w:color w:val="auto"/>
          <w:vertAlign w:val="superscript"/>
        </w:rPr>
      </w:pPr>
      <w:r>
        <w:rPr>
          <w:rFonts w:ascii="Calibri" w:cs="Calibri" w:eastAsia="Calibri" w:hAnsi="Calibri"/>
          <w:sz w:val="14"/>
          <w:szCs w:val="14"/>
          <w:color w:val="auto"/>
        </w:rPr>
        <w:t>All non-GAAP measures are results from contnuing operatons. See "</w:t>
      </w:r>
      <w:r>
        <w:rPr>
          <w:rFonts w:ascii="Calibri" w:cs="Calibri" w:eastAsia="Calibri" w:hAnsi="Calibri"/>
          <w:sz w:val="14"/>
          <w:szCs w:val="14"/>
          <w:u w:val="single" w:color="auto"/>
          <w:color w:val="0000FF"/>
        </w:rPr>
        <w:t>Non-GAAP Financial Informaton</w:t>
      </w:r>
      <w:r>
        <w:rPr>
          <w:rFonts w:ascii="Calibri" w:cs="Calibri" w:eastAsia="Calibri" w:hAnsi="Calibri"/>
          <w:sz w:val="14"/>
          <w:szCs w:val="14"/>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hanging="259"/>
        <w:spacing w:after="0"/>
        <w:tabs>
          <w:tab w:leader="none" w:pos="360" w:val="left"/>
        </w:tabs>
        <w:numPr>
          <w:ilvl w:val="0"/>
          <w:numId w:val="14"/>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Three months ended December 31, 2024 compared to December 31, 2023</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Revenues of $179.1 million were fat compared to the prior year. Interest and fee income on Emerald Advance® revenues decreased $2.9 million, or 19.2%, primarily due to a decrease in EA loans originated in the current year.</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Internatonal tax preparaton revenues increased $2.2 million, or 7.6%, primarily due to higher tax return volumes in Australia combined with favorable foreign currency exchange rates. Wave revenues increased $3.4 million, or 14.8%, due to higher accountng, invoicing and receipts subscriptons and small business payments processing volumes.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Total operatng expenses increased $25.8 million, or 5.8%, from the prior year. Field wages increased $3.8 million, or 4.8%, due to higher tax professional wages in the current year. Other wages increased $4.1 million, or 5.4%, due to higher corporate wages primarily due to salary increases. Occupancy expense increased $3.8 million, or 3.8%, primarily due to higher lease and ofce-related expenses. Marketng and advertsing expense increased $3.6 million, or 31.5%, primarily due to the tming of advertsing and lower vendor refunds for expired customer incentves in the current year.</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increased $11.6 million, or 12.4%. The components of other expenses are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6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56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December 31,</w:t>
            </w:r>
          </w:p>
        </w:tc>
        <w:tc>
          <w:tcPr>
            <w:tcW w:w="42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8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77"/>
        </w:trPr>
        <w:tc>
          <w:tcPr>
            <w:tcW w:w="55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18,439</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16,267</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(2,172)</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(13.4)%</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1,316</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(1,113)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(2,429)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4,332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3,107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(1,225)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(39.4)%</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12,495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12,375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28,062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27,261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(801)</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(2.9)%</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18,546</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17,768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(4.4)%</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4,256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2,076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(2,180)</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(105.0)%</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7,192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5,421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(1,771)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(32.7)%</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3,570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4,355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785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18.0 %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6,982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6,109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(873)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(14.3)%</w:t>
            </w:r>
          </w:p>
        </w:tc>
      </w:tr>
      <w:tr>
        <w:trPr>
          <w:trHeight w:val="177"/>
        </w:trPr>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105,190</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93,626</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(11,564)</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(12.4)%</w:t>
            </w:r>
          </w:p>
        </w:tc>
      </w:tr>
      <w:tr>
        <w:trPr>
          <w:trHeight w:val="59"/>
        </w:trPr>
        <w:tc>
          <w:tcPr>
            <w:tcW w:w="5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0"/>
        </w:trPr>
        <w:tc>
          <w:tcPr>
            <w:tcW w:w="5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income (expense), net decreased $3.2 million, or 53.7%, primarily due to higher foreign currency losses and lower interest income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recorded an income tax beneft of $69.8 million in the current year compared to $93.8 million in the prior year. The efectve tax rate for the three months ended December 31, 2024, and 2023 was 22.4% and 33.1%,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696595</wp:posOffset>
            </wp:positionV>
            <wp:extent cx="70973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7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5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7"/>
        </w:trPr>
        <w:tc>
          <w:tcPr>
            <w:tcW w:w="55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540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91,343</w:t>
            </w:r>
          </w:p>
        </w:tc>
        <w:tc>
          <w:tcPr>
            <w:tcW w:w="12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87,605</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3,738</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4.3 %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9,351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11,155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(1,804)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(16.2)%</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16,980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16,959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21</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0.1 %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1,497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1,955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(458)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(23.4)%</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39,242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42,287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(3,045)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(7.2)%</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7,922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9,274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(1,352)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(14.6)%</w:t>
            </w: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25,633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20,572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5,061</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24.6 %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2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191,968</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189,807</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2,161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1.1 %</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18,974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20,333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(1,359)</w:t>
            </w:r>
          </w:p>
        </w:tc>
        <w:tc>
          <w:tcPr>
            <w:tcW w:w="152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(6.7)%</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Interest and fee income on Emerald Advance®</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12,308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15,533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(3,225)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(20.8)%</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31,282</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35,866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(4,584)</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(12.8)%</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96,666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90,134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6,532</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7.2 %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52,964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47,076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5,888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12.5 %</w:t>
            </w:r>
          </w:p>
        </w:tc>
      </w:tr>
      <w:tr>
        <w:trPr>
          <w:trHeight w:val="177"/>
        </w:trPr>
        <w:tc>
          <w:tcPr>
            <w:tcW w:w="552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372,880</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362,883</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9,997</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2.8 %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149,659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140,230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(9,429)</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(6.7)%</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156,066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146,769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(9,297)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(6.3)%</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77,156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71,311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(5,845)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(8.2)%</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382,881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358,310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(24,571)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(6.9)%</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206,317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200,479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(5,838)</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(2.9)%</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24,835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16,786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(8,049)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(48.0)%</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58,026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60,332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2,306</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3.8 %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22,146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26,552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4,406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16.6 %</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200,297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174,182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(26,115)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(15.0)%</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894,502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836,641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(57,861)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(6.9)%</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14,661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15,758</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(1,097)</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(7.0)%</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(37,599)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(37,234)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(365)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loss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(544,560)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(495,234)</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(49,326)</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(10.0)%</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 beneft</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(130,673)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(143,245)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(12,572)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(8.8)%</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(413,887)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(351,989)</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(61,898)</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(17.6)%</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(2,109)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(1,248)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(861)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(69.0)%</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(415,996)</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(353,237)</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(62,759)</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(17.8)%</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(3.02)</w:t>
            </w:r>
          </w:p>
        </w:tc>
        <w:tc>
          <w:tcPr>
            <w:tcW w:w="12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(2.44)</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(0.58)</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(23.8)%</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(0.01)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 %</w:t>
            </w:r>
          </w:p>
        </w:tc>
      </w:tr>
      <w:tr>
        <w:trPr>
          <w:trHeight w:val="177"/>
        </w:trPr>
        <w:tc>
          <w:tcPr>
            <w:tcW w:w="552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(3.03)</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(2.45)</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(0.58)</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(23.7)%</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(0.58)</w:t>
            </w:r>
          </w:p>
        </w:tc>
        <w:tc>
          <w:tcPr>
            <w:tcW w:w="152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(25.1)%</w:t>
            </w:r>
          </w:p>
        </w:tc>
      </w:tr>
      <w:tr>
        <w:trPr>
          <w:trHeight w:val="238"/>
        </w:trPr>
        <w:tc>
          <w:tcPr>
            <w:tcW w:w="552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(448,935)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(397,668)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(51,267)</w:t>
            </w:r>
          </w:p>
        </w:tc>
        <w:tc>
          <w:tcPr>
            <w:tcW w:w="152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(12.9)%</w:t>
            </w:r>
          </w:p>
        </w:tc>
      </w:tr>
      <w:tr>
        <w:trPr>
          <w:trHeight w:val="20"/>
        </w:trPr>
        <w:tc>
          <w:tcPr>
            <w:tcW w:w="5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15"/>
        </w:numPr>
        <w:rPr>
          <w:rFonts w:ascii="Calibri" w:cs="Calibri" w:eastAsia="Calibri" w:hAnsi="Calibri"/>
          <w:sz w:val="14"/>
          <w:szCs w:val="14"/>
          <w:color w:val="auto"/>
          <w:vertAlign w:val="superscript"/>
        </w:rPr>
      </w:pPr>
      <w:r>
        <w:rPr>
          <w:rFonts w:ascii="Calibri" w:cs="Calibri" w:eastAsia="Calibri" w:hAnsi="Calibri"/>
          <w:sz w:val="11"/>
          <w:szCs w:val="11"/>
          <w:color w:val="auto"/>
        </w:rPr>
        <w:t>All non-GAAP measures are results from contnuing operatons. See "</w:t>
      </w:r>
      <w:r>
        <w:rPr>
          <w:rFonts w:ascii="Calibri" w:cs="Calibri" w:eastAsia="Calibri" w:hAnsi="Calibri"/>
          <w:sz w:val="11"/>
          <w:szCs w:val="11"/>
          <w:u w:val="single" w:color="auto"/>
          <w:color w:val="0000FF"/>
        </w:rPr>
        <w:t>Non-GAAP Financial Informaton</w:t>
      </w:r>
      <w:r>
        <w:rPr>
          <w:rFonts w:ascii="Calibri" w:cs="Calibri" w:eastAsia="Calibri" w:hAnsi="Calibri"/>
          <w:sz w:val="11"/>
          <w:szCs w:val="11"/>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hanging="259"/>
        <w:spacing w:after="0"/>
        <w:tabs>
          <w:tab w:leader="none" w:pos="360" w:val="left"/>
        </w:tabs>
        <w:numPr>
          <w:ilvl w:val="0"/>
          <w:numId w:val="16"/>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0" w:name="page21"/>
    <w:bookmarkEnd w:id="2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Six months ended December 31, 2024 compared to December 31, 2023</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Revenues increased $10.0 million, or 2.8%, from the prior year. U.S. assisted tax preparaton revenues increased $3.7 million, or 4.3%, primarily due to an increase in net average charge.</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Peace of Mind® revenue decreased $3.0 million, or 7.2%, due to lower prior year sales of Peace of Mind®. Peace of Mind® revenues are initally deferred and recognized over the term of the plan. Other revenues increased $5.1 million, or 24.6%, primarily due to higher bookkeeping fees. Interest and fee income on Emerald Advance® revenues decreased $3.2 million, or 20.8%, primarily due to a decrease in EA loans originated in the current year.</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Internatonal revenues increased $6.5 million, or 7.2%, primarily due to higher tax return volumes in Australia combined with favorable foreign currency exchange rates. Wave revenues increased $5.9 million, or 12.5%, due to higher accountng, invoicing and receipts subscriptons and small business payments processing volumes.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Total operatng expenses increased $57.9 million, or 6.9%, from the prior year period. Field wages increased $9.4 million, or 6.7%, due to higher tax professional wages in the current year. Other wages increased $9.3 million, or 6.3%, primarily due to higher corporate wages due to salary increases in the current year. Benefts and other compensaton increased $5.8 million, or 8.2%, due to higher employee insurance and severance pay in the current year. Occupancy expense increased $5.8 million, or 2.9%, primarily due to higher lease and ofce-related expenses. Marketng and advertsing expense increased $8.0 million, or 48.0%, due to the tming of advertsing and lower vendor refunds for expired customer incentves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increased $26.1 million, or 15.0%. The components of other expenses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0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7"/>
        </w:trPr>
        <w:tc>
          <w:tcPr>
            <w:tcW w:w="504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48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54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77"/>
        </w:trPr>
        <w:tc>
          <w:tcPr>
            <w:tcW w:w="49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33,883</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29,401</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w w:val="78"/>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(4,482)</w:t>
            </w:r>
          </w:p>
        </w:tc>
        <w:tc>
          <w:tcPr>
            <w:tcW w:w="120" w:type="dxa"/>
            <w:vAlign w:val="bottom"/>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(15.2)%</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1,363</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(1,065)</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(2,428)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10,276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9,346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(930)</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(10.0)%</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18,612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18,061</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(551)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(3.1)%</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52,563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50,339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(2,224)</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(4.4)%</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36,695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34,937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(1,758)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(5.0)%</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7,800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5,426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(2,374)</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(43.8)%</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21,654</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8,429</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(13,225)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(156.9)%</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6,477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7,118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641</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9.0 %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10,974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12,190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1,216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10.0 %</w:t>
            </w:r>
          </w:p>
        </w:tc>
      </w:tr>
      <w:tr>
        <w:trPr>
          <w:trHeight w:val="177"/>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200,297</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174,182</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w w:val="78"/>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(26,115)</w:t>
            </w:r>
          </w:p>
        </w:tc>
        <w:tc>
          <w:tcPr>
            <w:tcW w:w="166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(15.0)%</w:t>
            </w:r>
          </w:p>
        </w:tc>
      </w:tr>
      <w:tr>
        <w:trPr>
          <w:trHeight w:val="59"/>
        </w:trPr>
        <w:tc>
          <w:tcPr>
            <w:tcW w:w="4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r>
      <w:tr>
        <w:trPr>
          <w:trHeight w:val="20"/>
        </w:trPr>
        <w:tc>
          <w:tcPr>
            <w:tcW w:w="4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Legal expense increased $13.2 million primarily due to higher outside legal counsel spend.</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 xml:space="preserve">We recorded income tax expense of $130.7 million in the current year compared to $143.2 million in the prior year. The efectve tax rate for the six months ended December 31, 2024, and 2023 was 24.0% and 28.9%, respectvely. See </w:t>
      </w:r>
      <w:r>
        <w:rPr>
          <w:rFonts w:ascii="Calibri" w:cs="Calibri" w:eastAsia="Calibri" w:hAnsi="Calibri"/>
          <w:sz w:val="17"/>
          <w:szCs w:val="17"/>
          <w:u w:val="single" w:color="auto"/>
          <w:color w:val="0000FF"/>
        </w:rPr>
        <w:t>Item 1, note 7</w:t>
      </w:r>
      <w:r>
        <w:rPr>
          <w:rFonts w:ascii="Calibri" w:cs="Calibri" w:eastAsia="Calibri" w:hAnsi="Calibri"/>
          <w:sz w:val="17"/>
          <w:szCs w:val="17"/>
          <w:color w:val="auto"/>
        </w:rPr>
        <w:t xml:space="preserve"> to the consolidated fnancial statements for additonal discussion.</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FINANCIAL CONDITION</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These comments should be read in conjuncton with the consolidated balance sheets and consolidated statements of cash fows included in </w:t>
      </w:r>
      <w:r>
        <w:rPr>
          <w:rFonts w:ascii="Calibri" w:cs="Calibri" w:eastAsia="Calibri" w:hAnsi="Calibri"/>
          <w:sz w:val="17"/>
          <w:szCs w:val="17"/>
          <w:u w:val="single" w:color="auto"/>
          <w:color w:val="0000FF"/>
        </w:rPr>
        <w:t>Part 1, Item 1</w:t>
      </w:r>
      <w:r>
        <w:rPr>
          <w:rFonts w:ascii="Calibri" w:cs="Calibri" w:eastAsia="Calibri" w:hAnsi="Calibri"/>
          <w:sz w:val="17"/>
          <w:szCs w:val="17"/>
          <w:color w:val="auto"/>
        </w:rPr>
        <w:t>.</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CAPITAL RESOURCES AND LIQUIDITY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OVERVIEW </w:t>
      </w:r>
      <w:r>
        <w:rPr>
          <w:rFonts w:ascii="Calibri" w:cs="Calibri" w:eastAsia="Calibri" w:hAnsi="Calibri"/>
          <w:sz w:val="17"/>
          <w:szCs w:val="17"/>
          <w:color w:val="auto"/>
        </w:rPr>
        <w:t>– Our primary sources of capital and liquidity include cash from operatons (including changes in working capital), draws on our unsecured commited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line of credit (CLOC), and issuances of debt. We use our sources of liquidity primarily to fund working capital, service and repay debt, pay dividends, repurchase shares of our common stock, and acquire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operatons are highly seasonal and substantally all of our revenues and cash fow are generated during the period from February through April in a typical year. Therefore, we normally require the use of cash to fund losses and working capital needs, periodically resultng in a working capital defcit, during the months of May through January. We typically have relied on available cash balances from the prior tax season and borrowings to meet liquidity needs.</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Given the likely availability of a number of liquidity optons discussed herein, we believe that, in the absence of any unexpected developments, our existng sources of capital as of December 31, 2024 are sufcient to meet our operatng, investng and fnancing needs.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DISCUSSION OF CONSOLIDATED STATEMENTS OF CASH FLOWS </w:t>
      </w:r>
      <w:r>
        <w:rPr>
          <w:rFonts w:ascii="Calibri" w:cs="Calibri" w:eastAsia="Calibri" w:hAnsi="Calibri"/>
          <w:sz w:val="17"/>
          <w:szCs w:val="17"/>
          <w:color w:val="auto"/>
        </w:rPr>
        <w:t>– The following table summarizes our statements of cash fows for the six months ended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December 31, 2024 and 2023. See </w:t>
      </w:r>
      <w:r>
        <w:rPr>
          <w:rFonts w:ascii="Calibri" w:cs="Calibri" w:eastAsia="Calibri" w:hAnsi="Calibri"/>
          <w:sz w:val="17"/>
          <w:szCs w:val="17"/>
          <w:u w:val="single" w:color="auto"/>
          <w:color w:val="0000FF"/>
        </w:rPr>
        <w:t>Item 1</w:t>
      </w:r>
      <w:r>
        <w:rPr>
          <w:rFonts w:ascii="Calibri" w:cs="Calibri" w:eastAsia="Calibri" w:hAnsi="Calibri"/>
          <w:sz w:val="17"/>
          <w:szCs w:val="17"/>
          <w:color w:val="auto"/>
        </w:rPr>
        <w:t xml:space="preserve"> for the complete consolidated statements of cash fows for these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3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3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68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7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7220" w:type="dxa"/>
            <w:vAlign w:val="bottom"/>
          </w:tcPr>
          <w:p>
            <w:pPr>
              <w:ind w:left="20"/>
              <w:spacing w:after="0" w:line="177" w:lineRule="exact"/>
              <w:rPr>
                <w:sz w:val="20"/>
                <w:szCs w:val="20"/>
                <w:color w:val="auto"/>
              </w:rPr>
            </w:pPr>
            <w:r>
              <w:rPr>
                <w:rFonts w:ascii="Calibri" w:cs="Calibri" w:eastAsia="Calibri" w:hAnsi="Calibri"/>
                <w:sz w:val="15"/>
                <w:szCs w:val="15"/>
                <w:color w:val="auto"/>
              </w:rPr>
              <w:t>Net cash provided by (used in):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actvites</w:t>
            </w:r>
          </w:p>
        </w:tc>
        <w:tc>
          <w:tcPr>
            <w:tcW w:w="680" w:type="dxa"/>
            <w:vAlign w:val="bottom"/>
            <w:tcBorders>
              <w:bottom w:val="single" w:sz="8" w:color="CCEEFF"/>
            </w:tcBorders>
            <w:shd w:val="clear" w:color="auto" w:fill="CCEEFF"/>
          </w:tcPr>
          <w:p>
            <w:pPr>
              <w:jc w:val="right"/>
              <w:ind w:right="523"/>
              <w:spacing w:after="0"/>
              <w:rPr>
                <w:sz w:val="20"/>
                <w:szCs w:val="20"/>
                <w:color w:val="auto"/>
              </w:rPr>
            </w:pPr>
            <w:r>
              <w:rPr>
                <w:rFonts w:ascii="Calibri" w:cs="Calibri" w:eastAsia="Calibri" w:hAnsi="Calibri"/>
                <w:sz w:val="15"/>
                <w:szCs w:val="15"/>
                <w:b w:val="1"/>
                <w:bCs w:val="1"/>
                <w:color w:val="auto"/>
                <w:w w:val="7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(895,638)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3"/>
              <w:spacing w:after="0"/>
              <w:rPr>
                <w:sz w:val="20"/>
                <w:szCs w:val="20"/>
                <w:color w:val="auto"/>
              </w:rPr>
            </w:pPr>
            <w:r>
              <w:rPr>
                <w:rFonts w:ascii="Calibri" w:cs="Calibri" w:eastAsia="Calibri" w:hAnsi="Calibri"/>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(942,166)</w:t>
            </w:r>
          </w:p>
        </w:tc>
      </w:tr>
      <w:tr>
        <w:trPr>
          <w:trHeight w:val="184"/>
        </w:trPr>
        <w:tc>
          <w:tcPr>
            <w:tcW w:w="7320" w:type="dxa"/>
            <w:vAlign w:val="bottom"/>
            <w:gridSpan w:val="2"/>
          </w:tcPr>
          <w:p>
            <w:pPr>
              <w:ind w:left="140"/>
              <w:spacing w:after="0"/>
              <w:rPr>
                <w:sz w:val="20"/>
                <w:szCs w:val="20"/>
                <w:color w:val="auto"/>
              </w:rPr>
            </w:pPr>
            <w:r>
              <w:rPr>
                <w:rFonts w:ascii="Calibri" w:cs="Calibri" w:eastAsia="Calibri" w:hAnsi="Calibri"/>
                <w:sz w:val="15"/>
                <w:szCs w:val="15"/>
                <w:color w:val="auto"/>
              </w:rPr>
              <w:t>Investng actvites</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(87,493)</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color w:val="auto"/>
              </w:rPr>
              <w:t>(71,045)</w:t>
            </w:r>
          </w:p>
        </w:tc>
      </w:tr>
      <w:tr>
        <w:trPr>
          <w:trHeight w:val="22"/>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Financing actvites</w:t>
            </w:r>
          </w:p>
        </w:tc>
        <w:tc>
          <w:tcPr>
            <w:tcW w:w="6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258,598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335,448</w:t>
            </w:r>
          </w:p>
        </w:tc>
      </w:tr>
      <w:tr>
        <w:trPr>
          <w:trHeight w:val="184"/>
        </w:trPr>
        <w:tc>
          <w:tcPr>
            <w:tcW w:w="7320" w:type="dxa"/>
            <w:vAlign w:val="bottom"/>
            <w:gridSpan w:val="2"/>
          </w:tcPr>
          <w:p>
            <w:pPr>
              <w:ind w:left="20"/>
              <w:spacing w:after="0"/>
              <w:rPr>
                <w:sz w:val="20"/>
                <w:szCs w:val="20"/>
                <w:color w:val="auto"/>
              </w:rPr>
            </w:pPr>
            <w:r>
              <w:rPr>
                <w:rFonts w:ascii="Calibri" w:cs="Calibri" w:eastAsia="Calibri" w:hAnsi="Calibri"/>
                <w:sz w:val="15"/>
                <w:szCs w:val="15"/>
                <w:color w:val="auto"/>
              </w:rPr>
              <w:t>Efects of exchange rates on cash</w:t>
            </w:r>
          </w:p>
        </w:tc>
        <w:tc>
          <w:tcPr>
            <w:tcW w:w="6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(9,136)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color w:val="auto"/>
              </w:rPr>
              <w:t>671</w:t>
            </w:r>
          </w:p>
        </w:tc>
      </w:tr>
      <w:tr>
        <w:trPr>
          <w:trHeight w:val="22"/>
        </w:trPr>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732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decrease in cash and cash equivalents, including restricted balances</w:t>
            </w:r>
          </w:p>
        </w:tc>
        <w:tc>
          <w:tcPr>
            <w:tcW w:w="680" w:type="dxa"/>
            <w:vAlign w:val="bottom"/>
            <w:tcBorders>
              <w:bottom w:val="single" w:sz="8" w:color="CCEEFF"/>
            </w:tcBorders>
            <w:shd w:val="clear" w:color="auto" w:fill="CCEEFF"/>
          </w:tcPr>
          <w:p>
            <w:pPr>
              <w:jc w:val="right"/>
              <w:ind w:right="523"/>
              <w:spacing w:after="0" w:line="177" w:lineRule="exact"/>
              <w:rPr>
                <w:sz w:val="20"/>
                <w:szCs w:val="20"/>
                <w:color w:val="auto"/>
              </w:rPr>
            </w:pPr>
            <w:r>
              <w:rPr>
                <w:rFonts w:ascii="Calibri" w:cs="Calibri" w:eastAsia="Calibri" w:hAnsi="Calibri"/>
                <w:sz w:val="15"/>
                <w:szCs w:val="15"/>
                <w:b w:val="1"/>
                <w:bCs w:val="1"/>
                <w:color w:val="auto"/>
                <w:w w:val="78"/>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(733,669)</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3"/>
              <w:spacing w:after="0" w:line="177" w:lineRule="exact"/>
              <w:rPr>
                <w:sz w:val="20"/>
                <w:szCs w:val="20"/>
                <w:color w:val="auto"/>
              </w:rPr>
            </w:pPr>
            <w:r>
              <w:rPr>
                <w:rFonts w:ascii="Calibri" w:cs="Calibri" w:eastAsia="Calibri" w:hAnsi="Calibri"/>
                <w:sz w:val="15"/>
                <w:szCs w:val="15"/>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(677,092)</w:t>
            </w:r>
          </w:p>
        </w:tc>
      </w:tr>
      <w:tr>
        <w:trPr>
          <w:trHeight w:val="32"/>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Operatng Actvites. </w:t>
      </w:r>
      <w:r>
        <w:rPr>
          <w:rFonts w:ascii="Calibri" w:cs="Calibri" w:eastAsia="Calibri" w:hAnsi="Calibri"/>
          <w:sz w:val="17"/>
          <w:szCs w:val="17"/>
          <w:color w:val="auto"/>
        </w:rPr>
        <w:t>Cash used in operatons totaled $895.6 million for the six months ended December 31, 2024 compared to $942.2 million in the prior year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period. The change is primarily due to lower EA loans originated in the current year and changes in deferred taxes, partally ofset by a higher net loss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Investng Actvites. </w:t>
      </w:r>
      <w:r>
        <w:rPr>
          <w:rFonts w:ascii="Calibri" w:cs="Calibri" w:eastAsia="Calibri" w:hAnsi="Calibri"/>
          <w:sz w:val="17"/>
          <w:szCs w:val="17"/>
          <w:color w:val="auto"/>
        </w:rPr>
        <w:t>Cash used in investng actvites totaled $87.5 million for the six months ended December 31, 2024 compared to $71.0 million in the prior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year period. The change is primarily due to higher capital expenditures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Financing Actvites. </w:t>
      </w:r>
      <w:r>
        <w:rPr>
          <w:rFonts w:ascii="Calibri" w:cs="Calibri" w:eastAsia="Calibri" w:hAnsi="Calibri"/>
          <w:sz w:val="17"/>
          <w:szCs w:val="17"/>
          <w:color w:val="auto"/>
        </w:rPr>
        <w:t>Cash provided by fnancing actvites totaled $258.6 million for the six months ended December 31, 2024 compared to $335.4 million in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prior year period. The change is primarily due to higher repurchases of common stock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b w:val="1"/>
          <w:bCs w:val="1"/>
          <w:color w:val="auto"/>
        </w:rPr>
        <w:t xml:space="preserve">CASH REQUIREMENTS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Dividends and Share Repurchases. </w:t>
      </w:r>
      <w:r>
        <w:rPr>
          <w:rFonts w:ascii="Calibri" w:cs="Calibri" w:eastAsia="Calibri" w:hAnsi="Calibri"/>
          <w:sz w:val="17"/>
          <w:szCs w:val="17"/>
          <w:color w:val="auto"/>
        </w:rPr>
        <w:t>Returning capital to shareholders in the form of dividends and the repurchase of outstanding shares is, and has historically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been, a signifcant component of our capital allocaton plan.</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have consistently paid quarterly dividends. Dividends paid totaled $97.0 million and $89.9 million for the six months ended December 31, 2024 and 2023, respectvely. Although we have historically paid dividends and plan to contnue to do so, there can be no assurances that circumstances will not change in the future that could afect our ability or decisions to pay dividends.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On August 15, 2024, the Board of Directors approved a $1.5 billion share repurchase program. The repurchase program does not have an expiraton date and replaced the previously existng share repurchase program. During the six months ended December 31, 2024, we repurchased $400.1 million of our common stock at an average price of $61.10 per share, excluding excise taxes in connecton with such repurchases. In the prior year period, we repurchased $350.1 million of our common stock at an average price of $43.66 per share, excluding excise taxes in connecton with such repurchases. Our current share repurchase program has remaining authorizaton of $1.1 billion and does not have an expiraton date.</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Share repurchases may be efectuated through open market transactons, some of which may be efectuated under SEC Rule 10b5-1. The Company may cancel, suspend, or extend the period for the purchase of shares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59"/>
        <w:spacing w:after="0"/>
        <w:tabs>
          <w:tab w:leader="none" w:pos="360" w:val="left"/>
        </w:tabs>
        <w:numPr>
          <w:ilvl w:val="0"/>
          <w:numId w:val="1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tme. Any repurchases will be funded primarily through available cash and cash from operatons. Although we may contnue to repurchase shares, there is no assurance that we will purchase up to the full Board authorizaton.</w:t>
      </w:r>
    </w:p>
    <w:p>
      <w:pPr>
        <w:spacing w:after="0" w:line="106" w:lineRule="exact"/>
        <w:rPr>
          <w:sz w:val="20"/>
          <w:szCs w:val="20"/>
          <w:color w:val="auto"/>
        </w:rPr>
      </w:pPr>
    </w:p>
    <w:p>
      <w:pPr>
        <w:jc w:val="both"/>
        <w:ind w:firstLine="169"/>
        <w:spacing w:after="0" w:line="238" w:lineRule="auto"/>
        <w:rPr>
          <w:sz w:val="20"/>
          <w:szCs w:val="20"/>
          <w:color w:val="auto"/>
        </w:rPr>
      </w:pPr>
      <w:r>
        <w:rPr>
          <w:rFonts w:ascii="Calibri" w:cs="Calibri" w:eastAsia="Calibri" w:hAnsi="Calibri"/>
          <w:sz w:val="17"/>
          <w:szCs w:val="17"/>
          <w:b w:val="1"/>
          <w:bCs w:val="1"/>
          <w:color w:val="auto"/>
        </w:rPr>
        <w:t xml:space="preserve">Capital Investment. </w:t>
      </w:r>
      <w:r>
        <w:rPr>
          <w:rFonts w:ascii="Calibri" w:cs="Calibri" w:eastAsia="Calibri" w:hAnsi="Calibri"/>
          <w:sz w:val="17"/>
          <w:szCs w:val="17"/>
          <w:color w:val="auto"/>
        </w:rPr>
        <w:t>Capital expenditures totaled $49.1 million and $32.7 million for the six months ended December 31, 2024 and 2023, respectvely. Our capital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expenditures relate primarily to recurring improvements to retail ofces, as well as investments in computers, sofware and related assets. In additon to our capital expenditures, we also made payments to acquire businesses. We acquired franchisee and compettor businesses totaling $28.0 million and $27.2 million during the six months ended December 31, 2024 and 2023, respectvely. See </w:t>
      </w:r>
      <w:r>
        <w:rPr>
          <w:rFonts w:ascii="Calibri" w:cs="Calibri" w:eastAsia="Calibri" w:hAnsi="Calibri"/>
          <w:sz w:val="17"/>
          <w:szCs w:val="17"/>
          <w:u w:val="single" w:color="auto"/>
          <w:color w:val="0000FF"/>
        </w:rPr>
        <w:t>Item 1, note 5</w:t>
      </w:r>
      <w:r>
        <w:rPr>
          <w:rFonts w:ascii="Calibri" w:cs="Calibri" w:eastAsia="Calibri" w:hAnsi="Calibri"/>
          <w:sz w:val="17"/>
          <w:szCs w:val="17"/>
          <w:color w:val="auto"/>
        </w:rPr>
        <w:t xml:space="preserve"> for additonal informaton on our acquisitons.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FINANCING RESOURCES </w:t>
      </w:r>
      <w:r>
        <w:rPr>
          <w:rFonts w:ascii="Calibri" w:cs="Calibri" w:eastAsia="Calibri" w:hAnsi="Calibri"/>
          <w:sz w:val="17"/>
          <w:szCs w:val="17"/>
          <w:color w:val="auto"/>
        </w:rPr>
        <w:t>– The CLOC has capacity up to $1.5 billion and is scheduled to expire in June 2026. Proceeds under the CLOC may be used for working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capital needs or for other general corporate purposes. We had an outstanding balance of $790.0 million under our CLOC and amounts available to borrow were not limited by the debt-to-EBITDA covenant as of December 31, 2024.</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Senior Notes due in October 2025 (2025 Senior Notes) are classifed as a current liability as of December 31, 2024. We are considering various fnancing optons in regard to the maturing 2025 Senior Notes and antcipate these optons will provide adequate liquidity to fund the cash requirements at or prior to maturity.</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table provides ratngs for debt issued by Block Financial LLC (Block Financial) as of December 31, 2024 and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38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gridSpan w:val="2"/>
          </w:tcPr>
          <w:p>
            <w:pPr>
              <w:ind w:left="20"/>
              <w:spacing w:after="0"/>
              <w:rPr>
                <w:sz w:val="20"/>
                <w:szCs w:val="20"/>
                <w:color w:val="auto"/>
              </w:rPr>
            </w:pPr>
            <w:r>
              <w:rPr>
                <w:rFonts w:ascii="Calibri" w:cs="Calibri" w:eastAsia="Calibri" w:hAnsi="Calibri"/>
                <w:sz w:val="15"/>
                <w:szCs w:val="15"/>
                <w:color w:val="auto"/>
              </w:rPr>
              <w:t>As of</w:t>
            </w:r>
          </w:p>
        </w:tc>
        <w:tc>
          <w:tcPr>
            <w:tcW w:w="12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Calibri" w:cs="Calibri" w:eastAsia="Calibri" w:hAnsi="Calibri"/>
                <w:sz w:val="15"/>
                <w:szCs w:val="15"/>
                <w:b w:val="1"/>
                <w:bCs w:val="1"/>
                <w:color w:val="auto"/>
              </w:rPr>
              <w:t>December 31, 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Calibri" w:cs="Calibri" w:eastAsia="Calibri" w:hAnsi="Calibri"/>
                <w:sz w:val="15"/>
                <w:szCs w:val="15"/>
                <w:color w:val="auto"/>
              </w:rPr>
              <w:t>June 30, 2024</w:t>
            </w:r>
          </w:p>
        </w:tc>
        <w:tc>
          <w:tcPr>
            <w:tcW w:w="1220" w:type="dxa"/>
            <w:vAlign w:val="bottom"/>
          </w:tcPr>
          <w:p>
            <w:pPr>
              <w:spacing w:after="0"/>
              <w:rPr>
                <w:sz w:val="16"/>
                <w:szCs w:val="16"/>
                <w:color w:val="auto"/>
              </w:rPr>
            </w:pPr>
          </w:p>
        </w:tc>
      </w:tr>
      <w:tr>
        <w:trPr>
          <w:trHeight w:val="26"/>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Short-term</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12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Short-term</w:t>
            </w:r>
          </w:p>
        </w:tc>
        <w:tc>
          <w:tcPr>
            <w:tcW w:w="132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r>
      <w:tr>
        <w:trPr>
          <w:trHeight w:val="22"/>
        </w:trPr>
        <w:tc>
          <w:tcPr>
            <w:tcW w:w="3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ind w:left="20"/>
              <w:spacing w:after="0" w:line="177" w:lineRule="exact"/>
              <w:rPr>
                <w:sz w:val="20"/>
                <w:szCs w:val="20"/>
                <w:color w:val="auto"/>
              </w:rPr>
            </w:pPr>
            <w:r>
              <w:rPr>
                <w:rFonts w:ascii="Calibri" w:cs="Calibri" w:eastAsia="Calibri" w:hAnsi="Calibri"/>
                <w:sz w:val="15"/>
                <w:szCs w:val="15"/>
                <w:color w:val="auto"/>
              </w:rPr>
              <w:t>Moody's</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P-3</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Stable</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P-3</w:t>
            </w:r>
          </w:p>
        </w:tc>
        <w:tc>
          <w:tcPr>
            <w:tcW w:w="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Stable</w:t>
            </w:r>
          </w:p>
        </w:tc>
      </w:tr>
      <w:tr>
        <w:trPr>
          <w:trHeight w:val="22"/>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S&amp;P</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A-2</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BBB</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Stable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A-2</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BBB</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Stable</w:t>
            </w:r>
          </w:p>
        </w:tc>
      </w:tr>
      <w:tr>
        <w:trPr>
          <w:trHeight w:val="52"/>
        </w:trPr>
        <w:tc>
          <w:tcPr>
            <w:tcW w:w="3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Other than described above, there have been no material changes in our borrowings from those reported as of June 30, 2024 in our Annual Report on Form 10-K.</w:t>
      </w:r>
    </w:p>
    <w:p>
      <w:pPr>
        <w:spacing w:after="0" w:line="11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CASH AND OTHER ASSETS </w:t>
      </w:r>
      <w:r>
        <w:rPr>
          <w:rFonts w:ascii="Calibri" w:cs="Calibri" w:eastAsia="Calibri" w:hAnsi="Calibri"/>
          <w:sz w:val="17"/>
          <w:szCs w:val="17"/>
          <w:color w:val="auto"/>
        </w:rPr>
        <w:t>– As of December 31, 2024, we held cash and cash equivalents, excluding restricted amounts, of $320.1 million, including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$158.6 million held by our foreign subsidiaries.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Foreign Operatons. </w:t>
      </w:r>
      <w:r>
        <w:rPr>
          <w:rFonts w:ascii="Calibri" w:cs="Calibri" w:eastAsia="Calibri" w:hAnsi="Calibri"/>
          <w:sz w:val="17"/>
          <w:szCs w:val="17"/>
          <w:color w:val="auto"/>
        </w:rPr>
        <w:t>Seasonal borrowing needs of our Canadian operatons are typically funded by our U.S. operatons. To mitgate foreign currency risk, we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sometmes enter into foreign exchange forward contracts. There were no forward contracts outstanding as of December 31, 2024.</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We do not currently intend to repatriate non-borrowed funds held by our foreign subsidiaries in a manner that would trigger a tax liability.</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impact of changes in foreign exchange rates during the period on our internatonal cash balances resulted in a decrease of $9.1 million during the six months ended December 31, 2024 and in an increase of $0.7 million during the six months ended December 31, 2023.</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CONTRACTUAL OBLIGATIONS AND COMMERCIAL COMMITMENTS </w:t>
      </w:r>
      <w:r>
        <w:rPr>
          <w:rFonts w:ascii="Calibri" w:cs="Calibri" w:eastAsia="Calibri" w:hAnsi="Calibri"/>
          <w:sz w:val="17"/>
          <w:szCs w:val="17"/>
          <w:color w:val="auto"/>
        </w:rPr>
        <w:t>– The Company entered into an agreement to purchase federal Investment tax credits (“ITC”).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During the six months ended December 31, 2024, we paid $22.9 million for ITCs. As of December 31, 2024, the Company has a remaining commitment to purchase additonal ITCs, for approximately $80.0 million if certain conditons set forth in the agreement are satsfed, with the fnal closing payment antcipated to occur by June 30, 2025.</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 xml:space="preserve">Efectve October 18, 2024, we amended our Program Management Agreement (PMA) with Pathward®, N.A to extend the term of the PMA for two years untl June 30, 2027. We purchased partcipaton interests in EAs of $257.9 million during the six months ended December 31, 2024. See </w:t>
      </w:r>
      <w:r>
        <w:rPr>
          <w:rFonts w:ascii="Calibri" w:cs="Calibri" w:eastAsia="Calibri" w:hAnsi="Calibri"/>
          <w:sz w:val="17"/>
          <w:szCs w:val="17"/>
          <w:u w:val="single" w:color="auto"/>
          <w:color w:val="0000FF"/>
        </w:rPr>
        <w:t>Item 1, note 8</w:t>
      </w:r>
      <w:r>
        <w:rPr>
          <w:rFonts w:ascii="Calibri" w:cs="Calibri" w:eastAsia="Calibri" w:hAnsi="Calibri"/>
          <w:sz w:val="17"/>
          <w:szCs w:val="17"/>
          <w:color w:val="auto"/>
        </w:rPr>
        <w:t xml:space="preserve"> for additonal informaton on our commitments.</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There have been no other material changes in our contractual obligatons and commercial commitments from those reported in our June 30,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SUMMARIZED GUARANTOR FINANCIAL STATEMENTS </w:t>
      </w:r>
      <w:r>
        <w:rPr>
          <w:rFonts w:ascii="Calibri" w:cs="Calibri" w:eastAsia="Calibri" w:hAnsi="Calibri"/>
          <w:sz w:val="17"/>
          <w:szCs w:val="17"/>
          <w:color w:val="auto"/>
        </w:rPr>
        <w:t>– Block Financial is a 100% owned subsidiary of H&amp;R Block, Inc. Block Financial is the Issuer and H&amp;R Block,</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 is the full and unconditonal Guarantor of our Senior Notes, CLOC and other indebtedness issued from tme to tme.</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table presents summarized fnancial informaton for H&amp;R Block, Inc. (Guarantor) and Block Financial (Issuer) on a combined basis afer intercompany eliminatons and excludes investments in and equity earnings in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13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SUMMARIZED BALANCE SHEET - GUARANTOR AND ISSUER</w:t>
            </w: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26"/>
        </w:trPr>
        <w:tc>
          <w:tcPr>
            <w:tcW w:w="7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7"/>
        </w:trPr>
        <w:tc>
          <w:tcPr>
            <w:tcW w:w="71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120" w:type="dxa"/>
            <w:vAlign w:val="bottom"/>
          </w:tcPr>
          <w:p>
            <w:pPr>
              <w:spacing w:after="0"/>
              <w:rPr>
                <w:sz w:val="15"/>
                <w:szCs w:val="15"/>
                <w:color w:val="auto"/>
              </w:rPr>
            </w:pPr>
          </w:p>
        </w:tc>
        <w:tc>
          <w:tcPr>
            <w:tcW w:w="196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b w:val="1"/>
                <w:bCs w:val="1"/>
                <w:color w:val="auto"/>
              </w:rPr>
              <w:t>December 31, 2024</w:t>
            </w:r>
          </w:p>
        </w:tc>
        <w:tc>
          <w:tcPr>
            <w:tcW w:w="62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2024</w:t>
            </w: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7"/>
        </w:trPr>
        <w:tc>
          <w:tcPr>
            <w:tcW w:w="7060" w:type="dxa"/>
            <w:vAlign w:val="bottom"/>
          </w:tcPr>
          <w:p>
            <w:pPr>
              <w:ind w:left="20"/>
              <w:spacing w:after="0" w:line="177" w:lineRule="exact"/>
              <w:rPr>
                <w:sz w:val="20"/>
                <w:szCs w:val="20"/>
                <w:color w:val="auto"/>
              </w:rPr>
            </w:pPr>
            <w:r>
              <w:rPr>
                <w:rFonts w:ascii="Calibri" w:cs="Calibri" w:eastAsia="Calibri" w:hAnsi="Calibri"/>
                <w:sz w:val="15"/>
                <w:szCs w:val="15"/>
                <w:color w:val="auto"/>
              </w:rPr>
              <w:t>Current assets</w:t>
            </w:r>
          </w:p>
        </w:tc>
        <w:tc>
          <w:tcPr>
            <w:tcW w:w="10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8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304,264</w:t>
            </w:r>
          </w:p>
        </w:tc>
        <w:tc>
          <w:tcPr>
            <w:tcW w:w="80" w:type="dxa"/>
            <w:vAlign w:val="bottom"/>
          </w:tcPr>
          <w:p>
            <w:pPr>
              <w:spacing w:after="0"/>
              <w:rPr>
                <w:sz w:val="15"/>
                <w:szCs w:val="15"/>
                <w:color w:val="auto"/>
              </w:rPr>
            </w:pPr>
          </w:p>
        </w:tc>
        <w:tc>
          <w:tcPr>
            <w:tcW w:w="620" w:type="dxa"/>
            <w:vAlign w:val="bottom"/>
          </w:tcPr>
          <w:p>
            <w:pPr>
              <w:jc w:val="right"/>
              <w:ind w:right="443"/>
              <w:spacing w:after="0" w:line="177" w:lineRule="exact"/>
              <w:rPr>
                <w:sz w:val="20"/>
                <w:szCs w:val="20"/>
                <w:color w:val="auto"/>
              </w:rPr>
            </w:pPr>
            <w:r>
              <w:rPr>
                <w:rFonts w:ascii="Calibri" w:cs="Calibri" w:eastAsia="Calibri" w:hAnsi="Calibri"/>
                <w:sz w:val="15"/>
                <w:szCs w:val="15"/>
                <w:color w:val="auto"/>
              </w:rPr>
              <w:t>$</w:t>
            </w:r>
          </w:p>
        </w:tc>
        <w:tc>
          <w:tcPr>
            <w:tcW w:w="1380" w:type="dxa"/>
            <w:vAlign w:val="bottom"/>
          </w:tcPr>
          <w:p>
            <w:pPr>
              <w:jc w:val="right"/>
              <w:spacing w:after="0" w:line="177" w:lineRule="exact"/>
              <w:rPr>
                <w:sz w:val="20"/>
                <w:szCs w:val="20"/>
                <w:color w:val="auto"/>
              </w:rPr>
            </w:pPr>
            <w:r>
              <w:rPr>
                <w:rFonts w:ascii="Calibri" w:cs="Calibri" w:eastAsia="Calibri" w:hAnsi="Calibri"/>
                <w:sz w:val="15"/>
                <w:szCs w:val="15"/>
                <w:color w:val="auto"/>
              </w:rPr>
              <w:t>44,423</w:t>
            </w:r>
          </w:p>
        </w:tc>
      </w:tr>
      <w:tr>
        <w:trPr>
          <w:trHeight w:val="22"/>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2,317,461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1,778,832</w:t>
            </w:r>
          </w:p>
        </w:tc>
      </w:tr>
      <w:tr>
        <w:trPr>
          <w:trHeight w:val="184"/>
        </w:trPr>
        <w:tc>
          <w:tcPr>
            <w:tcW w:w="7160" w:type="dxa"/>
            <w:vAlign w:val="bottom"/>
            <w:gridSpan w:val="2"/>
          </w:tcPr>
          <w:p>
            <w:pPr>
              <w:ind w:left="20"/>
              <w:spacing w:after="0"/>
              <w:rPr>
                <w:sz w:val="20"/>
                <w:szCs w:val="20"/>
                <w:color w:val="auto"/>
              </w:rPr>
            </w:pPr>
            <w:r>
              <w:rPr>
                <w:rFonts w:ascii="Calibri" w:cs="Calibri" w:eastAsia="Calibri" w:hAnsi="Calibri"/>
                <w:sz w:val="15"/>
                <w:szCs w:val="15"/>
                <w:color w:val="auto"/>
              </w:rPr>
              <w:t>Current liabilites</w:t>
            </w:r>
          </w:p>
        </w:tc>
        <w:tc>
          <w:tcPr>
            <w:tcW w:w="1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alibri" w:cs="Calibri" w:eastAsia="Calibri" w:hAnsi="Calibri"/>
                <w:sz w:val="15"/>
                <w:szCs w:val="15"/>
                <w:b w:val="1"/>
                <w:bCs w:val="1"/>
                <w:color w:val="auto"/>
              </w:rPr>
              <w:t>437,886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77,848</w:t>
            </w:r>
          </w:p>
        </w:tc>
      </w:tr>
      <w:tr>
        <w:trPr>
          <w:trHeight w:val="22"/>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liabilites</w:t>
            </w:r>
          </w:p>
        </w:tc>
        <w:tc>
          <w:tcPr>
            <w:tcW w:w="12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1,938,745</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1,492,211</w:t>
            </w:r>
          </w:p>
        </w:tc>
      </w:tr>
      <w:tr>
        <w:trPr>
          <w:trHeight w:val="52"/>
        </w:trPr>
        <w:tc>
          <w:tcPr>
            <w:tcW w:w="7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12"/>
        </w:trPr>
        <w:tc>
          <w:tcPr>
            <w:tcW w:w="71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77"/>
        </w:trPr>
        <w:tc>
          <w:tcPr>
            <w:tcW w:w="71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SUMMARIZED STATEMENTS OF OPERATIONS - GUARANTOR AND ISSUER</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line="164" w:lineRule="exact"/>
              <w:rPr>
                <w:sz w:val="20"/>
                <w:szCs w:val="20"/>
                <w:color w:val="auto"/>
              </w:rPr>
            </w:pPr>
            <w:r>
              <w:rPr>
                <w:rFonts w:ascii="Calibri" w:cs="Calibri" w:eastAsia="Calibri" w:hAnsi="Calibri"/>
                <w:sz w:val="14"/>
                <w:szCs w:val="14"/>
                <w:color w:val="auto"/>
              </w:rPr>
              <w:t>(in 000s)</w:t>
            </w: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r>
      <w:tr>
        <w:trPr>
          <w:trHeight w:val="143"/>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b w:val="1"/>
                <w:bCs w:val="1"/>
                <w:color w:val="auto"/>
              </w:rPr>
              <w:t>Six months ended December</w:t>
            </w:r>
          </w:p>
        </w:tc>
        <w:tc>
          <w:tcPr>
            <w:tcW w:w="2000" w:type="dxa"/>
            <w:vAlign w:val="bottom"/>
            <w:gridSpan w:val="2"/>
          </w:tcPr>
          <w:p>
            <w:pPr>
              <w:jc w:val="right"/>
              <w:spacing w:after="0" w:line="143" w:lineRule="exact"/>
              <w:rPr>
                <w:sz w:val="20"/>
                <w:szCs w:val="20"/>
                <w:color w:val="auto"/>
              </w:rPr>
            </w:pPr>
            <w:r>
              <w:rPr>
                <w:rFonts w:ascii="Calibri" w:cs="Calibri" w:eastAsia="Calibri" w:hAnsi="Calibri"/>
                <w:sz w:val="15"/>
                <w:szCs w:val="15"/>
                <w:color w:val="auto"/>
              </w:rPr>
              <w:t>Twelve months ended June 30,</w:t>
            </w:r>
          </w:p>
        </w:tc>
      </w:tr>
      <w:tr>
        <w:trPr>
          <w:trHeight w:val="184"/>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alibri" w:cs="Calibri" w:eastAsia="Calibri" w:hAnsi="Calibri"/>
                <w:sz w:val="15"/>
                <w:szCs w:val="15"/>
                <w:b w:val="1"/>
                <w:bCs w:val="1"/>
                <w:color w:val="auto"/>
              </w:rPr>
              <w:t>31, 2024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2024</w:t>
            </w:r>
          </w:p>
        </w:tc>
      </w:tr>
      <w:tr>
        <w:trPr>
          <w:trHeight w:val="26"/>
        </w:trPr>
        <w:tc>
          <w:tcPr>
            <w:tcW w:w="7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77"/>
        </w:trPr>
        <w:tc>
          <w:tcPr>
            <w:tcW w:w="70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Total revenues</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33,436</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43"/>
              <w:spacing w:after="0" w:line="177" w:lineRule="exact"/>
              <w:rPr>
                <w:sz w:val="20"/>
                <w:szCs w:val="20"/>
                <w:color w:val="auto"/>
              </w:rPr>
            </w:pPr>
            <w:r>
              <w:rPr>
                <w:rFonts w:ascii="Calibri" w:cs="Calibri" w:eastAsia="Calibri" w:hAnsi="Calibri"/>
                <w:sz w:val="15"/>
                <w:szCs w:val="15"/>
                <w:color w:val="auto"/>
              </w:rPr>
              <w:t>$</w:t>
            </w:r>
          </w:p>
        </w:tc>
        <w:tc>
          <w:tcPr>
            <w:tcW w:w="13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144,206</w:t>
            </w:r>
          </w:p>
        </w:tc>
      </w:tr>
      <w:tr>
        <w:trPr>
          <w:trHeight w:val="22"/>
        </w:trPr>
        <w:tc>
          <w:tcPr>
            <w:tcW w:w="7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(loss) from contnuing operatons before income taxes</w:t>
            </w:r>
          </w:p>
        </w:tc>
        <w:tc>
          <w:tcPr>
            <w:tcW w:w="12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(3,363)</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75,819</w:t>
            </w:r>
          </w:p>
        </w:tc>
      </w:tr>
      <w:tr>
        <w:trPr>
          <w:trHeight w:val="184"/>
        </w:trPr>
        <w:tc>
          <w:tcPr>
            <w:tcW w:w="7160" w:type="dxa"/>
            <w:vAlign w:val="bottom"/>
            <w:gridSpan w:val="2"/>
          </w:tcPr>
          <w:p>
            <w:pPr>
              <w:ind w:left="20"/>
              <w:spacing w:after="0"/>
              <w:rPr>
                <w:sz w:val="20"/>
                <w:szCs w:val="20"/>
                <w:color w:val="auto"/>
              </w:rPr>
            </w:pPr>
            <w:r>
              <w:rPr>
                <w:rFonts w:ascii="Calibri" w:cs="Calibri" w:eastAsia="Calibri" w:hAnsi="Calibri"/>
                <w:sz w:val="15"/>
                <w:szCs w:val="15"/>
                <w:color w:val="auto"/>
              </w:rPr>
              <w:t>Net income (loss) from contnuing operatons</w:t>
            </w:r>
          </w:p>
        </w:tc>
        <w:tc>
          <w:tcPr>
            <w:tcW w:w="1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alibri" w:cs="Calibri" w:eastAsia="Calibri" w:hAnsi="Calibri"/>
                <w:sz w:val="15"/>
                <w:szCs w:val="15"/>
                <w:b w:val="1"/>
                <w:bCs w:val="1"/>
                <w:color w:val="auto"/>
              </w:rPr>
              <w:t>(2,592)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alibri" w:cs="Calibri" w:eastAsia="Calibri" w:hAnsi="Calibri"/>
                <w:sz w:val="15"/>
                <w:szCs w:val="15"/>
                <w:color w:val="auto"/>
              </w:rPr>
              <w:t>57,441</w:t>
            </w:r>
          </w:p>
        </w:tc>
      </w:tr>
      <w:tr>
        <w:trPr>
          <w:trHeight w:val="22"/>
        </w:trPr>
        <w:tc>
          <w:tcPr>
            <w:tcW w:w="7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(4,702)</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54,795</w:t>
            </w:r>
          </w:p>
        </w:tc>
      </w:tr>
      <w:tr>
        <w:trPr>
          <w:trHeight w:val="52"/>
        </w:trPr>
        <w:tc>
          <w:tcPr>
            <w:tcW w:w="7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table above refects $2.3 billion and $1.7 billion of non-current intercompany receivables due to the Issuer from non-guarantor subsidiaries as of December 31, 2024 and June 30, 2024, respectvely.</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REGULATORY ENVIRONMENT</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regulatory environment from what was reported in our June 30, 2024 Annual Report on Form 10-K.</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NON-GAAP FINANCIAL INFORMATION</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Non-GAAP fnancial measures should not be considered as a substtute for, or superior to, measures of fnancial performance prepared in accordance with U.S. generally accepted accountng principles (GAAP). Because these measures are not measures of fnancial performance under GAAP and are susceptble to varying calculatons, they may not be comparable to similarly ttled measures for other companies.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consider our non-GAAP fnancial measures to be performance measures and a useful metric for management and investors to evaluate and compare the ongoing operatng performance of our business. We make adjustments for certain non-GAAP fnancial measures related to amortzaton of intangibles from acquisitons and goodwill impairments. We may consider whether other signifcant items that arise in the future should be excluded from our non-GAAP fnancial measures.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measure the performance of our business using a variety of metrics, including earnings before interest, taxes, depreciaton and amortzaton (EBITDA) from contnuing operatons, adjusted EBITDA from contnuing operatons, adjusted diluted earnings per share from contnuing operatons, free cash fow and free cash fow yield. We also use EBITDA from contnuing operatons and pretax income of contnuing operatons, each subject to permited adjustments, as performance metrics in incentve compensaton calculatons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0" w:hanging="259"/>
        <w:spacing w:after="0"/>
        <w:tabs>
          <w:tab w:leader="none" w:pos="360" w:val="left"/>
        </w:tabs>
        <w:numPr>
          <w:ilvl w:val="0"/>
          <w:numId w:val="1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is a reconciliaton of net loss to EBITDA from contnuing operatons, which is a non-GAAP fnancial measure: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5"/>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4"/>
          </w:tcPr>
          <w:p>
            <w:pPr>
              <w:spacing w:after="0"/>
              <w:rPr>
                <w:sz w:val="3"/>
                <w:szCs w:val="3"/>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line="177" w:lineRule="exact"/>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5"/>
                <w:szCs w:val="15"/>
                <w:color w:val="auto"/>
              </w:rPr>
            </w:pPr>
          </w:p>
        </w:tc>
        <w:tc>
          <w:tcPr>
            <w:tcW w:w="2940" w:type="dxa"/>
            <w:vAlign w:val="bottom"/>
            <w:gridSpan w:val="4"/>
          </w:tcPr>
          <w:p>
            <w:pPr>
              <w:jc w:val="right"/>
              <w:ind w:right="564"/>
              <w:spacing w:after="0" w:line="177" w:lineRule="exact"/>
              <w:rPr>
                <w:sz w:val="20"/>
                <w:szCs w:val="20"/>
                <w:color w:val="auto"/>
              </w:rPr>
            </w:pPr>
            <w:r>
              <w:rPr>
                <w:rFonts w:ascii="Calibri" w:cs="Calibri" w:eastAsia="Calibri" w:hAnsi="Calibri"/>
                <w:sz w:val="15"/>
                <w:szCs w:val="15"/>
                <w:color w:val="auto"/>
              </w:rPr>
              <w:t>Six months ended December 31,</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ind w:left="20"/>
              <w:spacing w:after="0" w:line="177" w:lineRule="exact"/>
              <w:rPr>
                <w:sz w:val="20"/>
                <w:szCs w:val="20"/>
                <w:color w:val="auto"/>
              </w:rPr>
            </w:pPr>
            <w:r>
              <w:rPr>
                <w:rFonts w:ascii="Calibri" w:cs="Calibri" w:eastAsia="Calibri" w:hAnsi="Calibri"/>
                <w:sz w:val="15"/>
                <w:szCs w:val="15"/>
                <w:color w:val="auto"/>
              </w:rPr>
              <w:t>Net loss - as reported</w:t>
            </w:r>
          </w:p>
        </w:tc>
        <w:tc>
          <w:tcPr>
            <w:tcW w:w="80" w:type="dxa"/>
            <w:vAlign w:val="bottom"/>
          </w:tcPr>
          <w:p>
            <w:pPr>
              <w:spacing w:after="0"/>
              <w:rPr>
                <w:sz w:val="15"/>
                <w:szCs w:val="15"/>
                <w:color w:val="auto"/>
              </w:rPr>
            </w:pP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(243,420)</w:t>
            </w:r>
          </w:p>
        </w:tc>
        <w:tc>
          <w:tcPr>
            <w:tcW w:w="100" w:type="dxa"/>
            <w:vAlign w:val="bottom"/>
          </w:tcPr>
          <w:p>
            <w:pPr>
              <w:spacing w:after="0"/>
              <w:rPr>
                <w:sz w:val="15"/>
                <w:szCs w:val="15"/>
                <w:color w:val="auto"/>
              </w:rPr>
            </w:pPr>
          </w:p>
        </w:tc>
        <w:tc>
          <w:tcPr>
            <w:tcW w:w="520" w:type="dxa"/>
            <w:vAlign w:val="bottom"/>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(189,755)</w:t>
            </w:r>
          </w:p>
        </w:tc>
        <w:tc>
          <w:tcPr>
            <w:tcW w:w="8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(415,996)</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(353,237)</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6"/>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Discontnued operatons, net</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954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639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2,109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1,248</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 - as reported</w:t>
            </w: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(242,466)</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(189,116)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(413,887)</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(351,989)</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6"/>
        </w:trPr>
        <w:tc>
          <w:tcPr>
            <w:tcW w:w="454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Add back:</w:t>
            </w: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84"/>
        </w:trPr>
        <w:tc>
          <w:tcPr>
            <w:tcW w:w="4540" w:type="dxa"/>
            <w:vAlign w:val="bottom"/>
            <w:gridSpan w:val="2"/>
          </w:tcPr>
          <w:p>
            <w:pPr>
              <w:ind w:left="120"/>
              <w:spacing w:after="0"/>
              <w:rPr>
                <w:sz w:val="20"/>
                <w:szCs w:val="20"/>
                <w:color w:val="auto"/>
              </w:rPr>
            </w:pPr>
            <w:r>
              <w:rPr>
                <w:rFonts w:ascii="Calibri" w:cs="Calibri" w:eastAsia="Calibri" w:hAnsi="Calibri"/>
                <w:sz w:val="15"/>
                <w:szCs w:val="15"/>
                <w:color w:val="auto"/>
              </w:rPr>
              <w:t>Income tax beneft</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(69,833)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(93,758)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(130,673)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(143,245)</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6"/>
        </w:trPr>
        <w:tc>
          <w:tcPr>
            <w:tcW w:w="454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Interest expense</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21,752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21,364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37,599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37,234</w:t>
            </w:r>
          </w:p>
        </w:tc>
      </w:tr>
      <w:tr>
        <w:trPr>
          <w:trHeight w:val="184"/>
        </w:trPr>
        <w:tc>
          <w:tcPr>
            <w:tcW w:w="4540" w:type="dxa"/>
            <w:vAlign w:val="bottom"/>
            <w:gridSpan w:val="2"/>
          </w:tcPr>
          <w:p>
            <w:pPr>
              <w:ind w:left="120"/>
              <w:spacing w:after="0"/>
              <w:rPr>
                <w:sz w:val="20"/>
                <w:szCs w:val="20"/>
                <w:color w:val="auto"/>
              </w:rPr>
            </w:pPr>
            <w:r>
              <w:rPr>
                <w:rFonts w:ascii="Calibri" w:cs="Calibri" w:eastAsia="Calibri" w:hAnsi="Calibri"/>
                <w:sz w:val="15"/>
                <w:szCs w:val="15"/>
                <w:color w:val="auto"/>
              </w:rPr>
              <w:t>Depreciaton and amortzaton</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29,195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30,107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58,026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60,332</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9"/>
        </w:trPr>
        <w:tc>
          <w:tcPr>
            <w:tcW w:w="4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(18,886)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(42,287)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(35,048)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(45,679)</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EBITDA from contnuing operatons</w:t>
            </w: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(261,352)</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(231,403)</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(448,935)</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(397,668)</w:t>
            </w:r>
          </w:p>
        </w:tc>
      </w:tr>
      <w:tr>
        <w:trPr>
          <w:trHeight w:val="59"/>
        </w:trPr>
        <w:tc>
          <w:tcPr>
            <w:tcW w:w="4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0"/>
        </w:trPr>
        <w:tc>
          <w:tcPr>
            <w:tcW w:w="4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is a reconciliaton of our results from contnuing operatons to our adjusted results from contnuing operatons, which is a non-GAAP fnancial measure:</w:t>
      </w:r>
    </w:p>
    <w:p>
      <w:pPr>
        <w:spacing w:after="0" w:line="140"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6"/>
                <w:szCs w:val="16"/>
                <w:color w:val="auto"/>
              </w:rPr>
            </w:pPr>
          </w:p>
        </w:tc>
        <w:tc>
          <w:tcPr>
            <w:tcW w:w="2920" w:type="dxa"/>
            <w:vAlign w:val="bottom"/>
            <w:gridSpan w:val="4"/>
          </w:tcPr>
          <w:p>
            <w:pPr>
              <w:jc w:val="right"/>
              <w:ind w:right="543"/>
              <w:spacing w:after="0"/>
              <w:rPr>
                <w:sz w:val="20"/>
                <w:szCs w:val="20"/>
                <w:color w:val="auto"/>
              </w:rPr>
            </w:pPr>
            <w:r>
              <w:rPr>
                <w:rFonts w:ascii="Calibri" w:cs="Calibri" w:eastAsia="Calibri" w:hAnsi="Calibri"/>
                <w:sz w:val="15"/>
                <w:szCs w:val="15"/>
                <w:color w:val="auto"/>
              </w:rPr>
              <w:t>Six months ended December 31,</w:t>
            </w: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480" w:type="dxa"/>
            <w:vAlign w:val="bottom"/>
          </w:tcPr>
          <w:p>
            <w:pPr>
              <w:ind w:left="20"/>
              <w:spacing w:after="0" w:line="177" w:lineRule="exact"/>
              <w:rPr>
                <w:sz w:val="20"/>
                <w:szCs w:val="20"/>
                <w:color w:val="auto"/>
              </w:rPr>
            </w:pPr>
            <w:r>
              <w:rPr>
                <w:rFonts w:ascii="Calibri" w:cs="Calibri" w:eastAsia="Calibri" w:hAnsi="Calibri"/>
                <w:sz w:val="15"/>
                <w:szCs w:val="15"/>
                <w:color w:val="auto"/>
              </w:rPr>
              <w:t>Net loss from contnuing operatons - as reported</w:t>
            </w:r>
          </w:p>
        </w:tc>
        <w:tc>
          <w:tcPr>
            <w:tcW w:w="100" w:type="dxa"/>
            <w:vAlign w:val="bottom"/>
          </w:tcPr>
          <w:p>
            <w:pPr>
              <w:spacing w:after="0"/>
              <w:rPr>
                <w:sz w:val="15"/>
                <w:szCs w:val="15"/>
                <w:color w:val="auto"/>
              </w:rPr>
            </w:pP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(242,466)</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(189,116)</w:t>
            </w:r>
          </w:p>
        </w:tc>
        <w:tc>
          <w:tcPr>
            <w:tcW w:w="10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(413,887)</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(351,989)</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Adjustments:</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Amortzaton of intangibles related to acquisitons (pretax)</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10,910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12,269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22,038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24,824</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6"/>
        </w:trPr>
        <w:tc>
          <w:tcPr>
            <w:tcW w:w="45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 xml:space="preserve">Tax efect of adjustments </w:t>
            </w:r>
            <w:r>
              <w:rPr>
                <w:rFonts w:ascii="Calibri" w:cs="Calibri" w:eastAsia="Calibri" w:hAnsi="Calibri"/>
                <w:sz w:val="20"/>
                <w:szCs w:val="20"/>
                <w:color w:val="auto"/>
                <w:vertAlign w:val="superscript"/>
              </w:rPr>
              <w:t>(1)</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(2,539)</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(3,087)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(5,184)</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(6,022)</w:t>
            </w: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Adjusted net loss from contnuing operatons</w:t>
            </w: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(234,095)</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(179,934)</w:t>
            </w:r>
          </w:p>
        </w:tc>
        <w:tc>
          <w:tcPr>
            <w:tcW w:w="10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(397,033)</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(333,187)</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Diluted loss per share from contnuing operatons - as reported</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(3.02)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(2.44)</w:t>
            </w: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Adjustments, net of tax</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0.06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0.13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0.13</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Adjusted diluted loss per share from contnuing operatons</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(2.89)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(2.31)</w:t>
            </w:r>
          </w:p>
        </w:tc>
      </w:tr>
      <w:tr>
        <w:trPr>
          <w:trHeight w:val="32"/>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51" w:lineRule="exact"/>
        <w:rPr>
          <w:sz w:val="20"/>
          <w:szCs w:val="20"/>
          <w:color w:val="auto"/>
        </w:rPr>
      </w:pPr>
    </w:p>
    <w:p>
      <w:pPr>
        <w:spacing w:after="0"/>
        <w:rPr>
          <w:sz w:val="20"/>
          <w:szCs w:val="20"/>
          <w:color w:val="auto"/>
        </w:rPr>
      </w:pPr>
      <w:r>
        <w:rPr>
          <w:rFonts w:ascii="Calibri" w:cs="Calibri" w:eastAsia="Calibri" w:hAnsi="Calibri"/>
          <w:sz w:val="17"/>
          <w:szCs w:val="17"/>
          <w:color w:val="auto"/>
          <w:vertAlign w:val="superscript"/>
        </w:rPr>
        <w:t>(1)</w:t>
      </w:r>
      <w:r>
        <w:rPr>
          <w:rFonts w:ascii="Calibri" w:cs="Calibri" w:eastAsia="Calibri" w:hAnsi="Calibri"/>
          <w:sz w:val="14"/>
          <w:szCs w:val="14"/>
          <w:color w:val="auto"/>
        </w:rPr>
        <w:t>Tax efect of adjustments is the diference between the tax provision calculated on a GAAP basis and on an adjusted non-GAAP basis.</w:t>
      </w:r>
    </w:p>
    <w:p>
      <w:pPr>
        <w:spacing w:after="0" w:line="6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FORWARD-LOOKING INFORMATION</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This report and other documents fled with the Securites and Exchange Commission (SEC) may contain forward-looking statements. In additon, our senior management may make forward-looking statements orally to analysts, investors, the media and others. Forward-looking statements can be identfed by the fact that they do not relate strictly to historical or current facts. They ofen include words or variaton of words such as "expects," "antcipates," "intends," "plans," "believes," "commits," "seeks," "estmates," "projects," "forecasts," "targets," "would," "will," "should," "could," "may" or other similar expressions. Forward-looking statements provide management's current expectatons or predictons of future conditons, events or results. All statements that address operatng performance, events or developments that we expect or antcipate will occur in the future are forward-looking statements. They may include estmates of revenues, client trajectory, income, efectve tax rate, earnings per share, cost savings, capital expenditures, dividends, share repurchases, liquidity, capital structure, market share, industry volumes or other fnancial items, descriptons of management's plans or objectves for future operatons, services or products, or descriptons of assumptons underlying any of the above. They may also include the expected impact of external events beyond the Company's control, such as outbreaks of infectous disease, severe weather events, natural or manmade disasters, or changes in the regulatory environment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All forward-looking statements speak only as of the date they are made and refect the Company's good faith beliefs, assumptons and expectatons, but they are not guarantees of future performance or events. Furthermore, the Company disclaims any obligaton to publicly update or revise any forward-looking statement to refect changes in underlying assumptons, factors, or expectatons, new informaton, data or methods, future events or other changes, except as required by law.</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By their nature, forward-looking statements are subject to risks and uncertaintes that could cause actual results to difer materially from those suggested by the forward-looking statements. Factors that might cause such diferences include, but are not limited to, a variety of economic, compettve, operatonal and regulatory factors, many of which are beyond the Company's control. In additon, factors that may cause the Company’s actual efectve tax rate to difer from estmates include the Company’s actual results from operatons compared to current estmates, future discrete items, changes in interpretatons and assumptons the Company has made, future actons of the Company, and increases in applicable tax rates in jurisdictons where the Company operates. Investors should understand that it is not possible to predict or identfy all such factors and, consequently, should not consider any such list to be a complete set of all potental risks or uncertaintes.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Details about risks, uncertaintes and assumptons that could afect various aspects of our business are included throughout our Annual Report on Form 10-K for the fscal year ended June 30, 2024 and are also described from tme to tme in other flings with the SEC. Investors should carefully consider all of these risks, and should pay partcular atenton to Item 1A, "Risk Factors," and Item 7 under "Critcal Accountng Policies" of our Annual Report on Form 10-K for the fscal year ended June 30, 2024.</w:t>
      </w:r>
    </w:p>
    <w:p>
      <w:pPr>
        <w:spacing w:after="0" w:line="87"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3.</w:t>
        <w:tab/>
        <w:t>QUANTITATIVE AND QUALITATIVE DISCLOSURES ABOUT MARKET RISK</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market risks from those reported in our June 30, 2024 Annual Report on Form 10-K.</w:t>
      </w:r>
    </w:p>
    <w:p>
      <w:pPr>
        <w:spacing w:after="0" w:line="86"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4.</w:t>
        <w:tab/>
        <w:t>CONTROLS AND PROCEDURES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EVALUATION OF DISCLOSURE CONTROLS AND PROCEDURES </w:t>
      </w:r>
      <w:r>
        <w:rPr>
          <w:rFonts w:ascii="Calibri" w:cs="Calibri" w:eastAsia="Calibri" w:hAnsi="Calibri"/>
          <w:sz w:val="17"/>
          <w:szCs w:val="17"/>
          <w:color w:val="auto"/>
        </w:rPr>
        <w:t>– As of the end of the period covered by this Form 10-Q, management, under the supervision and with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partcipaton of our Chief Executve Ofcer and Chief Financial Ofcer, evaluated the efectveness of the design and operaton of our disclosure controls and procedures (as defned in Exchange Act Rules 13a-15(e) and 15d-15(e)). Based on this evaluaton, our Chief Executve Ofcer and Chief Financial Ofcer have concluded that our disclosure controls and procedures were efectve as of the end of the period covered by this Quarterly Report on Form 10-Q.</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b w:val="1"/>
          <w:bCs w:val="1"/>
          <w:color w:val="auto"/>
        </w:rPr>
        <w:t xml:space="preserve">CHANGES IN INTERNAL CONTROL OVER FINANCIAL REPORTING </w:t>
      </w:r>
      <w:r>
        <w:rPr>
          <w:rFonts w:ascii="Calibri" w:cs="Calibri" w:eastAsia="Calibri" w:hAnsi="Calibri"/>
          <w:sz w:val="17"/>
          <w:szCs w:val="17"/>
          <w:color w:val="auto"/>
        </w:rPr>
        <w:t>– There were no changes during the three months ended December 31, 2024 that materially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afected, or are reasonably likely to materially afect, our internal control over fnancial reportng.</w:t>
      </w:r>
    </w:p>
    <w:p>
      <w:pPr>
        <w:spacing w:after="0" w:line="87"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24"/>
          <w:szCs w:val="24"/>
          <w:b w:val="1"/>
          <w:bCs w:val="1"/>
          <w:color w:val="14AA40"/>
        </w:rPr>
        <w:t>PART II</w:t>
        <w:tab/>
        <w:t>OTHER INFORMATION</w:t>
      </w:r>
    </w:p>
    <w:p>
      <w:pPr>
        <w:spacing w:after="0" w:line="94"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1.</w:t>
        <w:tab/>
        <w:t>LEGAL PROCEEDINGS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For a descripton of our material pending legal proceedings, see discussion in </w:t>
      </w:r>
      <w:r>
        <w:rPr>
          <w:rFonts w:ascii="Calibri" w:cs="Calibri" w:eastAsia="Calibri" w:hAnsi="Calibri"/>
          <w:sz w:val="17"/>
          <w:szCs w:val="17"/>
          <w:u w:val="single" w:color="auto"/>
          <w:color w:val="0000FF"/>
        </w:rPr>
        <w:t>Part I, Item 1, note 9</w:t>
      </w:r>
      <w:r>
        <w:rPr>
          <w:rFonts w:ascii="Calibri" w:cs="Calibri" w:eastAsia="Calibri" w:hAnsi="Calibri"/>
          <w:sz w:val="17"/>
          <w:szCs w:val="17"/>
          <w:color w:val="auto"/>
        </w:rPr>
        <w:t xml:space="preserve"> to the consolidated fnancial statements.</w:t>
      </w:r>
    </w:p>
    <w:p>
      <w:pPr>
        <w:spacing w:after="0" w:line="86"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4"/>
          <w:szCs w:val="24"/>
          <w:b w:val="1"/>
          <w:bCs w:val="1"/>
          <w:color w:val="14AA40"/>
        </w:rPr>
        <w:t>ITEM 1A.</w:t>
        <w:tab/>
        <w:t>RISK FACTORS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risk factors from those reported in our June 30,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59"/>
        <w:spacing w:after="0"/>
        <w:tabs>
          <w:tab w:leader="none" w:pos="360" w:val="left"/>
        </w:tabs>
        <w:numPr>
          <w:ilvl w:val="0"/>
          <w:numId w:val="19"/>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2.</w:t>
        <w:tab/>
        <w:t>UNREGISTERED SALES OF EQUITY SECURITIES AND USE OF PROCEEDS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A summary of our purchases of H&amp;R Block common stock during the three months ended December 31, 2024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43"/>
        </w:trPr>
        <w:tc>
          <w:tcPr>
            <w:tcW w:w="2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195"/>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alibri" w:cs="Calibri" w:eastAsia="Calibri" w:hAnsi="Calibri"/>
                <w:sz w:val="15"/>
                <w:szCs w:val="15"/>
                <w:color w:val="auto"/>
              </w:rPr>
              <w:t>Total Number of Shares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Calibri" w:cs="Calibri" w:eastAsia="Calibri" w:hAnsi="Calibri"/>
                <w:sz w:val="15"/>
                <w:szCs w:val="15"/>
                <w:color w:val="auto"/>
              </w:rPr>
              <w:t>Maximum Dollar Value of</w:t>
            </w:r>
          </w:p>
        </w:tc>
      </w:tr>
      <w:tr>
        <w:trPr>
          <w:trHeight w:val="155"/>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Calibri" w:cs="Calibri" w:eastAsia="Calibri" w:hAnsi="Calibri"/>
                <w:sz w:val="15"/>
                <w:szCs w:val="15"/>
                <w:color w:val="auto"/>
              </w:rPr>
              <w:t>Average</w:t>
            </w:r>
          </w:p>
        </w:tc>
        <w:tc>
          <w:tcPr>
            <w:tcW w:w="2460" w:type="dxa"/>
            <w:vAlign w:val="bottom"/>
          </w:tcPr>
          <w:p>
            <w:pPr>
              <w:jc w:val="right"/>
              <w:spacing w:after="0" w:line="155" w:lineRule="exact"/>
              <w:rPr>
                <w:sz w:val="20"/>
                <w:szCs w:val="20"/>
                <w:color w:val="auto"/>
              </w:rPr>
            </w:pPr>
            <w:r>
              <w:rPr>
                <w:rFonts w:ascii="Calibri" w:cs="Calibri" w:eastAsia="Calibri" w:hAnsi="Calibri"/>
                <w:sz w:val="15"/>
                <w:szCs w:val="15"/>
                <w:color w:val="auto"/>
              </w:rPr>
              <w:t>Purchased as Part of</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5" w:lineRule="exact"/>
              <w:rPr>
                <w:sz w:val="20"/>
                <w:szCs w:val="20"/>
                <w:color w:val="auto"/>
              </w:rPr>
            </w:pPr>
            <w:r>
              <w:rPr>
                <w:rFonts w:ascii="Calibri" w:cs="Calibri" w:eastAsia="Calibri" w:hAnsi="Calibri"/>
                <w:sz w:val="15"/>
                <w:szCs w:val="15"/>
                <w:color w:val="auto"/>
              </w:rPr>
              <w:t>Shares that May Yet Be</w:t>
            </w:r>
          </w:p>
        </w:tc>
      </w:tr>
      <w:tr>
        <w:trPr>
          <w:trHeight w:val="154"/>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spacing w:after="0" w:line="154" w:lineRule="exact"/>
              <w:rPr>
                <w:sz w:val="20"/>
                <w:szCs w:val="20"/>
                <w:color w:val="auto"/>
              </w:rPr>
            </w:pPr>
            <w:r>
              <w:rPr>
                <w:rFonts w:ascii="Calibri" w:cs="Calibri" w:eastAsia="Calibri" w:hAnsi="Calibri"/>
                <w:sz w:val="15"/>
                <w:szCs w:val="15"/>
                <w:color w:val="auto"/>
              </w:rPr>
              <w:t>Total 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4" w:lineRule="exact"/>
              <w:rPr>
                <w:sz w:val="20"/>
                <w:szCs w:val="20"/>
                <w:color w:val="auto"/>
              </w:rPr>
            </w:pPr>
            <w:r>
              <w:rPr>
                <w:rFonts w:ascii="Calibri" w:cs="Calibri" w:eastAsia="Calibri" w:hAnsi="Calibri"/>
                <w:sz w:val="15"/>
                <w:szCs w:val="15"/>
                <w:color w:val="auto"/>
              </w:rPr>
              <w:t>Price Paid</w:t>
            </w:r>
          </w:p>
        </w:tc>
        <w:tc>
          <w:tcPr>
            <w:tcW w:w="2460" w:type="dxa"/>
            <w:vAlign w:val="bottom"/>
          </w:tcPr>
          <w:p>
            <w:pPr>
              <w:jc w:val="right"/>
              <w:spacing w:after="0" w:line="154" w:lineRule="exact"/>
              <w:rPr>
                <w:sz w:val="20"/>
                <w:szCs w:val="20"/>
                <w:color w:val="auto"/>
              </w:rPr>
            </w:pPr>
            <w:r>
              <w:rPr>
                <w:rFonts w:ascii="Calibri" w:cs="Calibri" w:eastAsia="Calibri" w:hAnsi="Calibri"/>
                <w:sz w:val="15"/>
                <w:szCs w:val="15"/>
                <w:color w:val="auto"/>
              </w:rPr>
              <w:t>Publicly Announced Plans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4" w:lineRule="exact"/>
              <w:rPr>
                <w:sz w:val="20"/>
                <w:szCs w:val="20"/>
                <w:color w:val="auto"/>
              </w:rPr>
            </w:pPr>
            <w:r>
              <w:rPr>
                <w:rFonts w:ascii="Calibri" w:cs="Calibri" w:eastAsia="Calibri" w:hAnsi="Calibri"/>
                <w:sz w:val="15"/>
                <w:szCs w:val="15"/>
                <w:color w:val="auto"/>
              </w:rPr>
              <w:t>Purchased Under the Plans</w:t>
            </w:r>
          </w:p>
        </w:tc>
      </w:tr>
      <w:tr>
        <w:trPr>
          <w:trHeight w:val="211"/>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Shares Purchased </w:t>
            </w:r>
            <w:r>
              <w:rPr>
                <w:rFonts w:ascii="Calibri" w:cs="Calibri" w:eastAsia="Calibri" w:hAnsi="Calibri"/>
                <w:sz w:val="20"/>
                <w:szCs w:val="20"/>
                <w:color w:val="auto"/>
                <w:vertAlign w:val="superscript"/>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per Share</w:t>
            </w:r>
          </w:p>
        </w:tc>
        <w:tc>
          <w:tcPr>
            <w:tcW w:w="246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r>
      <w:tr>
        <w:trPr>
          <w:trHeight w:val="177"/>
        </w:trPr>
        <w:tc>
          <w:tcPr>
            <w:tcW w:w="27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October 1 - October 31</w:t>
            </w:r>
          </w:p>
        </w:tc>
        <w:tc>
          <w:tcPr>
            <w:tcW w:w="80" w:type="dxa"/>
            <w:vAlign w:val="bottom"/>
          </w:tcPr>
          <w:p>
            <w:pPr>
              <w:spacing w:after="0"/>
              <w:rPr>
                <w:sz w:val="15"/>
                <w:szCs w:val="15"/>
                <w:color w:val="auto"/>
              </w:rPr>
            </w:pPr>
          </w:p>
        </w:tc>
        <w:tc>
          <w:tcPr>
            <w:tcW w:w="1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3"/>
              <w:spacing w:after="0" w:line="177"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62.63</w:t>
            </w:r>
          </w:p>
        </w:tc>
        <w:tc>
          <w:tcPr>
            <w:tcW w:w="80" w:type="dxa"/>
            <w:vAlign w:val="bottom"/>
          </w:tcPr>
          <w:p>
            <w:pPr>
              <w:spacing w:after="0"/>
              <w:rPr>
                <w:sz w:val="15"/>
                <w:szCs w:val="15"/>
                <w:color w:val="auto"/>
              </w:rPr>
            </w:pPr>
          </w:p>
        </w:tc>
        <w:tc>
          <w:tcPr>
            <w:tcW w:w="24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b w:val="1"/>
                <w:bCs w:val="1"/>
                <w:color w:val="auto"/>
              </w:rPr>
              <w:t>$</w:t>
            </w:r>
          </w:p>
        </w:tc>
        <w:tc>
          <w:tcPr>
            <w:tcW w:w="2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1,290,424</w:t>
            </w:r>
          </w:p>
        </w:tc>
      </w:tr>
      <w:tr>
        <w:trPr>
          <w:trHeight w:val="22"/>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November 1 - November 30</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3,130</w:t>
            </w:r>
          </w:p>
        </w:tc>
        <w:tc>
          <w:tcPr>
            <w:tcW w:w="3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58.62</w:t>
            </w:r>
          </w:p>
        </w:tc>
        <w:tc>
          <w:tcPr>
            <w:tcW w:w="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3,128</w:t>
            </w:r>
          </w:p>
        </w:tc>
        <w:tc>
          <w:tcPr>
            <w:tcW w:w="500" w:type="dxa"/>
            <w:vAlign w:val="bottom"/>
            <w:tcBorders>
              <w:bottom w:val="single" w:sz="8" w:color="CCEEFF"/>
            </w:tcBorders>
            <w:gridSpan w:val="2"/>
            <w:shd w:val="clear" w:color="auto" w:fill="CCEEFF"/>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1,107,066</w:t>
            </w:r>
          </w:p>
        </w:tc>
      </w:tr>
      <w:tr>
        <w:trPr>
          <w:trHeight w:val="184"/>
        </w:trPr>
        <w:tc>
          <w:tcPr>
            <w:tcW w:w="2780" w:type="dxa"/>
            <w:vAlign w:val="bottom"/>
            <w:gridSpan w:val="2"/>
          </w:tcPr>
          <w:p>
            <w:pPr>
              <w:ind w:left="20"/>
              <w:spacing w:after="0"/>
              <w:rPr>
                <w:sz w:val="20"/>
                <w:szCs w:val="20"/>
                <w:color w:val="auto"/>
              </w:rPr>
            </w:pPr>
            <w:r>
              <w:rPr>
                <w:rFonts w:ascii="Calibri" w:cs="Calibri" w:eastAsia="Calibri" w:hAnsi="Calibri"/>
                <w:sz w:val="15"/>
                <w:szCs w:val="15"/>
                <w:color w:val="auto"/>
              </w:rPr>
              <w:t>December 1 - December 31</w:t>
            </w:r>
          </w:p>
        </w:tc>
        <w:tc>
          <w:tcPr>
            <w:tcW w:w="1920" w:type="dxa"/>
            <w:vAlign w:val="bottom"/>
          </w:tcPr>
          <w:p>
            <w:pPr>
              <w:jc w:val="right"/>
              <w:spacing w:after="0"/>
              <w:rPr>
                <w:sz w:val="20"/>
                <w:szCs w:val="20"/>
                <w:color w:val="auto"/>
              </w:rPr>
            </w:pPr>
            <w:r>
              <w:rPr>
                <w:rFonts w:ascii="Calibri" w:cs="Calibri" w:eastAsia="Calibri" w:hAnsi="Calibri"/>
                <w:sz w:val="15"/>
                <w:szCs w:val="15"/>
                <w:b w:val="1"/>
                <w:bCs w:val="1"/>
                <w:color w:val="auto"/>
              </w:rPr>
              <w:t>120</w:t>
            </w:r>
          </w:p>
        </w:tc>
        <w:tc>
          <w:tcPr>
            <w:tcW w:w="380" w:type="dxa"/>
            <w:vAlign w:val="bottom"/>
            <w:gridSpan w:val="2"/>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b w:val="1"/>
                <w:bCs w:val="1"/>
                <w:color w:val="auto"/>
              </w:rPr>
              <w:t>59.02</w:t>
            </w: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alibri" w:cs="Calibri" w:eastAsia="Calibri" w:hAnsi="Calibri"/>
                <w:sz w:val="15"/>
                <w:szCs w:val="15"/>
                <w:b w:val="1"/>
                <w:bCs w:val="1"/>
                <w:color w:val="auto"/>
              </w:rPr>
              <w:t>120</w:t>
            </w:r>
          </w:p>
        </w:tc>
        <w:tc>
          <w:tcPr>
            <w:tcW w:w="500" w:type="dxa"/>
            <w:vAlign w:val="bottom"/>
            <w:gridSpan w:val="2"/>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Pr>
          <w:p>
            <w:pPr>
              <w:jc w:val="right"/>
              <w:spacing w:after="0"/>
              <w:rPr>
                <w:sz w:val="20"/>
                <w:szCs w:val="20"/>
                <w:color w:val="auto"/>
              </w:rPr>
            </w:pPr>
            <w:r>
              <w:rPr>
                <w:rFonts w:ascii="Calibri" w:cs="Calibri" w:eastAsia="Calibri" w:hAnsi="Calibri"/>
                <w:sz w:val="15"/>
                <w:szCs w:val="15"/>
                <w:b w:val="1"/>
                <w:bCs w:val="1"/>
                <w:color w:val="auto"/>
              </w:rPr>
              <w:t>1,100,000</w:t>
            </w: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r>
      <w:tr>
        <w:trPr>
          <w:trHeight w:val="199"/>
        </w:trPr>
        <w:tc>
          <w:tcPr>
            <w:tcW w:w="2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3,252</w:t>
            </w:r>
          </w:p>
        </w:tc>
        <w:tc>
          <w:tcPr>
            <w:tcW w:w="380" w:type="dxa"/>
            <w:vAlign w:val="bottom"/>
            <w:tcBorders>
              <w:bottom w:val="single" w:sz="8" w:color="CCEEFF"/>
            </w:tcBorders>
            <w:gridSpan w:val="2"/>
            <w:shd w:val="clear" w:color="auto" w:fill="CCEEFF"/>
          </w:tcPr>
          <w:p>
            <w:pPr>
              <w:jc w:val="right"/>
              <w:ind w:right="103"/>
              <w:spacing w:after="0" w:line="173"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line="173" w:lineRule="exact"/>
              <w:rPr>
                <w:sz w:val="20"/>
                <w:szCs w:val="20"/>
                <w:color w:val="auto"/>
              </w:rPr>
            </w:pPr>
            <w:r>
              <w:rPr>
                <w:rFonts w:ascii="Calibri" w:cs="Calibri" w:eastAsia="Calibri" w:hAnsi="Calibri"/>
                <w:sz w:val="15"/>
                <w:szCs w:val="15"/>
                <w:b w:val="1"/>
                <w:bCs w:val="1"/>
                <w:color w:val="auto"/>
              </w:rPr>
              <w:t>58.64</w:t>
            </w:r>
          </w:p>
        </w:tc>
        <w:tc>
          <w:tcPr>
            <w:tcW w:w="8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3,248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r>
      <w:tr>
        <w:trPr>
          <w:trHeight w:val="32"/>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8" w:lineRule="exact"/>
        <w:rPr>
          <w:sz w:val="20"/>
          <w:szCs w:val="20"/>
          <w:color w:val="auto"/>
        </w:rPr>
      </w:pPr>
    </w:p>
    <w:p>
      <w:pPr>
        <w:ind w:left="160" w:hanging="157"/>
        <w:spacing w:after="0"/>
        <w:tabs>
          <w:tab w:leader="none" w:pos="160" w:val="left"/>
        </w:tabs>
        <w:numPr>
          <w:ilvl w:val="0"/>
          <w:numId w:val="20"/>
        </w:numPr>
        <w:rPr>
          <w:rFonts w:ascii="Calibri" w:cs="Calibri" w:eastAsia="Calibri" w:hAnsi="Calibri"/>
          <w:sz w:val="18"/>
          <w:szCs w:val="18"/>
          <w:color w:val="auto"/>
          <w:vertAlign w:val="superscript"/>
        </w:rPr>
      </w:pPr>
      <w:r>
        <w:rPr>
          <w:rFonts w:ascii="Calibri" w:cs="Calibri" w:eastAsia="Calibri" w:hAnsi="Calibri"/>
          <w:sz w:val="14"/>
          <w:szCs w:val="14"/>
          <w:color w:val="auto"/>
        </w:rPr>
        <w:t>We purchased approximately 4 thousand shares in connecton with funding employee income tax withholding obligatons arising upon the lapse of restrictons on restricted share units.</w:t>
      </w:r>
    </w:p>
    <w:p>
      <w:pPr>
        <w:spacing w:after="0" w:line="30" w:lineRule="exact"/>
        <w:rPr>
          <w:rFonts w:ascii="Calibri" w:cs="Calibri" w:eastAsia="Calibri" w:hAnsi="Calibri"/>
          <w:sz w:val="18"/>
          <w:szCs w:val="18"/>
          <w:color w:val="auto"/>
          <w:vertAlign w:val="superscript"/>
        </w:rPr>
      </w:pPr>
    </w:p>
    <w:p>
      <w:pPr>
        <w:ind w:left="160" w:hanging="157"/>
        <w:spacing w:after="0" w:line="192" w:lineRule="auto"/>
        <w:tabs>
          <w:tab w:leader="none" w:pos="160" w:val="left"/>
        </w:tabs>
        <w:numPr>
          <w:ilvl w:val="0"/>
          <w:numId w:val="20"/>
        </w:numPr>
        <w:rPr>
          <w:rFonts w:ascii="Calibri" w:cs="Calibri" w:eastAsia="Calibri" w:hAnsi="Calibri"/>
          <w:sz w:val="14"/>
          <w:szCs w:val="14"/>
          <w:color w:val="auto"/>
          <w:vertAlign w:val="superscript"/>
        </w:rPr>
      </w:pPr>
      <w:r>
        <w:rPr>
          <w:rFonts w:ascii="Calibri" w:cs="Calibri" w:eastAsia="Calibri" w:hAnsi="Calibri"/>
          <w:sz w:val="11"/>
          <w:szCs w:val="11"/>
          <w:color w:val="auto"/>
        </w:rPr>
        <w:t>On August 15, 2024, we announced that our Board of Directors approved a $1.5 billion share repurchase program. The repurchase program does not have an expiraton date.</w:t>
      </w:r>
    </w:p>
    <w:p>
      <w:pPr>
        <w:spacing w:after="0" w:line="81"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3.</w:t>
        <w:tab/>
        <w:t>DEFAULTS UPON SENIOR SECURITIES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None.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4.</w:t>
        <w:tab/>
        <w:t>MINE SAFETY DISCLOSURES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Not applicable.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5.</w:t>
        <w:tab/>
        <w:t>OTHER INFORMATION</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Director and Secton 16 Ofcer Trading Arrangements</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On November 11, 2024, Jefrey J. Jones II, President, Chief Executve Ofcer and Director, adopted a Rule 10b5-1 plan (Rule 10b5-1 Plan) intended to satsfy the afrmatve defense conditons of Rule 10b5-1(c) under the Exchange Act. Mr. Jones’s Rule 10b5-1 Plan provides for the sale of up to 212,963 shares of the Company’s common stock, pursuant to the terms of the Rule 10b5-1 Plan. The Rule 10b5-1 Plan expires on November 11, 2025, or upon the earlier completon of all authorized transactons under such Rule 10b5-1 Plan.</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No other director or Secton 16 ofcer adopted or terminated a "Rule 10b5-1 trading arrangement" or "non-Rule 10b5-1 trading arrangement," as each term is defned in Item 408(a) of Regulaton S-K during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6.</w:t>
        <w:tab/>
        <w:t>EXHIBITS</w:t>
      </w:r>
    </w:p>
    <w:p>
      <w:pPr>
        <w:spacing w:after="0" w:line="5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exhibits are numbered in accordance with the Exhibit Table of Item 601 of Regulaton S-K:</w:t>
      </w:r>
    </w:p>
    <w:p>
      <w:pPr>
        <w:spacing w:after="0" w:line="40" w:lineRule="exact"/>
        <w:rPr>
          <w:sz w:val="20"/>
          <w:szCs w:val="20"/>
          <w:color w:val="auto"/>
        </w:rPr>
      </w:pPr>
    </w:p>
    <w:p>
      <w:pPr>
        <w:ind w:left="1060" w:right="20" w:hanging="1040"/>
        <w:spacing w:after="0" w:line="230" w:lineRule="auto"/>
        <w:tabs>
          <w:tab w:leader="none" w:pos="1060" w:val="left"/>
        </w:tabs>
        <w:numPr>
          <w:ilvl w:val="0"/>
          <w:numId w:val="21"/>
        </w:numPr>
        <w:rPr>
          <w:rFonts w:ascii="Calibri" w:cs="Calibri" w:eastAsia="Calibri" w:hAnsi="Calibri"/>
          <w:sz w:val="17"/>
          <w:szCs w:val="17"/>
          <w:u w:val="single" w:color="auto"/>
          <w:color w:val="0000FF"/>
        </w:rPr>
      </w:pPr>
      <w:hyperlink r:id="rId74">
        <w:r>
          <w:rPr>
            <w:rFonts w:ascii="Calibri" w:cs="Calibri" w:eastAsia="Calibri" w:hAnsi="Calibri"/>
            <w:sz w:val="17"/>
            <w:szCs w:val="17"/>
            <w:u w:val="single" w:color="auto"/>
            <w:color w:val="0000FF"/>
          </w:rPr>
          <w:t>List of Guarantor and Issuer Subsidiaries, fled as Exhibit 22 to the Company’s Annual Report on Form 10-K for the year ended June 30, 2024, fle</w:t>
        </w:r>
      </w:hyperlink>
      <w:r>
        <w:rPr>
          <w:rFonts w:ascii="Calibri" w:cs="Calibri" w:eastAsia="Calibri" w:hAnsi="Calibri"/>
          <w:sz w:val="17"/>
          <w:szCs w:val="17"/>
          <w:u w:val="single" w:color="auto"/>
          <w:color w:val="0000FF"/>
        </w:rPr>
        <w:t xml:space="preserve"> </w:t>
      </w:r>
      <w:hyperlink r:id="rId74">
        <w:r>
          <w:rPr>
            <w:rFonts w:ascii="Calibri" w:cs="Calibri" w:eastAsia="Calibri" w:hAnsi="Calibri"/>
            <w:sz w:val="17"/>
            <w:szCs w:val="17"/>
            <w:u w:val="single" w:color="auto"/>
            <w:color w:val="0000FF"/>
          </w:rPr>
          <w:t>number 1-06089, is incorporated herein by reference.</w:t>
        </w:r>
      </w:hyperlink>
    </w:p>
    <w:p>
      <w:pPr>
        <w:spacing w:after="0" w:line="9" w:lineRule="exact"/>
        <w:rPr>
          <w:rFonts w:ascii="Calibri" w:cs="Calibri" w:eastAsia="Calibri" w:hAnsi="Calibri"/>
          <w:sz w:val="17"/>
          <w:szCs w:val="17"/>
          <w:u w:val="single" w:color="auto"/>
          <w:color w:val="0000FF"/>
        </w:rPr>
      </w:pPr>
    </w:p>
    <w:tbl>
      <w:tblPr>
        <w:tblLayout w:type="fixed"/>
        <w:tblInd w:w="0" w:type="dxa"/>
        <w:tblCellMar>
          <w:top w:w="0" w:type="dxa"/>
          <w:left w:w="0" w:type="dxa"/>
          <w:bottom w:w="0" w:type="dxa"/>
          <w:right w:w="0" w:type="dxa"/>
        </w:tblCellMar>
      </w:tblPr>
      <w:tr>
        <w:trPr>
          <w:trHeight w:val="208"/>
        </w:trPr>
        <w:tc>
          <w:tcPr>
            <w:tcW w:w="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1</w:t>
            </w:r>
          </w:p>
        </w:tc>
        <w:tc>
          <w:tcPr>
            <w:tcW w:w="500" w:type="dxa"/>
            <w:vAlign w:val="bottom"/>
            <w:shd w:val="clear" w:color="auto" w:fill="BFE4FF"/>
          </w:tcPr>
          <w:p>
            <w:pPr>
              <w:spacing w:after="0"/>
              <w:rPr>
                <w:sz w:val="18"/>
                <w:szCs w:val="18"/>
                <w:color w:val="auto"/>
              </w:rPr>
            </w:pPr>
          </w:p>
        </w:tc>
        <w:tc>
          <w:tcPr>
            <w:tcW w:w="10280" w:type="dxa"/>
            <w:vAlign w:val="bottom"/>
            <w:gridSpan w:val="6"/>
            <w:shd w:val="clear" w:color="auto" w:fill="BFE4FF"/>
          </w:tcPr>
          <w:p>
            <w:pPr>
              <w:ind w:left="240"/>
              <w:spacing w:after="0"/>
              <w:rPr>
                <w:sz w:val="20"/>
                <w:szCs w:val="20"/>
                <w:color w:val="auto"/>
              </w:rPr>
            </w:pPr>
            <w:r>
              <w:rPr>
                <w:rFonts w:ascii="Calibri" w:cs="Calibri" w:eastAsia="Calibri" w:hAnsi="Calibri"/>
                <w:sz w:val="17"/>
                <w:szCs w:val="17"/>
                <w:color w:val="0000FF"/>
              </w:rPr>
              <w:t>Certfcaton by Chief Executve Ofcer pursuant to Secton 302 of the Sarbanes-Oxley Act of 2002.</w:t>
            </w:r>
          </w:p>
        </w:tc>
      </w:tr>
      <w:tr>
        <w:trPr>
          <w:trHeight w:val="32"/>
        </w:trPr>
        <w:tc>
          <w:tcPr>
            <w:tcW w:w="2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0000FF"/>
            </w:tcBorders>
            <w:shd w:val="clear" w:color="auto" w:fill="BFE4FF"/>
          </w:tcPr>
          <w:p>
            <w:pPr>
              <w:spacing w:after="0"/>
              <w:rPr>
                <w:sz w:val="2"/>
                <w:szCs w:val="2"/>
                <w:color w:val="auto"/>
              </w:rPr>
            </w:pPr>
          </w:p>
        </w:tc>
        <w:tc>
          <w:tcPr>
            <w:tcW w:w="500" w:type="dxa"/>
            <w:vAlign w:val="bottom"/>
            <w:tcBorders>
              <w:top w:val="single" w:sz="8" w:color="BFE4FF"/>
            </w:tcBorders>
            <w:shd w:val="clear" w:color="auto" w:fill="BFE4FF"/>
          </w:tcPr>
          <w:p>
            <w:pPr>
              <w:spacing w:after="0"/>
              <w:rPr>
                <w:sz w:val="2"/>
                <w:szCs w:val="2"/>
                <w:color w:val="auto"/>
              </w:rPr>
            </w:pPr>
          </w:p>
        </w:tc>
        <w:tc>
          <w:tcPr>
            <w:tcW w:w="240" w:type="dxa"/>
            <w:vAlign w:val="bottom"/>
            <w:tcBorders>
              <w:top w:val="single" w:sz="8" w:color="BFE4FF"/>
            </w:tcBorders>
            <w:shd w:val="clear" w:color="auto" w:fill="BFE4FF"/>
          </w:tcPr>
          <w:p>
            <w:pPr>
              <w:spacing w:after="0"/>
              <w:rPr>
                <w:sz w:val="2"/>
                <w:szCs w:val="2"/>
                <w:color w:val="auto"/>
              </w:rPr>
            </w:pPr>
          </w:p>
        </w:tc>
        <w:tc>
          <w:tcPr>
            <w:tcW w:w="6600" w:type="dxa"/>
            <w:vAlign w:val="bottom"/>
            <w:tcBorders>
              <w:top w:val="single" w:sz="8" w:color="0000FF"/>
            </w:tcBorders>
            <w:shd w:val="clear" w:color="auto" w:fill="BFE4FF"/>
          </w:tcPr>
          <w:p>
            <w:pPr>
              <w:spacing w:after="0"/>
              <w:rPr>
                <w:sz w:val="2"/>
                <w:szCs w:val="2"/>
                <w:color w:val="auto"/>
              </w:rPr>
            </w:pPr>
          </w:p>
        </w:tc>
        <w:tc>
          <w:tcPr>
            <w:tcW w:w="40" w:type="dxa"/>
            <w:vAlign w:val="bottom"/>
            <w:tcBorders>
              <w:top w:val="single" w:sz="8" w:color="0000FF"/>
            </w:tcBorders>
            <w:shd w:val="clear" w:color="auto" w:fill="BFE4FF"/>
          </w:tcPr>
          <w:p>
            <w:pPr>
              <w:spacing w:after="0"/>
              <w:rPr>
                <w:sz w:val="2"/>
                <w:szCs w:val="2"/>
                <w:color w:val="auto"/>
              </w:rPr>
            </w:pPr>
          </w:p>
        </w:tc>
        <w:tc>
          <w:tcPr>
            <w:tcW w:w="2000" w:type="dxa"/>
            <w:vAlign w:val="bottom"/>
            <w:tcBorders>
              <w:top w:val="single" w:sz="8" w:color="BFE4FF"/>
            </w:tcBorders>
            <w:shd w:val="clear" w:color="auto" w:fill="BFE4FF"/>
          </w:tcPr>
          <w:p>
            <w:pPr>
              <w:spacing w:after="0"/>
              <w:rPr>
                <w:sz w:val="2"/>
                <w:szCs w:val="2"/>
                <w:color w:val="auto"/>
              </w:rPr>
            </w:pPr>
          </w:p>
        </w:tc>
        <w:tc>
          <w:tcPr>
            <w:tcW w:w="60" w:type="dxa"/>
            <w:vAlign w:val="bottom"/>
            <w:tcBorders>
              <w:top w:val="single" w:sz="8" w:color="BFE4FF"/>
            </w:tcBorders>
            <w:shd w:val="clear" w:color="auto" w:fill="BFE4FF"/>
          </w:tcPr>
          <w:p>
            <w:pPr>
              <w:spacing w:after="0"/>
              <w:rPr>
                <w:sz w:val="2"/>
                <w:szCs w:val="2"/>
                <w:color w:val="auto"/>
              </w:rPr>
            </w:pPr>
          </w:p>
        </w:tc>
        <w:tc>
          <w:tcPr>
            <w:tcW w:w="1340" w:type="dxa"/>
            <w:vAlign w:val="bottom"/>
            <w:tcBorders>
              <w:top w:val="single" w:sz="8" w:color="BFE4FF"/>
            </w:tcBorders>
            <w:shd w:val="clear" w:color="auto" w:fill="BFE4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Secton 302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8"/>
        </w:trPr>
        <w:tc>
          <w:tcPr>
            <w:tcW w:w="20" w:type="dxa"/>
            <w:vAlign w:val="bottom"/>
            <w:shd w:val="clear" w:color="auto" w:fill="BFE4FF"/>
          </w:tcPr>
          <w:p>
            <w:pPr>
              <w:spacing w:after="0"/>
              <w:rPr>
                <w:sz w:val="14"/>
                <w:szCs w:val="14"/>
                <w:color w:val="auto"/>
              </w:rPr>
            </w:pPr>
          </w:p>
        </w:tc>
        <w:tc>
          <w:tcPr>
            <w:tcW w:w="300" w:type="dxa"/>
            <w:vAlign w:val="bottom"/>
            <w:shd w:val="clear" w:color="auto" w:fill="BFE4FF"/>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1</w:t>
            </w:r>
          </w:p>
        </w:tc>
        <w:tc>
          <w:tcPr>
            <w:tcW w:w="500" w:type="dxa"/>
            <w:vAlign w:val="bottom"/>
            <w:shd w:val="clear" w:color="auto" w:fill="BFE4FF"/>
          </w:tcPr>
          <w:p>
            <w:pPr>
              <w:spacing w:after="0"/>
              <w:rPr>
                <w:sz w:val="14"/>
                <w:szCs w:val="14"/>
                <w:color w:val="auto"/>
              </w:rPr>
            </w:pPr>
          </w:p>
        </w:tc>
        <w:tc>
          <w:tcPr>
            <w:tcW w:w="10280" w:type="dxa"/>
            <w:vAlign w:val="bottom"/>
            <w:gridSpan w:val="6"/>
            <w:shd w:val="clear" w:color="auto" w:fill="BFE4FF"/>
          </w:tcPr>
          <w:p>
            <w:pPr>
              <w:ind w:left="240"/>
              <w:spacing w:after="0" w:line="167" w:lineRule="exact"/>
              <w:rPr>
                <w:sz w:val="20"/>
                <w:szCs w:val="20"/>
                <w:color w:val="auto"/>
              </w:rPr>
            </w:pPr>
            <w:r>
              <w:rPr>
                <w:rFonts w:ascii="Calibri" w:cs="Calibri" w:eastAsia="Calibri" w:hAnsi="Calibri"/>
                <w:sz w:val="17"/>
                <w:szCs w:val="17"/>
                <w:color w:val="0000FF"/>
              </w:rPr>
              <w:t>Certfcaton by Chief Executve Ofcer pursuant to 18 U.S.C. 1350, as adopted by Secton 906 of the Sarbanes-Oxley Act of 2002.</w:t>
            </w:r>
          </w:p>
        </w:tc>
      </w:tr>
      <w:tr>
        <w:trPr>
          <w:trHeight w:val="32"/>
        </w:trPr>
        <w:tc>
          <w:tcPr>
            <w:tcW w:w="2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0000FF"/>
            </w:tcBorders>
            <w:shd w:val="clear" w:color="auto" w:fill="BFE4FF"/>
          </w:tcPr>
          <w:p>
            <w:pPr>
              <w:spacing w:after="0"/>
              <w:rPr>
                <w:sz w:val="2"/>
                <w:szCs w:val="2"/>
                <w:color w:val="auto"/>
              </w:rPr>
            </w:pPr>
          </w:p>
        </w:tc>
        <w:tc>
          <w:tcPr>
            <w:tcW w:w="500" w:type="dxa"/>
            <w:vAlign w:val="bottom"/>
            <w:tcBorders>
              <w:top w:val="single" w:sz="8" w:color="BFE4FF"/>
            </w:tcBorders>
            <w:shd w:val="clear" w:color="auto" w:fill="BFE4FF"/>
          </w:tcPr>
          <w:p>
            <w:pPr>
              <w:spacing w:after="0"/>
              <w:rPr>
                <w:sz w:val="2"/>
                <w:szCs w:val="2"/>
                <w:color w:val="auto"/>
              </w:rPr>
            </w:pPr>
          </w:p>
        </w:tc>
        <w:tc>
          <w:tcPr>
            <w:tcW w:w="240" w:type="dxa"/>
            <w:vAlign w:val="bottom"/>
            <w:tcBorders>
              <w:top w:val="single" w:sz="8" w:color="BFE4FF"/>
            </w:tcBorders>
            <w:shd w:val="clear" w:color="auto" w:fill="BFE4FF"/>
          </w:tcPr>
          <w:p>
            <w:pPr>
              <w:spacing w:after="0"/>
              <w:rPr>
                <w:sz w:val="2"/>
                <w:szCs w:val="2"/>
                <w:color w:val="auto"/>
              </w:rPr>
            </w:pPr>
          </w:p>
        </w:tc>
        <w:tc>
          <w:tcPr>
            <w:tcW w:w="6600" w:type="dxa"/>
            <w:vAlign w:val="bottom"/>
            <w:tcBorders>
              <w:top w:val="single" w:sz="8" w:color="0000FF"/>
            </w:tcBorders>
            <w:shd w:val="clear" w:color="auto" w:fill="BFE4FF"/>
          </w:tcPr>
          <w:p>
            <w:pPr>
              <w:spacing w:after="0"/>
              <w:rPr>
                <w:sz w:val="2"/>
                <w:szCs w:val="2"/>
                <w:color w:val="auto"/>
              </w:rPr>
            </w:pPr>
          </w:p>
        </w:tc>
        <w:tc>
          <w:tcPr>
            <w:tcW w:w="40" w:type="dxa"/>
            <w:vAlign w:val="bottom"/>
            <w:tcBorders>
              <w:top w:val="single" w:sz="8" w:color="0000FF"/>
            </w:tcBorders>
            <w:shd w:val="clear" w:color="auto" w:fill="BFE4FF"/>
          </w:tcPr>
          <w:p>
            <w:pPr>
              <w:spacing w:after="0"/>
              <w:rPr>
                <w:sz w:val="2"/>
                <w:szCs w:val="2"/>
                <w:color w:val="auto"/>
              </w:rPr>
            </w:pPr>
          </w:p>
        </w:tc>
        <w:tc>
          <w:tcPr>
            <w:tcW w:w="2000" w:type="dxa"/>
            <w:vAlign w:val="bottom"/>
            <w:tcBorders>
              <w:top w:val="single" w:sz="8" w:color="0000FF"/>
            </w:tcBorders>
            <w:shd w:val="clear" w:color="auto" w:fill="BFE4FF"/>
          </w:tcPr>
          <w:p>
            <w:pPr>
              <w:spacing w:after="0"/>
              <w:rPr>
                <w:sz w:val="2"/>
                <w:szCs w:val="2"/>
                <w:color w:val="auto"/>
              </w:rPr>
            </w:pPr>
          </w:p>
        </w:tc>
        <w:tc>
          <w:tcPr>
            <w:tcW w:w="60" w:type="dxa"/>
            <w:vAlign w:val="bottom"/>
            <w:tcBorders>
              <w:top w:val="single" w:sz="8" w:color="0000FF"/>
            </w:tcBorders>
            <w:shd w:val="clear" w:color="auto" w:fill="BFE4FF"/>
          </w:tcPr>
          <w:p>
            <w:pPr>
              <w:spacing w:after="0"/>
              <w:rPr>
                <w:sz w:val="2"/>
                <w:szCs w:val="2"/>
                <w:color w:val="auto"/>
              </w:rPr>
            </w:pPr>
          </w:p>
        </w:tc>
        <w:tc>
          <w:tcPr>
            <w:tcW w:w="1340" w:type="dxa"/>
            <w:vAlign w:val="bottom"/>
            <w:tcBorders>
              <w:top w:val="single" w:sz="8" w:color="BFE4FF"/>
            </w:tcBorders>
            <w:shd w:val="clear" w:color="auto" w:fill="BFE4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18 U.S.C. 1350, as adopted by Secton 906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2"/>
        </w:trPr>
        <w:tc>
          <w:tcPr>
            <w:tcW w:w="820" w:type="dxa"/>
            <w:vAlign w:val="bottom"/>
            <w:gridSpan w:val="3"/>
            <w:shd w:val="clear" w:color="auto" w:fill="BFE4FF"/>
          </w:tcPr>
          <w:p>
            <w:pPr>
              <w:ind w:left="20"/>
              <w:spacing w:after="0" w:line="173" w:lineRule="exact"/>
              <w:rPr>
                <w:sz w:val="20"/>
                <w:szCs w:val="20"/>
                <w:color w:val="auto"/>
              </w:rPr>
            </w:pPr>
            <w:r>
              <w:rPr>
                <w:rFonts w:ascii="Calibri" w:cs="Calibri" w:eastAsia="Calibri" w:hAnsi="Calibri"/>
                <w:sz w:val="17"/>
                <w:szCs w:val="17"/>
                <w:color w:val="auto"/>
              </w:rPr>
              <w:t>101.INS</w:t>
            </w:r>
          </w:p>
        </w:tc>
        <w:tc>
          <w:tcPr>
            <w:tcW w:w="10280" w:type="dxa"/>
            <w:vAlign w:val="bottom"/>
            <w:gridSpan w:val="6"/>
            <w:shd w:val="clear" w:color="auto" w:fill="BFE4FF"/>
          </w:tcPr>
          <w:p>
            <w:pPr>
              <w:ind w:left="240"/>
              <w:spacing w:after="0" w:line="173" w:lineRule="exact"/>
              <w:rPr>
                <w:sz w:val="20"/>
                <w:szCs w:val="20"/>
                <w:color w:val="auto"/>
              </w:rPr>
            </w:pPr>
            <w:r>
              <w:rPr>
                <w:rFonts w:ascii="Calibri" w:cs="Calibri" w:eastAsia="Calibri" w:hAnsi="Calibri"/>
                <w:sz w:val="17"/>
                <w:szCs w:val="17"/>
                <w:color w:val="auto"/>
              </w:rPr>
              <w:t>Inline XBRL Instance Document - the instance document does not appear in the Interactve Data File because its XBRL tags are embedded within</w:t>
            </w:r>
          </w:p>
        </w:tc>
      </w:tr>
      <w:tr>
        <w:trPr>
          <w:trHeight w:val="207"/>
        </w:trPr>
        <w:tc>
          <w:tcPr>
            <w:tcW w:w="20" w:type="dxa"/>
            <w:vAlign w:val="bottom"/>
            <w:tcBorders>
              <w:bottom w:val="single" w:sz="8" w:color="BFE4FF"/>
            </w:tcBorders>
            <w:shd w:val="clear" w:color="auto" w:fill="BFE4FF"/>
          </w:tcPr>
          <w:p>
            <w:pPr>
              <w:spacing w:after="0"/>
              <w:rPr>
                <w:sz w:val="18"/>
                <w:szCs w:val="18"/>
                <w:color w:val="auto"/>
              </w:rPr>
            </w:pPr>
          </w:p>
        </w:tc>
        <w:tc>
          <w:tcPr>
            <w:tcW w:w="300" w:type="dxa"/>
            <w:vAlign w:val="bottom"/>
            <w:tcBorders>
              <w:bottom w:val="single" w:sz="8" w:color="BFE4FF"/>
            </w:tcBorders>
            <w:shd w:val="clear" w:color="auto" w:fill="BFE4FF"/>
          </w:tcPr>
          <w:p>
            <w:pPr>
              <w:spacing w:after="0"/>
              <w:rPr>
                <w:sz w:val="18"/>
                <w:szCs w:val="18"/>
                <w:color w:val="auto"/>
              </w:rPr>
            </w:pPr>
          </w:p>
        </w:tc>
        <w:tc>
          <w:tcPr>
            <w:tcW w:w="500" w:type="dxa"/>
            <w:vAlign w:val="bottom"/>
            <w:tcBorders>
              <w:bottom w:val="single" w:sz="8" w:color="BFE4FF"/>
            </w:tcBorders>
            <w:shd w:val="clear" w:color="auto" w:fill="BFE4FF"/>
          </w:tcPr>
          <w:p>
            <w:pPr>
              <w:spacing w:after="0"/>
              <w:rPr>
                <w:sz w:val="18"/>
                <w:szCs w:val="18"/>
                <w:color w:val="auto"/>
              </w:rPr>
            </w:pPr>
          </w:p>
        </w:tc>
        <w:tc>
          <w:tcPr>
            <w:tcW w:w="10280" w:type="dxa"/>
            <w:vAlign w:val="bottom"/>
            <w:tcBorders>
              <w:bottom w:val="single" w:sz="8" w:color="BFE4FF"/>
            </w:tcBorders>
            <w:gridSpan w:val="6"/>
            <w:shd w:val="clear" w:color="auto" w:fill="BFE4FF"/>
          </w:tcPr>
          <w:p>
            <w:pPr>
              <w:ind w:left="240"/>
              <w:spacing w:after="0" w:line="205" w:lineRule="exact"/>
              <w:rPr>
                <w:sz w:val="20"/>
                <w:szCs w:val="20"/>
                <w:color w:val="auto"/>
              </w:rPr>
            </w:pPr>
            <w:r>
              <w:rPr>
                <w:rFonts w:ascii="Calibri" w:cs="Calibri" w:eastAsia="Calibri" w:hAnsi="Calibri"/>
                <w:sz w:val="17"/>
                <w:szCs w:val="17"/>
                <w:color w:val="auto"/>
              </w:rPr>
              <w:t>the Inline XBRL document</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101.SCH</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Schema</w:t>
            </w:r>
          </w:p>
        </w:tc>
      </w:tr>
      <w:tr>
        <w:trPr>
          <w:trHeight w:val="226"/>
        </w:trPr>
        <w:tc>
          <w:tcPr>
            <w:tcW w:w="820" w:type="dxa"/>
            <w:vAlign w:val="bottom"/>
            <w:gridSpan w:val="3"/>
            <w:shd w:val="clear" w:color="auto" w:fill="BFE4FF"/>
          </w:tcPr>
          <w:p>
            <w:pPr>
              <w:ind w:left="20"/>
              <w:spacing w:after="0"/>
              <w:rPr>
                <w:sz w:val="20"/>
                <w:szCs w:val="20"/>
                <w:color w:val="auto"/>
              </w:rPr>
            </w:pPr>
            <w:r>
              <w:rPr>
                <w:rFonts w:ascii="Calibri" w:cs="Calibri" w:eastAsia="Calibri" w:hAnsi="Calibri"/>
                <w:sz w:val="17"/>
                <w:szCs w:val="17"/>
                <w:color w:val="auto"/>
              </w:rPr>
              <w:t>101.CAL</w:t>
            </w:r>
          </w:p>
        </w:tc>
        <w:tc>
          <w:tcPr>
            <w:tcW w:w="10280" w:type="dxa"/>
            <w:vAlign w:val="bottom"/>
            <w:gridSpan w:val="6"/>
            <w:shd w:val="clear" w:color="auto" w:fill="BFE4FF"/>
          </w:tcPr>
          <w:p>
            <w:pPr>
              <w:ind w:left="240"/>
              <w:spacing w:after="0"/>
              <w:rPr>
                <w:sz w:val="20"/>
                <w:szCs w:val="20"/>
                <w:color w:val="auto"/>
              </w:rPr>
            </w:pPr>
            <w:r>
              <w:rPr>
                <w:rFonts w:ascii="Calibri" w:cs="Calibri" w:eastAsia="Calibri" w:hAnsi="Calibri"/>
                <w:sz w:val="17"/>
                <w:szCs w:val="17"/>
                <w:color w:val="auto"/>
              </w:rPr>
              <w:t>Inline XBRL Extension Calculaton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101.LAB</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Label Linkbase</w:t>
            </w:r>
          </w:p>
        </w:tc>
      </w:tr>
      <w:tr>
        <w:trPr>
          <w:trHeight w:val="226"/>
        </w:trPr>
        <w:tc>
          <w:tcPr>
            <w:tcW w:w="820" w:type="dxa"/>
            <w:vAlign w:val="bottom"/>
            <w:gridSpan w:val="3"/>
            <w:shd w:val="clear" w:color="auto" w:fill="BFE4FF"/>
          </w:tcPr>
          <w:p>
            <w:pPr>
              <w:ind w:left="20"/>
              <w:spacing w:after="0"/>
              <w:rPr>
                <w:sz w:val="20"/>
                <w:szCs w:val="20"/>
                <w:color w:val="auto"/>
              </w:rPr>
            </w:pPr>
            <w:r>
              <w:rPr>
                <w:rFonts w:ascii="Calibri" w:cs="Calibri" w:eastAsia="Calibri" w:hAnsi="Calibri"/>
                <w:sz w:val="17"/>
                <w:szCs w:val="17"/>
                <w:color w:val="auto"/>
              </w:rPr>
              <w:t>101.PRE</w:t>
            </w:r>
          </w:p>
        </w:tc>
        <w:tc>
          <w:tcPr>
            <w:tcW w:w="10280" w:type="dxa"/>
            <w:vAlign w:val="bottom"/>
            <w:gridSpan w:val="6"/>
            <w:shd w:val="clear" w:color="auto" w:fill="BFE4FF"/>
          </w:tcPr>
          <w:p>
            <w:pPr>
              <w:ind w:left="240"/>
              <w:spacing w:after="0"/>
              <w:rPr>
                <w:sz w:val="20"/>
                <w:szCs w:val="20"/>
                <w:color w:val="auto"/>
              </w:rPr>
            </w:pPr>
            <w:r>
              <w:rPr>
                <w:rFonts w:ascii="Calibri" w:cs="Calibri" w:eastAsia="Calibri" w:hAnsi="Calibri"/>
                <w:sz w:val="17"/>
                <w:szCs w:val="17"/>
                <w:color w:val="auto"/>
              </w:rPr>
              <w:t>Inline XBRL Taxonomy Extension Presentaton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101.DEF</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Defniton Linkbase</w:t>
            </w:r>
          </w:p>
        </w:tc>
      </w:tr>
      <w:tr>
        <w:trPr>
          <w:trHeight w:val="226"/>
        </w:trPr>
        <w:tc>
          <w:tcPr>
            <w:tcW w:w="320" w:type="dxa"/>
            <w:vAlign w:val="bottom"/>
            <w:gridSpan w:val="2"/>
            <w:shd w:val="clear" w:color="auto" w:fill="BFE4FF"/>
          </w:tcPr>
          <w:p>
            <w:pPr>
              <w:ind w:left="20"/>
              <w:spacing w:after="0"/>
              <w:rPr>
                <w:sz w:val="20"/>
                <w:szCs w:val="20"/>
                <w:color w:val="auto"/>
              </w:rPr>
            </w:pPr>
            <w:r>
              <w:rPr>
                <w:rFonts w:ascii="Calibri" w:cs="Calibri" w:eastAsia="Calibri" w:hAnsi="Calibri"/>
                <w:sz w:val="17"/>
                <w:szCs w:val="17"/>
                <w:color w:val="auto"/>
              </w:rPr>
              <w:t>104</w:t>
            </w:r>
          </w:p>
        </w:tc>
        <w:tc>
          <w:tcPr>
            <w:tcW w:w="500" w:type="dxa"/>
            <w:vAlign w:val="bottom"/>
            <w:shd w:val="clear" w:color="auto" w:fill="BFE4FF"/>
          </w:tcPr>
          <w:p>
            <w:pPr>
              <w:spacing w:after="0"/>
              <w:rPr>
                <w:sz w:val="19"/>
                <w:szCs w:val="19"/>
                <w:color w:val="auto"/>
              </w:rPr>
            </w:pPr>
          </w:p>
        </w:tc>
        <w:tc>
          <w:tcPr>
            <w:tcW w:w="10280" w:type="dxa"/>
            <w:vAlign w:val="bottom"/>
            <w:gridSpan w:val="6"/>
            <w:shd w:val="clear" w:color="auto" w:fill="BFE4FF"/>
          </w:tcPr>
          <w:p>
            <w:pPr>
              <w:ind w:left="240"/>
              <w:spacing w:after="0"/>
              <w:rPr>
                <w:sz w:val="20"/>
                <w:szCs w:val="20"/>
                <w:color w:val="auto"/>
              </w:rPr>
            </w:pPr>
            <w:r>
              <w:rPr>
                <w:rFonts w:ascii="Calibri" w:cs="Calibri" w:eastAsia="Calibri" w:hAnsi="Calibri"/>
                <w:sz w:val="17"/>
                <w:szCs w:val="17"/>
                <w:color w:val="auto"/>
              </w:rPr>
              <w:t>Cover Page Interactve Data File (formated as Inline XBRL and contained in Exhibit 101)</w:t>
            </w:r>
          </w:p>
        </w:tc>
      </w:tr>
    </w:tbl>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23" w:lineRule="exact"/>
        <w:rPr>
          <w:rFonts w:ascii="Calibri" w:cs="Calibri" w:eastAsia="Calibri" w:hAnsi="Calibri"/>
          <w:sz w:val="17"/>
          <w:szCs w:val="17"/>
          <w:u w:val="single" w:color="auto"/>
          <w:color w:val="0000FF"/>
        </w:rPr>
      </w:pPr>
    </w:p>
    <w:p>
      <w:pPr>
        <w:ind w:left="360" w:hanging="259"/>
        <w:spacing w:after="0"/>
        <w:tabs>
          <w:tab w:leader="none" w:pos="360" w:val="left"/>
        </w:tabs>
        <w:numPr>
          <w:ilvl w:val="0"/>
          <w:numId w:val="22"/>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FY2025 Form 10-Q| </w:t>
      </w:r>
      <w:r>
        <w:rPr>
          <w:rFonts w:ascii="Calibri" w:cs="Calibri" w:eastAsia="Calibri" w:hAnsi="Calibri"/>
          <w:sz w:val="14"/>
          <w:szCs w:val="14"/>
          <w:b w:val="1"/>
          <w:bCs w:val="1"/>
          <w:color w:val="auto"/>
        </w:rPr>
        <w:t>H&amp;R Block, Inc.</w:t>
      </w:r>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28" w:name="page29"/>
    <w:bookmarkEnd w:id="2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SIGNATURES</w:t>
      </w:r>
    </w:p>
    <w:p>
      <w:pPr>
        <w:spacing w:after="0" w:line="105"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Pursuant to the requirements of the Securites Exchange Act of 1934, the registrant has duly caused this report to be signed on its behalf by the undersigned thereunto duly authorized.</w:t>
      </w:r>
    </w:p>
    <w:p>
      <w:pPr>
        <w:spacing w:after="0" w:line="12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H&amp;R BLOCK, INC.</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Jefrey J. Jones II</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President and Chief Executve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2025</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Tifany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Tifany L. Mason</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Financial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2025</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Kellie J. Logerwell</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Accountng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FY2025 Form 10-Q</w:t>
      </w:r>
      <w:r>
        <w:rPr>
          <w:sz w:val="20"/>
          <w:szCs w:val="20"/>
          <w:color w:val="auto"/>
        </w:rPr>
        <w:tab/>
      </w:r>
      <w:r>
        <w:rPr>
          <w:rFonts w:ascii="Calibri" w:cs="Calibri" w:eastAsia="Calibri" w:hAnsi="Calibri"/>
          <w:sz w:val="13"/>
          <w:szCs w:val="13"/>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Jefrey J. Jones II, Chief Executve Ofcer, certfy that:</w:t>
      </w:r>
    </w:p>
    <w:p>
      <w:pPr>
        <w:spacing w:after="0" w:line="231" w:lineRule="exact"/>
        <w:rPr>
          <w:sz w:val="20"/>
          <w:szCs w:val="20"/>
          <w:color w:val="auto"/>
        </w:rPr>
      </w:pPr>
    </w:p>
    <w:p>
      <w:pPr>
        <w:ind w:left="160" w:hanging="157"/>
        <w:spacing w:after="0"/>
        <w:tabs>
          <w:tab w:leader="none" w:pos="16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February 6, 2025</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Jefrey J. Jones II</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Jefrey J. Jones II</w:t>
            </w:r>
          </w:p>
        </w:tc>
      </w:tr>
      <w:tr>
        <w:trPr>
          <w:trHeight w:val="174"/>
        </w:trPr>
        <w:tc>
          <w:tcPr>
            <w:tcW w:w="5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4460" w:type="dxa"/>
            <w:vAlign w:val="bottom"/>
          </w:tcPr>
          <w:p>
            <w:pPr>
              <w:ind w:left="20"/>
              <w:spacing w:after="0" w:line="173" w:lineRule="exact"/>
              <w:rPr>
                <w:sz w:val="20"/>
                <w:szCs w:val="20"/>
                <w:color w:val="auto"/>
              </w:rPr>
            </w:pPr>
            <w:r>
              <w:rPr>
                <w:rFonts w:ascii="Calibri" w:cs="Calibri" w:eastAsia="Calibri" w:hAnsi="Calibri"/>
                <w:sz w:val="17"/>
                <w:szCs w:val="17"/>
                <w:color w:val="auto"/>
              </w:rPr>
              <w:t>Chief Executve Ofcer</w:t>
            </w:r>
          </w:p>
        </w:tc>
      </w:tr>
      <w:tr>
        <w:trPr>
          <w:trHeight w:val="205"/>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205" w:lineRule="exact"/>
              <w:rPr>
                <w:sz w:val="20"/>
                <w:szCs w:val="20"/>
                <w:color w:val="auto"/>
              </w:rPr>
            </w:pPr>
            <w:r>
              <w:rPr>
                <w:rFonts w:ascii="Calibri" w:cs="Calibri" w:eastAsia="Calibri" w:hAnsi="Calibri"/>
                <w:sz w:val="17"/>
                <w:szCs w:val="17"/>
                <w:color w:val="auto"/>
              </w:rPr>
              <w:t>H&amp;R Block, Inc.</w:t>
            </w:r>
          </w:p>
        </w:tc>
      </w:tr>
    </w:tbl>
    <w:p>
      <w:pPr>
        <w:sectPr>
          <w:pgSz w:w="11900" w:h="16838" w:orient="portrait"/>
          <w:cols w:equalWidth="0" w:num="1">
            <w:col w:w="11240"/>
          </w:cols>
          <w:pgMar w:left="320" w:top="116"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Tifany L. Mason, Chief Financial Ofcer, certfy that:</w:t>
      </w:r>
    </w:p>
    <w:p>
      <w:pPr>
        <w:spacing w:after="0" w:line="231" w:lineRule="exact"/>
        <w:rPr>
          <w:sz w:val="20"/>
          <w:szCs w:val="20"/>
          <w:color w:val="auto"/>
        </w:rPr>
      </w:pPr>
    </w:p>
    <w:p>
      <w:pPr>
        <w:ind w:left="160" w:hanging="157"/>
        <w:spacing w:after="0"/>
        <w:tabs>
          <w:tab w:leader="none" w:pos="16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February 6, 2025</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Tifany L. Mason</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Tifany L. Mason</w:t>
            </w:r>
          </w:p>
        </w:tc>
      </w:tr>
      <w:tr>
        <w:trPr>
          <w:trHeight w:val="174"/>
        </w:trPr>
        <w:tc>
          <w:tcPr>
            <w:tcW w:w="5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4460" w:type="dxa"/>
            <w:vAlign w:val="bottom"/>
          </w:tcPr>
          <w:p>
            <w:pPr>
              <w:ind w:left="20"/>
              <w:spacing w:after="0" w:line="173" w:lineRule="exact"/>
              <w:rPr>
                <w:sz w:val="20"/>
                <w:szCs w:val="20"/>
                <w:color w:val="auto"/>
              </w:rPr>
            </w:pPr>
            <w:r>
              <w:rPr>
                <w:rFonts w:ascii="Calibri" w:cs="Calibri" w:eastAsia="Calibri" w:hAnsi="Calibri"/>
                <w:sz w:val="17"/>
                <w:szCs w:val="17"/>
                <w:color w:val="auto"/>
              </w:rPr>
              <w:t>Chief Financial Ofcer</w:t>
            </w:r>
          </w:p>
        </w:tc>
      </w:tr>
      <w:tr>
        <w:trPr>
          <w:trHeight w:val="205"/>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205" w:lineRule="exact"/>
              <w:rPr>
                <w:sz w:val="20"/>
                <w:szCs w:val="20"/>
                <w:color w:val="auto"/>
              </w:rPr>
            </w:pPr>
            <w:r>
              <w:rPr>
                <w:rFonts w:ascii="Calibri" w:cs="Calibri" w:eastAsia="Calibri" w:hAnsi="Calibri"/>
                <w:sz w:val="17"/>
                <w:szCs w:val="17"/>
                <w:color w:val="auto"/>
              </w:rPr>
              <w:t>H&amp;R Block, Inc.</w:t>
            </w:r>
          </w:p>
        </w:tc>
      </w:tr>
    </w:tbl>
    <w:p>
      <w:pPr>
        <w:sectPr>
          <w:pgSz w:w="11900" w:h="16838" w:orient="portrait"/>
          <w:cols w:equalWidth="0" w:num="1">
            <w:col w:w="11240"/>
          </w:cols>
          <w:pgMar w:left="320" w:top="116" w:right="339" w:bottom="1440" w:gutter="0" w:footer="0" w:header="0"/>
        </w:sectPr>
      </w:pPr>
    </w:p>
    <w:bookmarkStart w:id="31" w:name="page32"/>
    <w:bookmarkEnd w:id="31"/>
    <w:p>
      <w:pPr>
        <w:jc w:val="right"/>
        <w:spacing w:after="0"/>
        <w:rPr>
          <w:sz w:val="20"/>
          <w:szCs w:val="20"/>
          <w:color w:val="auto"/>
        </w:rPr>
      </w:pPr>
      <w:r>
        <w:rPr>
          <w:rFonts w:ascii="MS PGothic" w:cs="MS PGothic" w:eastAsia="MS PGothic" w:hAnsi="MS PGothic"/>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232"/>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December 31, 2024 as fled with the Securites and Exchange Commission on the date hereof (the “Report”), I, Jefrey J. Jones II, Chief Executve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1"/>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1"/>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7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Jefrey J. Jones II</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Executve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February 6, 2025</w:t>
      </w:r>
    </w:p>
    <w:p>
      <w:pPr>
        <w:sectPr>
          <w:pgSz w:w="11900" w:h="16838" w:orient="portrait"/>
          <w:cols w:equalWidth="0" w:num="1">
            <w:col w:w="11240"/>
          </w:cols>
          <w:pgMar w:left="320" w:top="118" w:right="339" w:bottom="1440" w:gutter="0" w:footer="0" w:header="0"/>
        </w:sectPr>
      </w:pPr>
    </w:p>
    <w:bookmarkStart w:id="32" w:name="page33"/>
    <w:bookmarkEnd w:id="32"/>
    <w:p>
      <w:pPr>
        <w:jc w:val="right"/>
        <w:spacing w:after="0"/>
        <w:rPr>
          <w:sz w:val="20"/>
          <w:szCs w:val="20"/>
          <w:color w:val="auto"/>
        </w:rPr>
      </w:pPr>
      <w:r>
        <w:rPr>
          <w:rFonts w:ascii="MS PGothic" w:cs="MS PGothic" w:eastAsia="MS PGothic" w:hAnsi="MS PGothic"/>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232"/>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December 31, 2024 as fled with the Securites and Exchange Commission on the date hereof (the “Report”), I, Tifany L. Mason, Chief Financial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2"/>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2"/>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Tifany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Tifany L. Mason</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Financial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February 6, 2025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2"/>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4"/>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6"/>
      <w:numFmt w:val="bullet"/>
      <w:start w:val="1"/>
    </w:lvl>
  </w:abstractNum>
  <w:abstractNum w:abstractNumId="7">
    <w:nsid w:val="62BBD95A"/>
    <w:multiLevelType w:val="hybridMultilevel"/>
    <w:lvl w:ilvl="0">
      <w:lvlJc w:val="left"/>
      <w:lvlText w:val="8"/>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decimal"/>
      <w:start w:val="12"/>
    </w:lvl>
  </w:abstractNum>
  <w:abstractNum w:abstractNumId="11">
    <w:nsid w:val="721DA317"/>
    <w:multiLevelType w:val="hybridMultilevel"/>
    <w:lvl w:ilvl="0">
      <w:lvlJc w:val="left"/>
      <w:lvlText w:val="%1"/>
      <w:numFmt w:val="decimal"/>
      <w:start w:val="14"/>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6"/>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8"/>
    </w:lvl>
  </w:abstractNum>
  <w:abstractNum w:abstractNumId="16">
    <w:nsid w:val="8EDBDAB"/>
    <w:multiLevelType w:val="hybridMultilevel"/>
    <w:lvl w:ilvl="0">
      <w:lvlJc w:val="left"/>
      <w:lvlText w:val="%1"/>
      <w:numFmt w:val="decimal"/>
      <w:start w:val="20"/>
    </w:lvl>
  </w:abstractNum>
  <w:abstractNum w:abstractNumId="17">
    <w:nsid w:val="79838CB2"/>
    <w:multiLevelType w:val="hybridMultilevel"/>
    <w:lvl w:ilvl="0">
      <w:lvlJc w:val="left"/>
      <w:lvlText w:val="%1"/>
      <w:numFmt w:val="decimal"/>
      <w:start w:val="22"/>
    </w:lvl>
  </w:abstractNum>
  <w:abstractNum w:abstractNumId="18">
    <w:nsid w:val="4353D0CD"/>
    <w:multiLevelType w:val="hybridMultilevel"/>
    <w:lvl w:ilvl="0">
      <w:lvlJc w:val="left"/>
      <w:lvlText w:val="%1"/>
      <w:numFmt w:val="decimal"/>
      <w:start w:val="2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2"/>
    </w:lvl>
  </w:abstractNum>
  <w:abstractNum w:abstractNumId="21">
    <w:nsid w:val="54E49EB4"/>
    <w:multiLevelType w:val="hybridMultilevel"/>
    <w:lvl w:ilvl="0">
      <w:lvlJc w:val="left"/>
      <w:lvlText w:val="%1"/>
      <w:numFmt w:val="decimal"/>
      <w:start w:val="26"/>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4" Type="http://schemas.openxmlformats.org/officeDocument/2006/relationships/hyperlink" Target="https://www.sec.gov/Archives/edgar/data/12659/000183886224000030/hrb2024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2025-02-06T15:22:40Z</dcterms:created>
  <dcterms:modified xsi:type="dcterms:W3CDTF">2025-02-06T15:22:40Z</dcterms:modified>
</cp:coreProperties>
</file>