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71" w:lineRule="exact"/>
        <w:rPr>
          <w:sz w:val="24"/>
          <w:szCs w:val="24"/>
          <w:color w:val="auto"/>
        </w:rPr>
      </w:pPr>
    </w:p>
    <w:p>
      <w:pPr>
        <w:ind w:left="180"/>
        <w:spacing w:after="0"/>
        <w:rPr>
          <w:sz w:val="20"/>
          <w:szCs w:val="20"/>
          <w:color w:val="auto"/>
        </w:rPr>
      </w:pPr>
      <w:r>
        <w:rPr>
          <w:rFonts w:ascii="Arial" w:cs="Arial" w:eastAsia="Arial" w:hAnsi="Arial"/>
          <w:sz w:val="18"/>
          <w:szCs w:val="18"/>
          <w:color w:val="auto"/>
        </w:rPr>
        <w:t>(Mark One)</w:t>
      </w:r>
    </w:p>
    <w:p>
      <w:pPr>
        <w:spacing w:after="0" w:line="63" w:lineRule="exact"/>
        <w:rPr>
          <w:sz w:val="24"/>
          <w:szCs w:val="24"/>
          <w:color w:val="auto"/>
        </w:rPr>
      </w:pPr>
    </w:p>
    <w:p>
      <w:pPr>
        <w:ind w:left="1420" w:hanging="851"/>
        <w:spacing w:after="0"/>
        <w:tabs>
          <w:tab w:leader="none" w:pos="1420" w:val="left"/>
        </w:tabs>
        <w:numPr>
          <w:ilvl w:val="0"/>
          <w:numId w:val="1"/>
        </w:numPr>
        <w:rPr>
          <w:rFonts w:ascii="MS PGothic" w:cs="MS PGothic" w:eastAsia="MS PGothic" w:hAnsi="MS PGothic"/>
          <w:sz w:val="14"/>
          <w:szCs w:val="14"/>
          <w:color w:val="auto"/>
        </w:rPr>
      </w:pPr>
      <w:r>
        <w:rPr>
          <w:rFonts w:ascii="Arial" w:cs="Arial" w:eastAsia="Arial" w:hAnsi="Arial"/>
          <w:sz w:val="17"/>
          <w:szCs w:val="17"/>
          <w:color w:val="auto"/>
        </w:rPr>
        <w:t>QUARTERLY REPORT PURSUANT TO SECTION 13 OR 15(d) OF THE SECURITIES EXCHANGE ACT OF 1934</w:t>
      </w:r>
    </w:p>
    <w:p>
      <w:pPr>
        <w:spacing w:after="0" w:line="52" w:lineRule="exact"/>
        <w:rPr>
          <w:rFonts w:ascii="MS PGothic" w:cs="MS PGothic" w:eastAsia="MS PGothic" w:hAnsi="MS PGothic"/>
          <w:sz w:val="14"/>
          <w:szCs w:val="14"/>
          <w:color w:val="auto"/>
        </w:rPr>
      </w:pPr>
    </w:p>
    <w:p>
      <w:pPr>
        <w:ind w:left="1420"/>
        <w:spacing w:after="0"/>
        <w:rPr>
          <w:rFonts w:ascii="MS PGothic" w:cs="MS PGothic" w:eastAsia="MS PGothic" w:hAnsi="MS PGothic"/>
          <w:sz w:val="14"/>
          <w:szCs w:val="14"/>
          <w:color w:val="auto"/>
        </w:rPr>
      </w:pPr>
      <w:r>
        <w:rPr>
          <w:rFonts w:ascii="Arial" w:cs="Arial" w:eastAsia="Arial" w:hAnsi="Arial"/>
          <w:sz w:val="18"/>
          <w:szCs w:val="18"/>
          <w:b w:val="1"/>
          <w:bCs w:val="1"/>
          <w:color w:val="auto"/>
        </w:rPr>
        <w:t>For the quarterly period ended January 31, 2019</w:t>
      </w:r>
    </w:p>
    <w:p>
      <w:pPr>
        <w:spacing w:after="0" w:line="85" w:lineRule="exact"/>
        <w:rPr>
          <w:sz w:val="24"/>
          <w:szCs w:val="24"/>
          <w:color w:val="auto"/>
        </w:rPr>
      </w:pPr>
    </w:p>
    <w:p>
      <w:pPr>
        <w:ind w:left="6260"/>
        <w:spacing w:after="0"/>
        <w:rPr>
          <w:sz w:val="20"/>
          <w:szCs w:val="20"/>
          <w:color w:val="auto"/>
        </w:rPr>
      </w:pPr>
      <w:r>
        <w:rPr>
          <w:rFonts w:ascii="Arial" w:cs="Arial" w:eastAsia="Arial" w:hAnsi="Arial"/>
          <w:sz w:val="18"/>
          <w:szCs w:val="18"/>
          <w:color w:val="auto"/>
        </w:rPr>
        <w:t>OR</w:t>
      </w:r>
    </w:p>
    <w:p>
      <w:pPr>
        <w:spacing w:after="0" w:line="75" w:lineRule="exact"/>
        <w:rPr>
          <w:sz w:val="24"/>
          <w:szCs w:val="24"/>
          <w:color w:val="auto"/>
        </w:rPr>
      </w:pPr>
    </w:p>
    <w:p>
      <w:pPr>
        <w:ind w:left="1420" w:hanging="858"/>
        <w:spacing w:after="0"/>
        <w:tabs>
          <w:tab w:leader="none" w:pos="1420" w:val="left"/>
        </w:tabs>
        <w:numPr>
          <w:ilvl w:val="0"/>
          <w:numId w:val="2"/>
        </w:numPr>
        <w:rPr>
          <w:rFonts w:ascii="MS PGothic" w:cs="MS PGothic" w:eastAsia="MS PGothic" w:hAnsi="MS PGothic"/>
          <w:sz w:val="30"/>
          <w:szCs w:val="30"/>
          <w:color w:val="auto"/>
          <w:vertAlign w:val="superscript"/>
        </w:rPr>
      </w:pPr>
      <w:r>
        <w:rPr>
          <w:rFonts w:ascii="Arial" w:cs="Arial" w:eastAsia="Arial" w:hAnsi="Arial"/>
          <w:sz w:val="17"/>
          <w:szCs w:val="17"/>
          <w:color w:val="auto"/>
        </w:rPr>
        <w:t>TRANSITION REPORT PURSUANT TO SECTION 13 OR 15(d) OF THE SECURITIES EXCHANGE ACT OF 1934</w:t>
      </w:r>
    </w:p>
    <w:p>
      <w:pPr>
        <w:sectPr>
          <w:pgSz w:w="11900" w:h="16838" w:orient="portrait"/>
          <w:cols w:equalWidth="0" w:num="1">
            <w:col w:w="11420"/>
          </w:cols>
          <w:pgMar w:left="240" w:top="357" w:right="239" w:bottom="1440" w:gutter="0" w:footer="0" w:header="0"/>
        </w:sectPr>
      </w:pPr>
    </w:p>
    <w:p>
      <w:pPr>
        <w:spacing w:after="0" w:line="130" w:lineRule="exact"/>
        <w:rPr>
          <w:sz w:val="24"/>
          <w:szCs w:val="24"/>
          <w:color w:val="auto"/>
        </w:rPr>
      </w:pPr>
    </w:p>
    <w:p>
      <w:pPr>
        <w:ind w:left="1420"/>
        <w:spacing w:after="0"/>
        <w:rPr>
          <w:sz w:val="20"/>
          <w:szCs w:val="20"/>
          <w:color w:val="auto"/>
        </w:rPr>
      </w:pPr>
      <w:r>
        <w:rPr>
          <w:rFonts w:ascii="Arial" w:cs="Arial" w:eastAsia="Arial" w:hAnsi="Arial"/>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ind w:left="300"/>
        <w:spacing w:after="0"/>
        <w:rPr>
          <w:sz w:val="20"/>
          <w:szCs w:val="20"/>
          <w:color w:val="auto"/>
        </w:rPr>
      </w:pPr>
      <w:r>
        <w:rPr>
          <w:rFonts w:ascii="Arial" w:cs="Arial" w:eastAsia="Arial" w:hAnsi="Arial"/>
          <w:sz w:val="18"/>
          <w:szCs w:val="18"/>
          <w:b w:val="1"/>
          <w:bCs w:val="1"/>
          <w:color w:val="auto"/>
        </w:rPr>
        <w:t>to</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Commission file number 1-06089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679450</wp:posOffset>
            </wp:positionH>
            <wp:positionV relativeFrom="paragraph">
              <wp:posOffset>88900</wp:posOffset>
            </wp:positionV>
            <wp:extent cx="445770"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45770" cy="44577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3940" w:space="360"/>
            <w:col w:w="7120"/>
          </w:cols>
          <w:pgMar w:left="240" w:top="357"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H&amp;R Block,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357" w:right="239" w:bottom="1440" w:gutter="0" w:footer="0" w:header="0"/>
          <w:type w:val="continuous"/>
        </w:sectPr>
      </w:pPr>
    </w:p>
    <w:p>
      <w:pPr>
        <w:spacing w:after="0" w:line="149"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MISSOURI</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44-0607856</w:t>
      </w:r>
    </w:p>
    <w:p>
      <w:pPr>
        <w:spacing w:after="0" w:line="116" w:lineRule="exact"/>
        <w:rPr>
          <w:sz w:val="24"/>
          <w:szCs w:val="24"/>
          <w:color w:val="auto"/>
        </w:rPr>
      </w:pPr>
    </w:p>
    <w:p>
      <w:pPr>
        <w:sectPr>
          <w:pgSz w:w="11900" w:h="16838" w:orient="portrait"/>
          <w:cols w:equalWidth="0" w:num="2">
            <w:col w:w="7420" w:space="720"/>
            <w:col w:w="3280"/>
          </w:cols>
          <w:pgMar w:left="240" w:top="357" w:right="239" w:bottom="1440" w:gutter="0" w:footer="0" w:header="0"/>
          <w:type w:val="continuous"/>
        </w:sectPr>
      </w:pPr>
    </w:p>
    <w:p>
      <w:pPr>
        <w:ind w:left="1960"/>
        <w:spacing w:after="0"/>
        <w:rPr>
          <w:sz w:val="20"/>
          <w:szCs w:val="20"/>
          <w:color w:val="auto"/>
        </w:rPr>
      </w:pPr>
      <w:r>
        <w:rPr>
          <w:rFonts w:ascii="Arial" w:cs="Arial" w:eastAsia="Arial" w:hAnsi="Arial"/>
          <w:sz w:val="14"/>
          <w:szCs w:val="14"/>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line="109" w:lineRule="exact"/>
        <w:rPr>
          <w:sz w:val="24"/>
          <w:szCs w:val="24"/>
          <w:color w:val="auto"/>
        </w:rPr>
      </w:pPr>
    </w:p>
    <w:p>
      <w:pPr>
        <w:sectPr>
          <w:pgSz w:w="11900" w:h="16838" w:orient="portrait"/>
          <w:cols w:equalWidth="0" w:num="2">
            <w:col w:w="7380" w:space="720"/>
            <w:col w:w="3320"/>
          </w:cols>
          <w:pgMar w:left="240" w:top="357" w:right="239" w:bottom="1440" w:gutter="0" w:footer="0" w:header="0"/>
          <w:type w:val="continuous"/>
        </w:sectPr>
      </w:pPr>
    </w:p>
    <w:p>
      <w:pPr>
        <w:ind w:left="192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Identification No.)</w:t>
      </w:r>
    </w:p>
    <w:p>
      <w:pPr>
        <w:spacing w:after="0" w:line="81" w:lineRule="exact"/>
        <w:rPr>
          <w:sz w:val="24"/>
          <w:szCs w:val="24"/>
          <w:color w:val="auto"/>
        </w:rPr>
      </w:pPr>
    </w:p>
    <w:p>
      <w:pPr>
        <w:sectPr>
          <w:pgSz w:w="11900" w:h="16838" w:orient="portrait"/>
          <w:cols w:equalWidth="0" w:num="2">
            <w:col w:w="7340" w:space="720"/>
            <w:col w:w="3360"/>
          </w:cols>
          <w:pgMar w:left="240" w:top="357"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One H&amp;R Block Way, Kansas City, Missouri 64105</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(816) 854-3000</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106" w:lineRule="exact"/>
        <w:rPr>
          <w:sz w:val="24"/>
          <w:szCs w:val="24"/>
          <w:color w:val="auto"/>
        </w:rPr>
      </w:pPr>
    </w:p>
    <w:p>
      <w:pPr>
        <w:jc w:val="both"/>
        <w:spacing w:after="0" w:line="25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184" w:lineRule="exact"/>
        <w:tabs>
          <w:tab w:leader="none" w:pos="6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55" w:lineRule="exact"/>
        <w:rPr>
          <w:sz w:val="24"/>
          <w:szCs w:val="24"/>
          <w:color w:val="auto"/>
        </w:rPr>
      </w:pPr>
    </w:p>
    <w:p>
      <w:pPr>
        <w:jc w:val="both"/>
        <w:spacing w:after="0" w:line="25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84" w:lineRule="exact"/>
        <w:tabs>
          <w:tab w:leader="none" w:pos="6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55" w:lineRule="exact"/>
        <w:rPr>
          <w:sz w:val="24"/>
          <w:szCs w:val="24"/>
          <w:color w:val="auto"/>
        </w:rPr>
      </w:pPr>
    </w:p>
    <w:p>
      <w:pPr>
        <w:jc w:val="both"/>
        <w:spacing w:after="0" w:line="24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07" w:lineRule="exact"/>
        <w:tabs>
          <w:tab w:leader="none" w:pos="1880" w:val="left"/>
          <w:tab w:leader="none" w:pos="3340" w:val="left"/>
          <w:tab w:leader="none" w:pos="5140" w:val="left"/>
          <w:tab w:leader="none" w:pos="716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8"/>
          <w:szCs w:val="18"/>
          <w:color w:val="auto"/>
        </w:rPr>
        <w:t>☐</w:t>
      </w:r>
      <w:r>
        <w:rPr>
          <w:sz w:val="20"/>
          <w:szCs w:val="20"/>
          <w:color w:val="auto"/>
        </w:rPr>
        <w:tab/>
      </w: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287" w:lineRule="exact"/>
        <w:rPr>
          <w:sz w:val="24"/>
          <w:szCs w:val="24"/>
          <w:color w:val="auto"/>
        </w:rPr>
      </w:pPr>
    </w:p>
    <w:p>
      <w:pPr>
        <w:jc w:val="both"/>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1" w:lineRule="exact"/>
        <w:rPr>
          <w:sz w:val="24"/>
          <w:szCs w:val="24"/>
          <w:color w:val="auto"/>
        </w:rPr>
      </w:pPr>
    </w:p>
    <w:p>
      <w:pPr>
        <w:spacing w:after="0" w:line="207" w:lineRule="exact"/>
        <w:tabs>
          <w:tab w:leader="none" w:pos="64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8"/>
          <w:szCs w:val="18"/>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66"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registrant's Common Stock, without par value, at the close of business on February 28, 2019: 203,293,118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207645</wp:posOffset>
            </wp:positionV>
            <wp:extent cx="445770" cy="445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577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619"/>
        <w:spacing w:after="0"/>
        <w:rPr>
          <w:sz w:val="20"/>
          <w:szCs w:val="20"/>
          <w:color w:val="auto"/>
        </w:rPr>
      </w:pPr>
      <w:r>
        <w:rPr>
          <w:rFonts w:ascii="Arial" w:cs="Arial" w:eastAsia="Arial" w:hAnsi="Arial"/>
          <w:sz w:val="22"/>
          <w:szCs w:val="22"/>
          <w:b w:val="1"/>
          <w:bCs w:val="1"/>
          <w:color w:val="auto"/>
        </w:rPr>
        <w:t>Form 10-Q for the Period Ended January 31, 2019</w:t>
      </w:r>
    </w:p>
    <w:p>
      <w:pPr>
        <w:spacing w:after="0" w:line="112" w:lineRule="exact"/>
        <w:rPr>
          <w:sz w:val="20"/>
          <w:szCs w:val="20"/>
          <w:color w:val="auto"/>
        </w:rPr>
      </w:pPr>
    </w:p>
    <w:p>
      <w:pPr>
        <w:jc w:val="center"/>
        <w:ind w:right="-619"/>
        <w:spacing w:after="0"/>
        <w:rPr>
          <w:sz w:val="20"/>
          <w:szCs w:val="20"/>
          <w:color w:val="auto"/>
        </w:rPr>
      </w:pPr>
      <w:r>
        <w:rPr>
          <w:rFonts w:ascii="Arial" w:cs="Arial" w:eastAsia="Arial" w:hAnsi="Arial"/>
          <w:sz w:val="22"/>
          <w:szCs w:val="22"/>
          <w:b w:val="1"/>
          <w:bCs w:val="1"/>
          <w:color w:val="auto"/>
        </w:rPr>
        <w:t>Table of Contents</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1080" w:type="dxa"/>
            <w:vAlign w:val="bottom"/>
          </w:tcPr>
          <w:p>
            <w:pPr>
              <w:spacing w:after="0"/>
              <w:rPr>
                <w:sz w:val="24"/>
                <w:szCs w:val="24"/>
                <w:color w:val="auto"/>
              </w:rPr>
            </w:pPr>
          </w:p>
        </w:tc>
        <w:tc>
          <w:tcPr>
            <w:tcW w:w="9440" w:type="dxa"/>
            <w:vAlign w:val="bottom"/>
          </w:tcPr>
          <w:p>
            <w:pPr>
              <w:ind w:left="4200"/>
              <w:spacing w:after="0"/>
              <w:rPr>
                <w:rFonts w:ascii="Arial" w:cs="Arial" w:eastAsia="Arial" w:hAnsi="Arial"/>
                <w:sz w:val="22"/>
                <w:szCs w:val="22"/>
                <w:b w:val="1"/>
                <w:bCs w:val="1"/>
                <w:color w:val="auto"/>
              </w:rPr>
            </w:pPr>
            <w:hyperlink w:anchor="page3">
              <w:r>
                <w:rPr>
                  <w:rFonts w:ascii="Arial" w:cs="Arial" w:eastAsia="Arial" w:hAnsi="Arial"/>
                  <w:sz w:val="22"/>
                  <w:szCs w:val="22"/>
                  <w:b w:val="1"/>
                  <w:bCs w:val="1"/>
                  <w:color w:val="auto"/>
                </w:rPr>
                <w:t>PART I</w:t>
              </w:r>
            </w:hyperlink>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9"/>
        </w:trPr>
        <w:tc>
          <w:tcPr>
            <w:tcW w:w="1080" w:type="dxa"/>
            <w:vAlign w:val="bottom"/>
          </w:tcPr>
          <w:p>
            <w:pPr>
              <w:spacing w:after="0"/>
              <w:rPr>
                <w:sz w:val="20"/>
                <w:szCs w:val="20"/>
                <w:color w:val="auto"/>
              </w:rPr>
            </w:pPr>
            <w:r>
              <w:rPr>
                <w:rFonts w:ascii="Arial" w:cs="Arial" w:eastAsia="Arial" w:hAnsi="Arial"/>
                <w:sz w:val="22"/>
                <w:szCs w:val="22"/>
                <w:color w:val="auto"/>
              </w:rPr>
              <w:t>Item 1.</w:t>
            </w:r>
          </w:p>
        </w:tc>
        <w:tc>
          <w:tcPr>
            <w:tcW w:w="9440" w:type="dxa"/>
            <w:vAlign w:val="bottom"/>
          </w:tcPr>
          <w:p>
            <w:pPr>
              <w:ind w:left="300"/>
              <w:spacing w:after="0"/>
              <w:rPr>
                <w:sz w:val="20"/>
                <w:szCs w:val="20"/>
                <w:color w:val="auto"/>
              </w:rPr>
            </w:pPr>
            <w:r>
              <w:rPr>
                <w:rFonts w:ascii="Arial" w:cs="Arial" w:eastAsia="Arial" w:hAnsi="Arial"/>
                <w:sz w:val="22"/>
                <w:szCs w:val="22"/>
                <w:color w:val="auto"/>
              </w:rPr>
              <w:t>Consolidated Statements of Operations and Comprehensive Loss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7"/>
        </w:trPr>
        <w:tc>
          <w:tcPr>
            <w:tcW w:w="1080" w:type="dxa"/>
            <w:vAlign w:val="bottom"/>
          </w:tcPr>
          <w:p>
            <w:pPr>
              <w:spacing w:after="0"/>
              <w:rPr>
                <w:sz w:val="24"/>
                <w:szCs w:val="24"/>
                <w:color w:val="auto"/>
              </w:rPr>
            </w:pPr>
          </w:p>
        </w:tc>
        <w:tc>
          <w:tcPr>
            <w:tcW w:w="9440" w:type="dxa"/>
            <w:vAlign w:val="bottom"/>
          </w:tcPr>
          <w:p>
            <w:pPr>
              <w:ind w:left="420"/>
              <w:spacing w:after="0"/>
              <w:rPr>
                <w:sz w:val="20"/>
                <w:szCs w:val="20"/>
                <w:color w:val="auto"/>
              </w:rPr>
            </w:pPr>
            <w:r>
              <w:rPr>
                <w:rFonts w:ascii="Arial" w:cs="Arial" w:eastAsia="Arial" w:hAnsi="Arial"/>
                <w:sz w:val="22"/>
                <w:szCs w:val="22"/>
                <w:color w:val="auto"/>
              </w:rPr>
              <w:t>Three and nine months ended January 31, 2019 and 2018</w:t>
            </w:r>
          </w:p>
        </w:tc>
        <w:tc>
          <w:tcPr>
            <w:tcW w:w="180" w:type="dxa"/>
            <w:vAlign w:val="bottom"/>
            <w:gridSpan w:val="2"/>
          </w:tcPr>
          <w:p>
            <w:pPr>
              <w:jc w:val="center"/>
              <w:spacing w:after="0"/>
              <w:rPr>
                <w:sz w:val="20"/>
                <w:szCs w:val="20"/>
                <w:color w:val="auto"/>
              </w:rPr>
            </w:pPr>
            <w:r>
              <w:rPr>
                <w:rFonts w:ascii="Arial" w:cs="Arial" w:eastAsia="Arial" w:hAnsi="Arial"/>
                <w:sz w:val="22"/>
                <w:szCs w:val="22"/>
                <w:color w:val="auto"/>
                <w:w w:val="97"/>
              </w:rPr>
              <w:t>1</w:t>
            </w:r>
          </w:p>
        </w:tc>
        <w:tc>
          <w:tcPr>
            <w:tcW w:w="60" w:type="dxa"/>
            <w:vAlign w:val="bottom"/>
          </w:tcPr>
          <w:p>
            <w:pPr>
              <w:spacing w:after="0"/>
              <w:rPr>
                <w:sz w:val="24"/>
                <w:szCs w:val="24"/>
                <w:color w:val="auto"/>
              </w:rPr>
            </w:pPr>
          </w:p>
        </w:tc>
      </w:tr>
      <w:tr>
        <w:trPr>
          <w:trHeight w:val="473"/>
        </w:trPr>
        <w:tc>
          <w:tcPr>
            <w:tcW w:w="1080" w:type="dxa"/>
            <w:vAlign w:val="bottom"/>
          </w:tcPr>
          <w:p>
            <w:pPr>
              <w:spacing w:after="0"/>
              <w:rPr>
                <w:sz w:val="24"/>
                <w:szCs w:val="24"/>
                <w:color w:val="auto"/>
              </w:rPr>
            </w:pPr>
          </w:p>
        </w:tc>
        <w:tc>
          <w:tcPr>
            <w:tcW w:w="9440" w:type="dxa"/>
            <w:vAlign w:val="bottom"/>
          </w:tcPr>
          <w:p>
            <w:pPr>
              <w:ind w:left="300"/>
              <w:spacing w:after="0"/>
              <w:rPr>
                <w:sz w:val="20"/>
                <w:szCs w:val="20"/>
                <w:color w:val="auto"/>
              </w:rPr>
            </w:pPr>
            <w:r>
              <w:rPr>
                <w:rFonts w:ascii="Arial" w:cs="Arial" w:eastAsia="Arial" w:hAnsi="Arial"/>
                <w:sz w:val="22"/>
                <w:szCs w:val="22"/>
                <w:color w:val="auto"/>
              </w:rPr>
              <w:t>Consolidated Balance Sheets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7"/>
        </w:trPr>
        <w:tc>
          <w:tcPr>
            <w:tcW w:w="1080" w:type="dxa"/>
            <w:vAlign w:val="bottom"/>
          </w:tcPr>
          <w:p>
            <w:pPr>
              <w:spacing w:after="0"/>
              <w:rPr>
                <w:sz w:val="21"/>
                <w:szCs w:val="21"/>
                <w:color w:val="auto"/>
              </w:rPr>
            </w:pPr>
          </w:p>
        </w:tc>
        <w:tc>
          <w:tcPr>
            <w:tcW w:w="9440" w:type="dxa"/>
            <w:vAlign w:val="bottom"/>
          </w:tcPr>
          <w:p>
            <w:pPr>
              <w:ind w:left="420"/>
              <w:spacing w:after="0" w:line="246" w:lineRule="exact"/>
              <w:rPr>
                <w:sz w:val="20"/>
                <w:szCs w:val="20"/>
                <w:color w:val="auto"/>
              </w:rPr>
            </w:pPr>
            <w:r>
              <w:rPr>
                <w:rFonts w:ascii="Arial" w:cs="Arial" w:eastAsia="Arial" w:hAnsi="Arial"/>
                <w:sz w:val="22"/>
                <w:szCs w:val="22"/>
                <w:color w:val="auto"/>
              </w:rPr>
              <w:t>As of January 31, 2019, January 31, 2018 and April 30, 2018</w:t>
            </w:r>
          </w:p>
        </w:tc>
        <w:tc>
          <w:tcPr>
            <w:tcW w:w="180" w:type="dxa"/>
            <w:vAlign w:val="bottom"/>
            <w:gridSpan w:val="2"/>
          </w:tcPr>
          <w:p>
            <w:pPr>
              <w:jc w:val="center"/>
              <w:spacing w:after="0" w:line="246" w:lineRule="exact"/>
              <w:rPr>
                <w:rFonts w:ascii="Arial" w:cs="Arial" w:eastAsia="Arial" w:hAnsi="Arial"/>
                <w:sz w:val="22"/>
                <w:szCs w:val="22"/>
                <w:color w:val="0000EE"/>
                <w:w w:val="97"/>
              </w:rPr>
            </w:pPr>
            <w:hyperlink w:anchor="page4">
              <w:r>
                <w:rPr>
                  <w:rFonts w:ascii="Arial" w:cs="Arial" w:eastAsia="Arial" w:hAnsi="Arial"/>
                  <w:sz w:val="22"/>
                  <w:szCs w:val="22"/>
                  <w:color w:val="0000EE"/>
                  <w:w w:val="97"/>
                </w:rPr>
                <w:t>2</w:t>
              </w:r>
            </w:hyperlink>
          </w:p>
        </w:tc>
        <w:tc>
          <w:tcPr>
            <w:tcW w:w="60" w:type="dxa"/>
            <w:vAlign w:val="bottom"/>
          </w:tcPr>
          <w:p>
            <w:pPr>
              <w:spacing w:after="0"/>
              <w:rPr>
                <w:sz w:val="21"/>
                <w:szCs w:val="21"/>
                <w:color w:val="auto"/>
              </w:rPr>
            </w:pPr>
          </w:p>
        </w:tc>
      </w:tr>
      <w:tr>
        <w:trPr>
          <w:trHeight w:val="503"/>
        </w:trPr>
        <w:tc>
          <w:tcPr>
            <w:tcW w:w="1080" w:type="dxa"/>
            <w:vAlign w:val="bottom"/>
          </w:tcPr>
          <w:p>
            <w:pPr>
              <w:spacing w:after="0"/>
              <w:rPr>
                <w:sz w:val="24"/>
                <w:szCs w:val="24"/>
                <w:color w:val="auto"/>
              </w:rPr>
            </w:pPr>
          </w:p>
        </w:tc>
        <w:tc>
          <w:tcPr>
            <w:tcW w:w="9440" w:type="dxa"/>
            <w:vAlign w:val="bottom"/>
          </w:tcPr>
          <w:p>
            <w:pPr>
              <w:ind w:left="300"/>
              <w:spacing w:after="0"/>
              <w:rPr>
                <w:sz w:val="20"/>
                <w:szCs w:val="20"/>
                <w:color w:val="auto"/>
              </w:rPr>
            </w:pPr>
            <w:r>
              <w:rPr>
                <w:rFonts w:ascii="Arial" w:cs="Arial" w:eastAsia="Arial" w:hAnsi="Arial"/>
                <w:sz w:val="22"/>
                <w:szCs w:val="22"/>
                <w:color w:val="auto"/>
              </w:rPr>
              <w:t>Consolidated Statements of Cash Flows</w:t>
            </w:r>
          </w:p>
        </w:tc>
        <w:tc>
          <w:tcPr>
            <w:tcW w:w="6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r>
      <w:tr>
        <w:trPr>
          <w:trHeight w:val="247"/>
        </w:trPr>
        <w:tc>
          <w:tcPr>
            <w:tcW w:w="1080" w:type="dxa"/>
            <w:vAlign w:val="bottom"/>
          </w:tcPr>
          <w:p>
            <w:pPr>
              <w:spacing w:after="0"/>
              <w:rPr>
                <w:sz w:val="21"/>
                <w:szCs w:val="21"/>
                <w:color w:val="auto"/>
              </w:rPr>
            </w:pPr>
          </w:p>
        </w:tc>
        <w:tc>
          <w:tcPr>
            <w:tcW w:w="9440" w:type="dxa"/>
            <w:vAlign w:val="bottom"/>
          </w:tcPr>
          <w:p>
            <w:pPr>
              <w:ind w:left="420"/>
              <w:spacing w:after="0" w:line="246" w:lineRule="exact"/>
              <w:rPr>
                <w:sz w:val="20"/>
                <w:szCs w:val="20"/>
                <w:color w:val="auto"/>
              </w:rPr>
            </w:pPr>
            <w:r>
              <w:rPr>
                <w:rFonts w:ascii="Arial" w:cs="Arial" w:eastAsia="Arial" w:hAnsi="Arial"/>
                <w:sz w:val="22"/>
                <w:szCs w:val="22"/>
                <w:color w:val="auto"/>
              </w:rPr>
              <w:t>Nine months ended January 31, 2019 and 2018</w:t>
            </w:r>
          </w:p>
        </w:tc>
        <w:tc>
          <w:tcPr>
            <w:tcW w:w="60" w:type="dxa"/>
            <w:vAlign w:val="bottom"/>
          </w:tcPr>
          <w:p>
            <w:pPr>
              <w:spacing w:after="0"/>
              <w:rPr>
                <w:sz w:val="21"/>
                <w:szCs w:val="21"/>
                <w:color w:val="auto"/>
              </w:rPr>
            </w:pPr>
          </w:p>
        </w:tc>
        <w:tc>
          <w:tcPr>
            <w:tcW w:w="120" w:type="dxa"/>
            <w:vAlign w:val="bottom"/>
            <w:tcBorders>
              <w:bottom w:val="single" w:sz="8" w:color="0000EE"/>
            </w:tcBorders>
          </w:tcPr>
          <w:p>
            <w:pPr>
              <w:jc w:val="center"/>
              <w:spacing w:after="0" w:line="246" w:lineRule="exact"/>
              <w:rPr>
                <w:rFonts w:ascii="Arial" w:cs="Arial" w:eastAsia="Arial" w:hAnsi="Arial"/>
                <w:sz w:val="22"/>
                <w:szCs w:val="22"/>
                <w:color w:val="0000EE"/>
                <w:w w:val="97"/>
              </w:rPr>
            </w:pPr>
            <w:hyperlink w:anchor="page5">
              <w:r>
                <w:rPr>
                  <w:rFonts w:ascii="Arial" w:cs="Arial" w:eastAsia="Arial" w:hAnsi="Arial"/>
                  <w:sz w:val="22"/>
                  <w:szCs w:val="22"/>
                  <w:color w:val="0000EE"/>
                  <w:w w:val="97"/>
                </w:rPr>
                <w:t>3</w:t>
              </w:r>
            </w:hyperlink>
          </w:p>
        </w:tc>
        <w:tc>
          <w:tcPr>
            <w:tcW w:w="60" w:type="dxa"/>
            <w:vAlign w:val="bottom"/>
          </w:tcPr>
          <w:p>
            <w:pPr>
              <w:spacing w:after="0"/>
              <w:rPr>
                <w:sz w:val="21"/>
                <w:szCs w:val="21"/>
                <w:color w:val="auto"/>
              </w:rPr>
            </w:pPr>
          </w:p>
        </w:tc>
      </w:tr>
      <w:tr>
        <w:trPr>
          <w:trHeight w:val="453"/>
        </w:trPr>
        <w:tc>
          <w:tcPr>
            <w:tcW w:w="1080" w:type="dxa"/>
            <w:vAlign w:val="bottom"/>
          </w:tcPr>
          <w:p>
            <w:pPr>
              <w:spacing w:after="0"/>
              <w:rPr>
                <w:sz w:val="24"/>
                <w:szCs w:val="24"/>
                <w:color w:val="auto"/>
              </w:rPr>
            </w:pPr>
          </w:p>
        </w:tc>
        <w:tc>
          <w:tcPr>
            <w:tcW w:w="9440" w:type="dxa"/>
            <w:vAlign w:val="bottom"/>
          </w:tcPr>
          <w:p>
            <w:pPr>
              <w:ind w:left="300"/>
              <w:spacing w:after="0"/>
              <w:rPr>
                <w:sz w:val="20"/>
                <w:szCs w:val="20"/>
                <w:color w:val="auto"/>
              </w:rPr>
            </w:pPr>
            <w:r>
              <w:rPr>
                <w:rFonts w:ascii="Arial" w:cs="Arial" w:eastAsia="Arial" w:hAnsi="Arial"/>
                <w:sz w:val="22"/>
                <w:szCs w:val="22"/>
                <w:color w:val="auto"/>
              </w:rPr>
              <w:t>Notes to Consolidated Financial Statements</w:t>
            </w:r>
          </w:p>
        </w:tc>
        <w:tc>
          <w:tcPr>
            <w:tcW w:w="60" w:type="dxa"/>
            <w:vAlign w:val="bottom"/>
          </w:tcPr>
          <w:p>
            <w:pPr>
              <w:spacing w:after="0"/>
              <w:rPr>
                <w:sz w:val="24"/>
                <w:szCs w:val="24"/>
                <w:color w:val="auto"/>
              </w:rPr>
            </w:pPr>
          </w:p>
        </w:tc>
        <w:tc>
          <w:tcPr>
            <w:tcW w:w="120" w:type="dxa"/>
            <w:vAlign w:val="bottom"/>
            <w:tcBorders>
              <w:bottom w:val="single" w:sz="8" w:color="0000EE"/>
            </w:tcBorders>
          </w:tcPr>
          <w:p>
            <w:pPr>
              <w:jc w:val="center"/>
              <w:spacing w:after="0"/>
              <w:rPr>
                <w:rFonts w:ascii="Arial" w:cs="Arial" w:eastAsia="Arial" w:hAnsi="Arial"/>
                <w:sz w:val="22"/>
                <w:szCs w:val="22"/>
                <w:color w:val="0000EE"/>
                <w:w w:val="97"/>
              </w:rPr>
            </w:pPr>
            <w:hyperlink w:anchor="page6">
              <w:r>
                <w:rPr>
                  <w:rFonts w:ascii="Arial" w:cs="Arial" w:eastAsia="Arial" w:hAnsi="Arial"/>
                  <w:sz w:val="22"/>
                  <w:szCs w:val="22"/>
                  <w:color w:val="0000EE"/>
                  <w:w w:val="97"/>
                </w:rPr>
                <w:t>4</w:t>
              </w:r>
            </w:hyperlink>
          </w:p>
        </w:tc>
        <w:tc>
          <w:tcPr>
            <w:tcW w:w="60" w:type="dxa"/>
            <w:vAlign w:val="bottom"/>
          </w:tcPr>
          <w:p>
            <w:pPr>
              <w:spacing w:after="0"/>
              <w:rPr>
                <w:sz w:val="24"/>
                <w:szCs w:val="24"/>
                <w:color w:val="auto"/>
              </w:rPr>
            </w:pPr>
          </w:p>
        </w:tc>
      </w:tr>
      <w:tr>
        <w:trPr>
          <w:trHeight w:val="453"/>
        </w:trPr>
        <w:tc>
          <w:tcPr>
            <w:tcW w:w="1080" w:type="dxa"/>
            <w:vAlign w:val="bottom"/>
          </w:tcPr>
          <w:p>
            <w:pPr>
              <w:spacing w:after="0"/>
              <w:rPr>
                <w:rFonts w:ascii="Arial" w:cs="Arial" w:eastAsia="Arial" w:hAnsi="Arial"/>
                <w:sz w:val="22"/>
                <w:szCs w:val="22"/>
                <w:color w:val="auto"/>
              </w:rPr>
            </w:pPr>
            <w:hyperlink w:anchor="page36">
              <w:r>
                <w:rPr>
                  <w:rFonts w:ascii="Arial" w:cs="Arial" w:eastAsia="Arial" w:hAnsi="Arial"/>
                  <w:sz w:val="22"/>
                  <w:szCs w:val="22"/>
                  <w:color w:val="auto"/>
                </w:rPr>
                <w:t>Item 2.</w:t>
              </w:r>
            </w:hyperlink>
          </w:p>
        </w:tc>
        <w:tc>
          <w:tcPr>
            <w:tcW w:w="9440" w:type="dxa"/>
            <w:vAlign w:val="bottom"/>
          </w:tcPr>
          <w:p>
            <w:pPr>
              <w:ind w:left="300"/>
              <w:spacing w:after="0"/>
              <w:rPr>
                <w:rFonts w:ascii="Arial" w:cs="Arial" w:eastAsia="Arial" w:hAnsi="Arial"/>
                <w:sz w:val="22"/>
                <w:szCs w:val="22"/>
                <w:color w:val="auto"/>
              </w:rPr>
            </w:pPr>
            <w:hyperlink w:anchor="page28">
              <w:r>
                <w:rPr>
                  <w:rFonts w:ascii="Arial" w:cs="Arial" w:eastAsia="Arial" w:hAnsi="Arial"/>
                  <w:sz w:val="22"/>
                  <w:szCs w:val="22"/>
                  <w:color w:val="auto"/>
                </w:rPr>
                <w:t>Management's Discussion and Analysis of Financial Condition and Results of Operations</w:t>
              </w:r>
            </w:hyperlink>
          </w:p>
        </w:tc>
        <w:tc>
          <w:tcPr>
            <w:tcW w:w="240" w:type="dxa"/>
            <w:vAlign w:val="bottom"/>
            <w:tcBorders>
              <w:bottom w:val="single" w:sz="8" w:color="0000EE"/>
            </w:tcBorders>
            <w:gridSpan w:val="3"/>
          </w:tcPr>
          <w:p>
            <w:pPr>
              <w:jc w:val="center"/>
              <w:spacing w:after="0"/>
              <w:rPr>
                <w:rFonts w:ascii="Arial" w:cs="Arial" w:eastAsia="Arial" w:hAnsi="Arial"/>
                <w:sz w:val="22"/>
                <w:szCs w:val="22"/>
                <w:color w:val="0000EE"/>
                <w:w w:val="97"/>
              </w:rPr>
            </w:pPr>
            <w:hyperlink w:anchor="page28">
              <w:r>
                <w:rPr>
                  <w:rFonts w:ascii="Arial" w:cs="Arial" w:eastAsia="Arial" w:hAnsi="Arial"/>
                  <w:sz w:val="22"/>
                  <w:szCs w:val="22"/>
                  <w:color w:val="0000EE"/>
                  <w:w w:val="97"/>
                </w:rPr>
                <w:t>26</w:t>
              </w:r>
            </w:hyperlink>
          </w:p>
        </w:tc>
      </w:tr>
      <w:tr>
        <w:trPr>
          <w:trHeight w:val="453"/>
        </w:trPr>
        <w:tc>
          <w:tcPr>
            <w:tcW w:w="1080" w:type="dxa"/>
            <w:vAlign w:val="bottom"/>
          </w:tcPr>
          <w:p>
            <w:pPr>
              <w:spacing w:after="0"/>
              <w:rPr>
                <w:rFonts w:ascii="Arial" w:cs="Arial" w:eastAsia="Arial" w:hAnsi="Arial"/>
                <w:sz w:val="22"/>
                <w:szCs w:val="22"/>
                <w:color w:val="auto"/>
              </w:rPr>
            </w:pPr>
            <w:hyperlink w:anchor="page36">
              <w:r>
                <w:rPr>
                  <w:rFonts w:ascii="Arial" w:cs="Arial" w:eastAsia="Arial" w:hAnsi="Arial"/>
                  <w:sz w:val="22"/>
                  <w:szCs w:val="22"/>
                  <w:color w:val="auto"/>
                </w:rPr>
                <w:t>Item 3.</w:t>
              </w:r>
            </w:hyperlink>
          </w:p>
        </w:tc>
        <w:tc>
          <w:tcPr>
            <w:tcW w:w="9440" w:type="dxa"/>
            <w:vAlign w:val="bottom"/>
          </w:tcPr>
          <w:p>
            <w:pPr>
              <w:ind w:left="300"/>
              <w:spacing w:after="0"/>
              <w:rPr>
                <w:rFonts w:ascii="Arial" w:cs="Arial" w:eastAsia="Arial" w:hAnsi="Arial"/>
                <w:sz w:val="22"/>
                <w:szCs w:val="22"/>
                <w:color w:val="auto"/>
              </w:rPr>
            </w:pPr>
            <w:hyperlink w:anchor="page36">
              <w:r>
                <w:rPr>
                  <w:rFonts w:ascii="Arial" w:cs="Arial" w:eastAsia="Arial" w:hAnsi="Arial"/>
                  <w:sz w:val="22"/>
                  <w:szCs w:val="22"/>
                  <w:color w:val="auto"/>
                </w:rPr>
                <w:t>Quantitative and Qualitative Disclosures About Market Risk</w:t>
              </w:r>
            </w:hyperlink>
          </w:p>
        </w:tc>
        <w:tc>
          <w:tcPr>
            <w:tcW w:w="240" w:type="dxa"/>
            <w:vAlign w:val="bottom"/>
            <w:tcBorders>
              <w:bottom w:val="single" w:sz="8" w:color="0000EE"/>
            </w:tcBorders>
            <w:gridSpan w:val="3"/>
          </w:tcPr>
          <w:p>
            <w:pPr>
              <w:jc w:val="center"/>
              <w:spacing w:after="0"/>
              <w:rPr>
                <w:rFonts w:ascii="Arial" w:cs="Arial" w:eastAsia="Arial" w:hAnsi="Arial"/>
                <w:sz w:val="22"/>
                <w:szCs w:val="22"/>
                <w:color w:val="0000EE"/>
                <w:w w:val="97"/>
              </w:rPr>
            </w:pPr>
            <w:hyperlink w:anchor="page36">
              <w:r>
                <w:rPr>
                  <w:rFonts w:ascii="Arial" w:cs="Arial" w:eastAsia="Arial" w:hAnsi="Arial"/>
                  <w:sz w:val="22"/>
                  <w:szCs w:val="22"/>
                  <w:color w:val="0000EE"/>
                  <w:w w:val="97"/>
                </w:rPr>
                <w:t>34</w:t>
              </w:r>
            </w:hyperlink>
          </w:p>
        </w:tc>
      </w:tr>
      <w:tr>
        <w:trPr>
          <w:trHeight w:val="453"/>
        </w:trPr>
        <w:tc>
          <w:tcPr>
            <w:tcW w:w="1080" w:type="dxa"/>
            <w:vAlign w:val="bottom"/>
          </w:tcPr>
          <w:p>
            <w:pPr>
              <w:spacing w:after="0"/>
              <w:rPr>
                <w:sz w:val="20"/>
                <w:szCs w:val="20"/>
                <w:color w:val="auto"/>
              </w:rPr>
            </w:pPr>
            <w:r>
              <w:rPr>
                <w:rFonts w:ascii="Arial" w:cs="Arial" w:eastAsia="Arial" w:hAnsi="Arial"/>
                <w:sz w:val="22"/>
                <w:szCs w:val="22"/>
                <w:color w:val="auto"/>
              </w:rPr>
              <w:t>Item 4.</w:t>
            </w:r>
          </w:p>
        </w:tc>
        <w:tc>
          <w:tcPr>
            <w:tcW w:w="9440" w:type="dxa"/>
            <w:vAlign w:val="bottom"/>
          </w:tcPr>
          <w:p>
            <w:pPr>
              <w:ind w:left="300"/>
              <w:spacing w:after="0"/>
              <w:rPr>
                <w:rFonts w:ascii="Arial" w:cs="Arial" w:eastAsia="Arial" w:hAnsi="Arial"/>
                <w:sz w:val="22"/>
                <w:szCs w:val="22"/>
                <w:color w:val="auto"/>
              </w:rPr>
            </w:pPr>
            <w:hyperlink w:anchor="page36">
              <w:r>
                <w:rPr>
                  <w:rFonts w:ascii="Arial" w:cs="Arial" w:eastAsia="Arial" w:hAnsi="Arial"/>
                  <w:sz w:val="22"/>
                  <w:szCs w:val="22"/>
                  <w:color w:val="auto"/>
                </w:rPr>
                <w:t>Controls and Procedures</w:t>
              </w:r>
            </w:hyperlink>
          </w:p>
        </w:tc>
        <w:tc>
          <w:tcPr>
            <w:tcW w:w="240" w:type="dxa"/>
            <w:vAlign w:val="bottom"/>
            <w:tcBorders>
              <w:bottom w:val="single" w:sz="8" w:color="0000EE"/>
            </w:tcBorders>
            <w:gridSpan w:val="3"/>
          </w:tcPr>
          <w:p>
            <w:pPr>
              <w:jc w:val="center"/>
              <w:spacing w:after="0"/>
              <w:rPr>
                <w:rFonts w:ascii="Arial" w:cs="Arial" w:eastAsia="Arial" w:hAnsi="Arial"/>
                <w:sz w:val="22"/>
                <w:szCs w:val="22"/>
                <w:color w:val="0000EE"/>
                <w:w w:val="97"/>
              </w:rPr>
            </w:pPr>
            <w:hyperlink w:anchor="page36">
              <w:r>
                <w:rPr>
                  <w:rFonts w:ascii="Arial" w:cs="Arial" w:eastAsia="Arial" w:hAnsi="Arial"/>
                  <w:sz w:val="22"/>
                  <w:szCs w:val="22"/>
                  <w:color w:val="0000EE"/>
                  <w:w w:val="97"/>
                </w:rPr>
                <w:t>34</w:t>
              </w:r>
            </w:hyperlink>
          </w:p>
        </w:tc>
      </w:tr>
      <w:tr>
        <w:trPr>
          <w:trHeight w:val="449"/>
        </w:trPr>
        <w:tc>
          <w:tcPr>
            <w:tcW w:w="1080" w:type="dxa"/>
            <w:vAlign w:val="bottom"/>
          </w:tcPr>
          <w:p>
            <w:pPr>
              <w:spacing w:after="0"/>
              <w:rPr>
                <w:sz w:val="24"/>
                <w:szCs w:val="24"/>
                <w:color w:val="auto"/>
              </w:rPr>
            </w:pPr>
          </w:p>
        </w:tc>
        <w:tc>
          <w:tcPr>
            <w:tcW w:w="9440" w:type="dxa"/>
            <w:vAlign w:val="bottom"/>
          </w:tcPr>
          <w:p>
            <w:pPr>
              <w:ind w:left="4180"/>
              <w:spacing w:after="0"/>
              <w:rPr>
                <w:rFonts w:ascii="Arial" w:cs="Arial" w:eastAsia="Arial" w:hAnsi="Arial"/>
                <w:sz w:val="22"/>
                <w:szCs w:val="22"/>
                <w:b w:val="1"/>
                <w:bCs w:val="1"/>
                <w:color w:val="auto"/>
              </w:rPr>
            </w:pPr>
            <w:hyperlink w:anchor="page36">
              <w:r>
                <w:rPr>
                  <w:rFonts w:ascii="Arial" w:cs="Arial" w:eastAsia="Arial" w:hAnsi="Arial"/>
                  <w:sz w:val="22"/>
                  <w:szCs w:val="22"/>
                  <w:b w:val="1"/>
                  <w:bCs w:val="1"/>
                  <w:color w:val="auto"/>
                </w:rPr>
                <w:t>PART II</w:t>
              </w:r>
            </w:hyperlink>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7"/>
        </w:trPr>
        <w:tc>
          <w:tcPr>
            <w:tcW w:w="1080" w:type="dxa"/>
            <w:vAlign w:val="bottom"/>
          </w:tcPr>
          <w:p>
            <w:pPr>
              <w:spacing w:after="0" w:line="246" w:lineRule="exact"/>
              <w:rPr>
                <w:sz w:val="20"/>
                <w:szCs w:val="20"/>
                <w:color w:val="auto"/>
              </w:rPr>
            </w:pPr>
            <w:r>
              <w:rPr>
                <w:rFonts w:ascii="Arial" w:cs="Arial" w:eastAsia="Arial" w:hAnsi="Arial"/>
                <w:sz w:val="22"/>
                <w:szCs w:val="22"/>
                <w:color w:val="auto"/>
              </w:rPr>
              <w:t>Item 1.</w:t>
            </w:r>
          </w:p>
        </w:tc>
        <w:tc>
          <w:tcPr>
            <w:tcW w:w="9440" w:type="dxa"/>
            <w:vAlign w:val="bottom"/>
          </w:tcPr>
          <w:p>
            <w:pPr>
              <w:ind w:left="300"/>
              <w:spacing w:after="0" w:line="246" w:lineRule="exact"/>
              <w:rPr>
                <w:sz w:val="20"/>
                <w:szCs w:val="20"/>
                <w:color w:val="auto"/>
              </w:rPr>
            </w:pPr>
            <w:r>
              <w:rPr>
                <w:rFonts w:ascii="Arial" w:cs="Arial" w:eastAsia="Arial" w:hAnsi="Arial"/>
                <w:sz w:val="22"/>
                <w:szCs w:val="22"/>
                <w:color w:val="auto"/>
              </w:rPr>
              <w:t>Legal Proceedings</w:t>
            </w:r>
          </w:p>
        </w:tc>
        <w:tc>
          <w:tcPr>
            <w:tcW w:w="240" w:type="dxa"/>
            <w:vAlign w:val="bottom"/>
            <w:tcBorders>
              <w:bottom w:val="single" w:sz="8" w:color="0000EE"/>
            </w:tcBorders>
            <w:gridSpan w:val="3"/>
          </w:tcPr>
          <w:p>
            <w:pPr>
              <w:jc w:val="center"/>
              <w:spacing w:after="0" w:line="246" w:lineRule="exact"/>
              <w:rPr>
                <w:rFonts w:ascii="Arial" w:cs="Arial" w:eastAsia="Arial" w:hAnsi="Arial"/>
                <w:sz w:val="22"/>
                <w:szCs w:val="22"/>
                <w:color w:val="0000EE"/>
                <w:w w:val="97"/>
              </w:rPr>
            </w:pPr>
            <w:hyperlink w:anchor="page36">
              <w:r>
                <w:rPr>
                  <w:rFonts w:ascii="Arial" w:cs="Arial" w:eastAsia="Arial" w:hAnsi="Arial"/>
                  <w:sz w:val="22"/>
                  <w:szCs w:val="22"/>
                  <w:color w:val="0000EE"/>
                  <w:w w:val="97"/>
                </w:rPr>
                <w:t>34</w:t>
              </w:r>
            </w:hyperlink>
          </w:p>
        </w:tc>
      </w:tr>
      <w:tr>
        <w:trPr>
          <w:trHeight w:val="453"/>
        </w:trPr>
        <w:tc>
          <w:tcPr>
            <w:tcW w:w="1080" w:type="dxa"/>
            <w:vAlign w:val="bottom"/>
          </w:tcPr>
          <w:p>
            <w:pPr>
              <w:spacing w:after="0"/>
              <w:rPr>
                <w:sz w:val="20"/>
                <w:szCs w:val="20"/>
                <w:color w:val="auto"/>
              </w:rPr>
            </w:pPr>
            <w:r>
              <w:rPr>
                <w:rFonts w:ascii="Arial" w:cs="Arial" w:eastAsia="Arial" w:hAnsi="Arial"/>
                <w:sz w:val="22"/>
                <w:szCs w:val="22"/>
                <w:color w:val="auto"/>
              </w:rPr>
              <w:t>Item 1A.</w:t>
            </w:r>
          </w:p>
        </w:tc>
        <w:tc>
          <w:tcPr>
            <w:tcW w:w="9440" w:type="dxa"/>
            <w:vAlign w:val="bottom"/>
          </w:tcPr>
          <w:p>
            <w:pPr>
              <w:ind w:left="300"/>
              <w:spacing w:after="0"/>
              <w:rPr>
                <w:sz w:val="20"/>
                <w:szCs w:val="20"/>
                <w:color w:val="auto"/>
              </w:rPr>
            </w:pPr>
            <w:r>
              <w:rPr>
                <w:rFonts w:ascii="Arial" w:cs="Arial" w:eastAsia="Arial" w:hAnsi="Arial"/>
                <w:sz w:val="22"/>
                <w:szCs w:val="22"/>
                <w:color w:val="auto"/>
              </w:rPr>
              <w:t>Risk Factors</w:t>
            </w:r>
          </w:p>
        </w:tc>
        <w:tc>
          <w:tcPr>
            <w:tcW w:w="240" w:type="dxa"/>
            <w:vAlign w:val="bottom"/>
            <w:tcBorders>
              <w:bottom w:val="single" w:sz="8" w:color="0000EE"/>
            </w:tcBorders>
            <w:gridSpan w:val="3"/>
          </w:tcPr>
          <w:p>
            <w:pPr>
              <w:jc w:val="center"/>
              <w:spacing w:after="0"/>
              <w:rPr>
                <w:rFonts w:ascii="Arial" w:cs="Arial" w:eastAsia="Arial" w:hAnsi="Arial"/>
                <w:sz w:val="22"/>
                <w:szCs w:val="22"/>
                <w:color w:val="0000EE"/>
                <w:w w:val="97"/>
              </w:rPr>
            </w:pPr>
            <w:hyperlink w:anchor="page36">
              <w:r>
                <w:rPr>
                  <w:rFonts w:ascii="Arial" w:cs="Arial" w:eastAsia="Arial" w:hAnsi="Arial"/>
                  <w:sz w:val="22"/>
                  <w:szCs w:val="22"/>
                  <w:color w:val="0000EE"/>
                  <w:w w:val="97"/>
                </w:rPr>
                <w:t>34</w:t>
              </w:r>
            </w:hyperlink>
          </w:p>
        </w:tc>
      </w:tr>
      <w:tr>
        <w:trPr>
          <w:trHeight w:val="453"/>
        </w:trPr>
        <w:tc>
          <w:tcPr>
            <w:tcW w:w="1080" w:type="dxa"/>
            <w:vAlign w:val="bottom"/>
          </w:tcPr>
          <w:p>
            <w:pPr>
              <w:spacing w:after="0"/>
              <w:rPr>
                <w:rFonts w:ascii="Arial" w:cs="Arial" w:eastAsia="Arial" w:hAnsi="Arial"/>
                <w:sz w:val="22"/>
                <w:szCs w:val="22"/>
                <w:color w:val="auto"/>
              </w:rPr>
            </w:pPr>
            <w:hyperlink w:anchor="page36">
              <w:r>
                <w:rPr>
                  <w:rFonts w:ascii="Arial" w:cs="Arial" w:eastAsia="Arial" w:hAnsi="Arial"/>
                  <w:sz w:val="22"/>
                  <w:szCs w:val="22"/>
                  <w:color w:val="auto"/>
                </w:rPr>
                <w:t>Item 2.</w:t>
              </w:r>
            </w:hyperlink>
          </w:p>
        </w:tc>
        <w:tc>
          <w:tcPr>
            <w:tcW w:w="9440" w:type="dxa"/>
            <w:vAlign w:val="bottom"/>
          </w:tcPr>
          <w:p>
            <w:pPr>
              <w:ind w:left="300"/>
              <w:spacing w:after="0"/>
              <w:rPr>
                <w:sz w:val="20"/>
                <w:szCs w:val="20"/>
                <w:color w:val="auto"/>
              </w:rPr>
            </w:pPr>
            <w:r>
              <w:rPr>
                <w:rFonts w:ascii="Arial" w:cs="Arial" w:eastAsia="Arial" w:hAnsi="Arial"/>
                <w:sz w:val="22"/>
                <w:szCs w:val="22"/>
                <w:color w:val="auto"/>
              </w:rPr>
              <w:t>Unregistered Sales of Equity Securities and Use of Proceeds</w:t>
            </w:r>
          </w:p>
        </w:tc>
        <w:tc>
          <w:tcPr>
            <w:tcW w:w="240" w:type="dxa"/>
            <w:vAlign w:val="bottom"/>
            <w:tcBorders>
              <w:bottom w:val="single" w:sz="8" w:color="0000EE"/>
            </w:tcBorders>
            <w:gridSpan w:val="3"/>
          </w:tcPr>
          <w:p>
            <w:pPr>
              <w:jc w:val="center"/>
              <w:spacing w:after="0"/>
              <w:rPr>
                <w:rFonts w:ascii="Arial" w:cs="Arial" w:eastAsia="Arial" w:hAnsi="Arial"/>
                <w:sz w:val="22"/>
                <w:szCs w:val="22"/>
                <w:color w:val="0000EE"/>
                <w:w w:val="97"/>
              </w:rPr>
            </w:pPr>
            <w:hyperlink w:anchor="page36">
              <w:r>
                <w:rPr>
                  <w:rFonts w:ascii="Arial" w:cs="Arial" w:eastAsia="Arial" w:hAnsi="Arial"/>
                  <w:sz w:val="22"/>
                  <w:szCs w:val="22"/>
                  <w:color w:val="0000EE"/>
                  <w:w w:val="97"/>
                </w:rPr>
                <w:t>34</w:t>
              </w:r>
            </w:hyperlink>
          </w:p>
        </w:tc>
      </w:tr>
      <w:tr>
        <w:trPr>
          <w:trHeight w:val="453"/>
        </w:trPr>
        <w:tc>
          <w:tcPr>
            <w:tcW w:w="1080" w:type="dxa"/>
            <w:vAlign w:val="bottom"/>
          </w:tcPr>
          <w:p>
            <w:pPr>
              <w:spacing w:after="0"/>
              <w:rPr>
                <w:sz w:val="20"/>
                <w:szCs w:val="20"/>
                <w:color w:val="auto"/>
              </w:rPr>
            </w:pPr>
            <w:r>
              <w:rPr>
                <w:rFonts w:ascii="Arial" w:cs="Arial" w:eastAsia="Arial" w:hAnsi="Arial"/>
                <w:sz w:val="22"/>
                <w:szCs w:val="22"/>
                <w:color w:val="auto"/>
              </w:rPr>
              <w:t>Item 3.</w:t>
            </w:r>
          </w:p>
        </w:tc>
        <w:tc>
          <w:tcPr>
            <w:tcW w:w="9440" w:type="dxa"/>
            <w:vAlign w:val="bottom"/>
          </w:tcPr>
          <w:p>
            <w:pPr>
              <w:ind w:left="300"/>
              <w:spacing w:after="0"/>
              <w:rPr>
                <w:sz w:val="20"/>
                <w:szCs w:val="20"/>
                <w:color w:val="auto"/>
              </w:rPr>
            </w:pPr>
            <w:r>
              <w:rPr>
                <w:rFonts w:ascii="Arial" w:cs="Arial" w:eastAsia="Arial" w:hAnsi="Arial"/>
                <w:sz w:val="22"/>
                <w:szCs w:val="22"/>
                <w:color w:val="auto"/>
              </w:rPr>
              <w:t>Defaults Upon Senior Securities</w:t>
            </w:r>
          </w:p>
        </w:tc>
        <w:tc>
          <w:tcPr>
            <w:tcW w:w="240" w:type="dxa"/>
            <w:vAlign w:val="bottom"/>
            <w:tcBorders>
              <w:bottom w:val="single" w:sz="8" w:color="0000EE"/>
            </w:tcBorders>
            <w:gridSpan w:val="3"/>
          </w:tcPr>
          <w:p>
            <w:pPr>
              <w:jc w:val="center"/>
              <w:spacing w:after="0"/>
              <w:rPr>
                <w:rFonts w:ascii="Arial" w:cs="Arial" w:eastAsia="Arial" w:hAnsi="Arial"/>
                <w:sz w:val="22"/>
                <w:szCs w:val="22"/>
                <w:color w:val="0000EE"/>
                <w:w w:val="97"/>
              </w:rPr>
            </w:pPr>
            <w:hyperlink w:anchor="page36">
              <w:r>
                <w:rPr>
                  <w:rFonts w:ascii="Arial" w:cs="Arial" w:eastAsia="Arial" w:hAnsi="Arial"/>
                  <w:sz w:val="22"/>
                  <w:szCs w:val="22"/>
                  <w:color w:val="0000EE"/>
                  <w:w w:val="97"/>
                </w:rPr>
                <w:t>34</w:t>
              </w:r>
            </w:hyperlink>
          </w:p>
        </w:tc>
      </w:tr>
      <w:tr>
        <w:trPr>
          <w:trHeight w:val="453"/>
        </w:trPr>
        <w:tc>
          <w:tcPr>
            <w:tcW w:w="1080" w:type="dxa"/>
            <w:vAlign w:val="bottom"/>
          </w:tcPr>
          <w:p>
            <w:pPr>
              <w:spacing w:after="0"/>
              <w:rPr>
                <w:sz w:val="20"/>
                <w:szCs w:val="20"/>
                <w:color w:val="auto"/>
              </w:rPr>
            </w:pPr>
            <w:r>
              <w:rPr>
                <w:rFonts w:ascii="Arial" w:cs="Arial" w:eastAsia="Arial" w:hAnsi="Arial"/>
                <w:sz w:val="22"/>
                <w:szCs w:val="22"/>
                <w:color w:val="auto"/>
              </w:rPr>
              <w:t>Item 4.</w:t>
            </w:r>
          </w:p>
        </w:tc>
        <w:tc>
          <w:tcPr>
            <w:tcW w:w="9440" w:type="dxa"/>
            <w:vAlign w:val="bottom"/>
          </w:tcPr>
          <w:p>
            <w:pPr>
              <w:ind w:left="300"/>
              <w:spacing w:after="0"/>
              <w:rPr>
                <w:sz w:val="20"/>
                <w:szCs w:val="20"/>
                <w:color w:val="auto"/>
              </w:rPr>
            </w:pPr>
            <w:r>
              <w:rPr>
                <w:rFonts w:ascii="Arial" w:cs="Arial" w:eastAsia="Arial" w:hAnsi="Arial"/>
                <w:sz w:val="22"/>
                <w:szCs w:val="22"/>
                <w:color w:val="auto"/>
              </w:rPr>
              <w:t>Mine Safety Disclosures</w:t>
            </w:r>
          </w:p>
        </w:tc>
        <w:tc>
          <w:tcPr>
            <w:tcW w:w="240" w:type="dxa"/>
            <w:vAlign w:val="bottom"/>
            <w:tcBorders>
              <w:bottom w:val="single" w:sz="8" w:color="0000EE"/>
            </w:tcBorders>
            <w:gridSpan w:val="3"/>
          </w:tcPr>
          <w:p>
            <w:pPr>
              <w:jc w:val="center"/>
              <w:spacing w:after="0"/>
              <w:rPr>
                <w:rFonts w:ascii="Arial" w:cs="Arial" w:eastAsia="Arial" w:hAnsi="Arial"/>
                <w:sz w:val="22"/>
                <w:szCs w:val="22"/>
                <w:color w:val="0000EE"/>
                <w:w w:val="97"/>
              </w:rPr>
            </w:pPr>
            <w:hyperlink w:anchor="page36">
              <w:r>
                <w:rPr>
                  <w:rFonts w:ascii="Arial" w:cs="Arial" w:eastAsia="Arial" w:hAnsi="Arial"/>
                  <w:sz w:val="22"/>
                  <w:szCs w:val="22"/>
                  <w:color w:val="0000EE"/>
                  <w:w w:val="97"/>
                </w:rPr>
                <w:t>34</w:t>
              </w:r>
            </w:hyperlink>
          </w:p>
        </w:tc>
      </w:tr>
      <w:tr>
        <w:trPr>
          <w:trHeight w:val="453"/>
        </w:trPr>
        <w:tc>
          <w:tcPr>
            <w:tcW w:w="1080" w:type="dxa"/>
            <w:vAlign w:val="bottom"/>
          </w:tcPr>
          <w:p>
            <w:pPr>
              <w:spacing w:after="0"/>
              <w:rPr>
                <w:rFonts w:ascii="Arial" w:cs="Arial" w:eastAsia="Arial" w:hAnsi="Arial"/>
                <w:sz w:val="22"/>
                <w:szCs w:val="22"/>
                <w:color w:val="auto"/>
              </w:rPr>
            </w:pPr>
            <w:hyperlink w:anchor="page36">
              <w:r>
                <w:rPr>
                  <w:rFonts w:ascii="Arial" w:cs="Arial" w:eastAsia="Arial" w:hAnsi="Arial"/>
                  <w:sz w:val="22"/>
                  <w:szCs w:val="22"/>
                  <w:color w:val="auto"/>
                </w:rPr>
                <w:t>Item 5.</w:t>
              </w:r>
            </w:hyperlink>
          </w:p>
        </w:tc>
        <w:tc>
          <w:tcPr>
            <w:tcW w:w="9440" w:type="dxa"/>
            <w:vAlign w:val="bottom"/>
          </w:tcPr>
          <w:p>
            <w:pPr>
              <w:ind w:left="300"/>
              <w:spacing w:after="0"/>
              <w:rPr>
                <w:rFonts w:ascii="Arial" w:cs="Arial" w:eastAsia="Arial" w:hAnsi="Arial"/>
                <w:sz w:val="22"/>
                <w:szCs w:val="22"/>
                <w:color w:val="auto"/>
              </w:rPr>
            </w:pPr>
            <w:hyperlink w:anchor="page37">
              <w:r>
                <w:rPr>
                  <w:rFonts w:ascii="Arial" w:cs="Arial" w:eastAsia="Arial" w:hAnsi="Arial"/>
                  <w:sz w:val="22"/>
                  <w:szCs w:val="22"/>
                  <w:color w:val="auto"/>
                </w:rPr>
                <w:t>Other Information</w:t>
              </w:r>
            </w:hyperlink>
          </w:p>
        </w:tc>
        <w:tc>
          <w:tcPr>
            <w:tcW w:w="240" w:type="dxa"/>
            <w:vAlign w:val="bottom"/>
            <w:tcBorders>
              <w:bottom w:val="single" w:sz="8" w:color="0000EE"/>
            </w:tcBorders>
            <w:gridSpan w:val="3"/>
          </w:tcPr>
          <w:p>
            <w:pPr>
              <w:jc w:val="center"/>
              <w:spacing w:after="0"/>
              <w:rPr>
                <w:rFonts w:ascii="Arial" w:cs="Arial" w:eastAsia="Arial" w:hAnsi="Arial"/>
                <w:sz w:val="22"/>
                <w:szCs w:val="22"/>
                <w:color w:val="0000EE"/>
                <w:w w:val="97"/>
              </w:rPr>
            </w:pPr>
            <w:hyperlink w:anchor="page37">
              <w:r>
                <w:rPr>
                  <w:rFonts w:ascii="Arial" w:cs="Arial" w:eastAsia="Arial" w:hAnsi="Arial"/>
                  <w:sz w:val="22"/>
                  <w:szCs w:val="22"/>
                  <w:color w:val="0000EE"/>
                  <w:w w:val="97"/>
                </w:rPr>
                <w:t>35</w:t>
              </w:r>
            </w:hyperlink>
          </w:p>
        </w:tc>
      </w:tr>
      <w:tr>
        <w:trPr>
          <w:trHeight w:val="453"/>
        </w:trPr>
        <w:tc>
          <w:tcPr>
            <w:tcW w:w="1080" w:type="dxa"/>
            <w:vAlign w:val="bottom"/>
          </w:tcPr>
          <w:p>
            <w:pPr>
              <w:spacing w:after="0"/>
              <w:rPr>
                <w:rFonts w:ascii="Arial" w:cs="Arial" w:eastAsia="Arial" w:hAnsi="Arial"/>
                <w:sz w:val="22"/>
                <w:szCs w:val="22"/>
                <w:color w:val="auto"/>
              </w:rPr>
            </w:pPr>
            <w:hyperlink w:anchor="page3">
              <w:r>
                <w:rPr>
                  <w:rFonts w:ascii="Arial" w:cs="Arial" w:eastAsia="Arial" w:hAnsi="Arial"/>
                  <w:sz w:val="22"/>
                  <w:szCs w:val="22"/>
                  <w:color w:val="auto"/>
                </w:rPr>
                <w:t>Item 6.</w:t>
              </w:r>
            </w:hyperlink>
          </w:p>
        </w:tc>
        <w:tc>
          <w:tcPr>
            <w:tcW w:w="9440" w:type="dxa"/>
            <w:vAlign w:val="bottom"/>
          </w:tcPr>
          <w:p>
            <w:pPr>
              <w:ind w:left="300"/>
              <w:spacing w:after="0"/>
              <w:rPr>
                <w:sz w:val="20"/>
                <w:szCs w:val="20"/>
                <w:color w:val="auto"/>
              </w:rPr>
            </w:pPr>
            <w:r>
              <w:rPr>
                <w:rFonts w:ascii="Arial" w:cs="Arial" w:eastAsia="Arial" w:hAnsi="Arial"/>
                <w:sz w:val="22"/>
                <w:szCs w:val="22"/>
                <w:color w:val="auto"/>
              </w:rPr>
              <w:t>Exhibits</w:t>
            </w:r>
          </w:p>
        </w:tc>
        <w:tc>
          <w:tcPr>
            <w:tcW w:w="240" w:type="dxa"/>
            <w:vAlign w:val="bottom"/>
            <w:tcBorders>
              <w:bottom w:val="single" w:sz="8" w:color="0000EE"/>
            </w:tcBorders>
            <w:gridSpan w:val="3"/>
          </w:tcPr>
          <w:p>
            <w:pPr>
              <w:jc w:val="center"/>
              <w:spacing w:after="0"/>
              <w:rPr>
                <w:rFonts w:ascii="Arial" w:cs="Arial" w:eastAsia="Arial" w:hAnsi="Arial"/>
                <w:sz w:val="22"/>
                <w:szCs w:val="22"/>
                <w:color w:val="0000EE"/>
                <w:w w:val="97"/>
              </w:rPr>
            </w:pPr>
            <w:hyperlink w:anchor="page37">
              <w:r>
                <w:rPr>
                  <w:rFonts w:ascii="Arial" w:cs="Arial" w:eastAsia="Arial" w:hAnsi="Arial"/>
                  <w:sz w:val="22"/>
                  <w:szCs w:val="22"/>
                  <w:color w:val="0000EE"/>
                  <w:w w:val="97"/>
                </w:rPr>
                <w:t>35</w:t>
              </w:r>
            </w:hyperlink>
          </w:p>
        </w:tc>
      </w:tr>
      <w:tr>
        <w:trPr>
          <w:trHeight w:val="453"/>
        </w:trPr>
        <w:tc>
          <w:tcPr>
            <w:tcW w:w="1080" w:type="dxa"/>
            <w:vAlign w:val="bottom"/>
          </w:tcPr>
          <w:p>
            <w:pPr>
              <w:spacing w:after="0"/>
              <w:rPr>
                <w:sz w:val="24"/>
                <w:szCs w:val="24"/>
                <w:color w:val="auto"/>
              </w:rPr>
            </w:pPr>
          </w:p>
        </w:tc>
        <w:tc>
          <w:tcPr>
            <w:tcW w:w="9440" w:type="dxa"/>
            <w:vAlign w:val="bottom"/>
          </w:tcPr>
          <w:p>
            <w:pPr>
              <w:ind w:left="300"/>
              <w:spacing w:after="0"/>
              <w:rPr>
                <w:rFonts w:ascii="Arial" w:cs="Arial" w:eastAsia="Arial" w:hAnsi="Arial"/>
                <w:sz w:val="22"/>
                <w:szCs w:val="22"/>
                <w:color w:val="auto"/>
              </w:rPr>
            </w:pPr>
            <w:hyperlink w:anchor="page38">
              <w:r>
                <w:rPr>
                  <w:rFonts w:ascii="Arial" w:cs="Arial" w:eastAsia="Arial" w:hAnsi="Arial"/>
                  <w:sz w:val="22"/>
                  <w:szCs w:val="22"/>
                  <w:color w:val="auto"/>
                </w:rPr>
                <w:t>Signatures</w:t>
              </w:r>
            </w:hyperlink>
          </w:p>
        </w:tc>
        <w:tc>
          <w:tcPr>
            <w:tcW w:w="240" w:type="dxa"/>
            <w:vAlign w:val="bottom"/>
            <w:tcBorders>
              <w:bottom w:val="single" w:sz="8" w:color="0000EE"/>
            </w:tcBorders>
            <w:gridSpan w:val="3"/>
          </w:tcPr>
          <w:p>
            <w:pPr>
              <w:jc w:val="center"/>
              <w:spacing w:after="0"/>
              <w:rPr>
                <w:rFonts w:ascii="Arial" w:cs="Arial" w:eastAsia="Arial" w:hAnsi="Arial"/>
                <w:sz w:val="22"/>
                <w:szCs w:val="22"/>
                <w:color w:val="0000EE"/>
                <w:w w:val="97"/>
              </w:rPr>
            </w:pPr>
            <w:hyperlink w:anchor="page38">
              <w:r>
                <w:rPr>
                  <w:rFonts w:ascii="Arial" w:cs="Arial" w:eastAsia="Arial" w:hAnsi="Arial"/>
                  <w:sz w:val="22"/>
                  <w:szCs w:val="22"/>
                  <w:color w:val="0000EE"/>
                  <w:w w:val="97"/>
                </w:rPr>
                <w:t>36</w:t>
              </w:r>
            </w:hyperlink>
          </w:p>
        </w:tc>
      </w:tr>
    </w:tbl>
    <w:p>
      <w:pPr>
        <w:sectPr>
          <w:pgSz w:w="11900" w:h="16838" w:orient="portrait"/>
          <w:cols w:equalWidth="0" w:num="1">
            <w:col w:w="10800"/>
          </w:cols>
          <w:pgMar w:left="240" w:top="249" w:right="85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7"/>
          <w:szCs w:val="17"/>
          <w:b w:val="1"/>
          <w:bCs w:val="1"/>
          <w:color w:val="auto"/>
        </w:rPr>
        <w:t>FINANCIAL INFORMATION</w:t>
      </w:r>
    </w:p>
    <w:p>
      <w:pPr>
        <w:spacing w:after="0" w:line="1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6780" w:type="dxa"/>
            <w:vAlign w:val="bottom"/>
            <w:gridSpan w:val="5"/>
          </w:tcPr>
          <w:p>
            <w:pPr>
              <w:ind w:left="40"/>
              <w:spacing w:after="0"/>
              <w:rPr>
                <w:sz w:val="20"/>
                <w:szCs w:val="20"/>
                <w:color w:val="auto"/>
              </w:rPr>
            </w:pPr>
            <w:r>
              <w:rPr>
                <w:rFonts w:ascii="Arial" w:cs="Arial" w:eastAsia="Arial" w:hAnsi="Arial"/>
                <w:sz w:val="25"/>
                <w:szCs w:val="25"/>
                <w:b w:val="1"/>
                <w:bCs w:val="1"/>
                <w:color w:val="auto"/>
              </w:rPr>
              <w:t>CONSOLIDATED STATEMENTS OF OPERATIONS</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gridSpan w:val="4"/>
          </w:tcPr>
          <w:p>
            <w:pPr>
              <w:jc w:val="right"/>
              <w:ind w:right="63"/>
              <w:spacing w:after="0"/>
              <w:rPr>
                <w:sz w:val="20"/>
                <w:szCs w:val="20"/>
                <w:color w:val="auto"/>
              </w:rPr>
            </w:pPr>
            <w:r>
              <w:rPr>
                <w:rFonts w:ascii="Arial" w:cs="Arial" w:eastAsia="Arial" w:hAnsi="Arial"/>
                <w:sz w:val="14"/>
                <w:szCs w:val="14"/>
                <w:color w:val="auto"/>
              </w:rPr>
              <w:t>(unaudited, in 000s, except</w:t>
            </w:r>
          </w:p>
        </w:tc>
        <w:tc>
          <w:tcPr>
            <w:tcW w:w="0" w:type="dxa"/>
            <w:vAlign w:val="bottom"/>
          </w:tcPr>
          <w:p>
            <w:pPr>
              <w:spacing w:after="0"/>
              <w:rPr>
                <w:sz w:val="1"/>
                <w:szCs w:val="1"/>
                <w:color w:val="auto"/>
              </w:rPr>
            </w:pPr>
          </w:p>
        </w:tc>
      </w:tr>
      <w:tr>
        <w:trPr>
          <w:trHeight w:val="162"/>
        </w:trPr>
        <w:tc>
          <w:tcPr>
            <w:tcW w:w="5160" w:type="dxa"/>
            <w:vAlign w:val="bottom"/>
            <w:gridSpan w:val="2"/>
          </w:tcPr>
          <w:p>
            <w:pPr>
              <w:ind w:left="40"/>
              <w:spacing w:after="0" w:line="162" w:lineRule="exact"/>
              <w:rPr>
                <w:sz w:val="20"/>
                <w:szCs w:val="20"/>
                <w:color w:val="auto"/>
              </w:rPr>
            </w:pPr>
            <w:r>
              <w:rPr>
                <w:rFonts w:ascii="Arial" w:cs="Arial" w:eastAsia="Arial" w:hAnsi="Arial"/>
                <w:sz w:val="18"/>
                <w:szCs w:val="18"/>
                <w:b w:val="1"/>
                <w:bCs w:val="1"/>
                <w:color w:val="auto"/>
              </w:rPr>
              <w:t>AND COMPREHENSIVE LOSS</w:t>
            </w: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vMerge w:val="restart"/>
          </w:tcPr>
          <w:p>
            <w:pPr>
              <w:jc w:val="right"/>
              <w:ind w:right="23"/>
              <w:spacing w:after="0"/>
              <w:rPr>
                <w:sz w:val="20"/>
                <w:szCs w:val="20"/>
                <w:color w:val="auto"/>
              </w:rPr>
            </w:pPr>
            <w:r>
              <w:rPr>
                <w:rFonts w:ascii="Arial" w:cs="Arial" w:eastAsia="Arial" w:hAnsi="Arial"/>
                <w:sz w:val="14"/>
                <w:szCs w:val="14"/>
                <w:color w:val="auto"/>
              </w:rPr>
              <w:t>per share amounts)</w:t>
            </w:r>
          </w:p>
        </w:tc>
        <w:tc>
          <w:tcPr>
            <w:tcW w:w="0" w:type="dxa"/>
            <w:vAlign w:val="bottom"/>
          </w:tcPr>
          <w:p>
            <w:pPr>
              <w:spacing w:after="0"/>
              <w:rPr>
                <w:sz w:val="1"/>
                <w:szCs w:val="1"/>
                <w:color w:val="auto"/>
              </w:rPr>
            </w:pPr>
          </w:p>
        </w:tc>
      </w:tr>
      <w:tr>
        <w:trPr>
          <w:trHeight w:val="42"/>
        </w:trPr>
        <w:tc>
          <w:tcPr>
            <w:tcW w:w="5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50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960" w:type="dxa"/>
            <w:vAlign w:val="bottom"/>
            <w:tcBorders>
              <w:bottom w:val="single" w:sz="8" w:color="auto"/>
            </w:tcBorders>
            <w:gridSpan w:val="5"/>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5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960" w:type="dxa"/>
            <w:vAlign w:val="bottom"/>
            <w:gridSpan w:val="5"/>
          </w:tcPr>
          <w:p>
            <w:pPr>
              <w:ind w:left="120"/>
              <w:spacing w:after="0"/>
              <w:rPr>
                <w:sz w:val="20"/>
                <w:szCs w:val="20"/>
                <w:color w:val="auto"/>
              </w:rPr>
            </w:pPr>
            <w:r>
              <w:rPr>
                <w:rFonts w:ascii="Arial" w:cs="Arial" w:eastAsia="Arial" w:hAnsi="Arial"/>
                <w:sz w:val="16"/>
                <w:szCs w:val="16"/>
                <w:color w:val="auto"/>
              </w:rPr>
              <w:t>Three months ended January 31,</w:t>
            </w:r>
          </w:p>
        </w:tc>
        <w:tc>
          <w:tcPr>
            <w:tcW w:w="260" w:type="dxa"/>
            <w:vAlign w:val="bottom"/>
          </w:tcPr>
          <w:p>
            <w:pPr>
              <w:spacing w:after="0"/>
              <w:rPr>
                <w:sz w:val="22"/>
                <w:szCs w:val="22"/>
                <w:color w:val="auto"/>
              </w:rPr>
            </w:pPr>
          </w:p>
        </w:tc>
        <w:tc>
          <w:tcPr>
            <w:tcW w:w="2800" w:type="dxa"/>
            <w:vAlign w:val="bottom"/>
            <w:gridSpan w:val="4"/>
          </w:tcPr>
          <w:p>
            <w:pPr>
              <w:jc w:val="right"/>
              <w:ind w:right="283"/>
              <w:spacing w:after="0"/>
              <w:rPr>
                <w:sz w:val="20"/>
                <w:szCs w:val="20"/>
                <w:color w:val="auto"/>
              </w:rPr>
            </w:pPr>
            <w:r>
              <w:rPr>
                <w:rFonts w:ascii="Arial" w:cs="Arial" w:eastAsia="Arial" w:hAnsi="Arial"/>
                <w:sz w:val="16"/>
                <w:szCs w:val="16"/>
                <w:color w:val="auto"/>
              </w:rPr>
              <w:t>Nine months ended January 31,</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122"/>
        </w:trPr>
        <w:tc>
          <w:tcPr>
            <w:tcW w:w="5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REVENUES:</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160" w:type="dxa"/>
            <w:vAlign w:val="bottom"/>
            <w:gridSpan w:val="2"/>
          </w:tcPr>
          <w:p>
            <w:pPr>
              <w:ind w:left="180"/>
              <w:spacing w:after="0"/>
              <w:rPr>
                <w:sz w:val="20"/>
                <w:szCs w:val="20"/>
                <w:color w:val="auto"/>
              </w:rPr>
            </w:pPr>
            <w:r>
              <w:rPr>
                <w:rFonts w:ascii="Arial" w:cs="Arial" w:eastAsia="Arial" w:hAnsi="Arial"/>
                <w:sz w:val="15"/>
                <w:szCs w:val="15"/>
                <w:color w:val="auto"/>
              </w:rPr>
              <w:t>Service revenues</w:t>
            </w:r>
          </w:p>
        </w:tc>
        <w:tc>
          <w:tcPr>
            <w:tcW w:w="24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1260" w:type="dxa"/>
            <w:vAlign w:val="bottom"/>
          </w:tcPr>
          <w:p>
            <w:pPr>
              <w:jc w:val="right"/>
              <w:ind w:right="43"/>
              <w:spacing w:after="0"/>
              <w:rPr>
                <w:sz w:val="20"/>
                <w:szCs w:val="20"/>
                <w:color w:val="auto"/>
              </w:rPr>
            </w:pPr>
            <w:r>
              <w:rPr>
                <w:rFonts w:ascii="Arial" w:cs="Arial" w:eastAsia="Arial" w:hAnsi="Arial"/>
                <w:sz w:val="15"/>
                <w:szCs w:val="15"/>
                <w:b w:val="1"/>
                <w:bCs w:val="1"/>
                <w:color w:val="auto"/>
              </w:rPr>
              <w:t>373,659</w:t>
            </w:r>
          </w:p>
        </w:tc>
        <w:tc>
          <w:tcPr>
            <w:tcW w:w="120" w:type="dxa"/>
            <w:vAlign w:val="bottom"/>
          </w:tcPr>
          <w:p>
            <w:pPr>
              <w:spacing w:after="0"/>
              <w:rPr>
                <w:sz w:val="23"/>
                <w:szCs w:val="23"/>
                <w:color w:val="auto"/>
              </w:rPr>
            </w:pPr>
          </w:p>
        </w:tc>
        <w:tc>
          <w:tcPr>
            <w:tcW w:w="44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388,771</w:t>
            </w:r>
          </w:p>
        </w:tc>
        <w:tc>
          <w:tcPr>
            <w:tcW w:w="100" w:type="dxa"/>
            <w:vAlign w:val="bottom"/>
          </w:tcPr>
          <w:p>
            <w:pPr>
              <w:spacing w:after="0"/>
              <w:rPr>
                <w:sz w:val="23"/>
                <w:szCs w:val="23"/>
                <w:color w:val="auto"/>
              </w:rPr>
            </w:pPr>
          </w:p>
        </w:tc>
        <w:tc>
          <w:tcPr>
            <w:tcW w:w="260" w:type="dxa"/>
            <w:vAlign w:val="bottom"/>
          </w:tcPr>
          <w:p>
            <w:pPr>
              <w:jc w:val="right"/>
              <w:ind w:right="63"/>
              <w:spacing w:after="0"/>
              <w:rPr>
                <w:sz w:val="20"/>
                <w:szCs w:val="20"/>
                <w:color w:val="auto"/>
              </w:rPr>
            </w:pPr>
            <w:r>
              <w:rPr>
                <w:rFonts w:ascii="Arial" w:cs="Arial" w:eastAsia="Arial" w:hAnsi="Arial"/>
                <w:sz w:val="15"/>
                <w:szCs w:val="15"/>
                <w:b w:val="1"/>
                <w:bCs w:val="1"/>
                <w:color w:val="auto"/>
              </w:rPr>
              <w:t>$</w:t>
            </w:r>
          </w:p>
        </w:tc>
        <w:tc>
          <w:tcPr>
            <w:tcW w:w="1220" w:type="dxa"/>
            <w:vAlign w:val="bottom"/>
          </w:tcPr>
          <w:p>
            <w:pPr>
              <w:jc w:val="right"/>
              <w:ind w:right="23"/>
              <w:spacing w:after="0"/>
              <w:rPr>
                <w:sz w:val="20"/>
                <w:szCs w:val="20"/>
                <w:color w:val="auto"/>
              </w:rPr>
            </w:pPr>
            <w:r>
              <w:rPr>
                <w:rFonts w:ascii="Arial" w:cs="Arial" w:eastAsia="Arial" w:hAnsi="Arial"/>
                <w:sz w:val="15"/>
                <w:szCs w:val="15"/>
                <w:b w:val="1"/>
                <w:bCs w:val="1"/>
                <w:color w:val="auto"/>
              </w:rPr>
              <w:t>627,786</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641,389</w:t>
            </w:r>
          </w:p>
        </w:tc>
        <w:tc>
          <w:tcPr>
            <w:tcW w:w="0" w:type="dxa"/>
            <w:vAlign w:val="bottom"/>
          </w:tcPr>
          <w:p>
            <w:pPr>
              <w:spacing w:after="0"/>
              <w:rPr>
                <w:sz w:val="1"/>
                <w:szCs w:val="1"/>
                <w:color w:val="auto"/>
              </w:rPr>
            </w:pPr>
          </w:p>
        </w:tc>
      </w:tr>
      <w:tr>
        <w:trPr>
          <w:trHeight w:val="270"/>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Royalty, product and other revenues</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94,725</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99,655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134,652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125,693</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468,384</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488,426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762,438</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767,082</w:t>
            </w:r>
          </w:p>
        </w:tc>
        <w:tc>
          <w:tcPr>
            <w:tcW w:w="0" w:type="dxa"/>
            <w:vAlign w:val="bottom"/>
          </w:tcPr>
          <w:p>
            <w:pPr>
              <w:spacing w:after="0"/>
              <w:rPr>
                <w:sz w:val="1"/>
                <w:szCs w:val="1"/>
                <w:color w:val="auto"/>
              </w:rPr>
            </w:pPr>
          </w:p>
        </w:tc>
      </w:tr>
      <w:tr>
        <w:trPr>
          <w:trHeight w:val="268"/>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OPERATING EXPENSES:</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160" w:type="dxa"/>
            <w:vAlign w:val="bottom"/>
            <w:gridSpan w:val="2"/>
          </w:tcPr>
          <w:p>
            <w:pPr>
              <w:ind w:left="180"/>
              <w:spacing w:after="0"/>
              <w:rPr>
                <w:sz w:val="20"/>
                <w:szCs w:val="20"/>
                <w:color w:val="auto"/>
              </w:rPr>
            </w:pPr>
            <w:r>
              <w:rPr>
                <w:rFonts w:ascii="Arial" w:cs="Arial" w:eastAsia="Arial" w:hAnsi="Arial"/>
                <w:sz w:val="15"/>
                <w:szCs w:val="15"/>
                <w:color w:val="auto"/>
              </w:rPr>
              <w:t>Costs of revenues</w:t>
            </w:r>
          </w:p>
        </w:tc>
        <w:tc>
          <w:tcPr>
            <w:tcW w:w="240" w:type="dxa"/>
            <w:vAlign w:val="bottom"/>
          </w:tcPr>
          <w:p>
            <w:pPr>
              <w:spacing w:after="0"/>
              <w:rPr>
                <w:sz w:val="23"/>
                <w:szCs w:val="23"/>
                <w:color w:val="auto"/>
              </w:rPr>
            </w:pPr>
          </w:p>
        </w:tc>
        <w:tc>
          <w:tcPr>
            <w:tcW w:w="1260" w:type="dxa"/>
            <w:vAlign w:val="bottom"/>
          </w:tcPr>
          <w:p>
            <w:pPr>
              <w:jc w:val="right"/>
              <w:ind w:right="43"/>
              <w:spacing w:after="0"/>
              <w:rPr>
                <w:sz w:val="20"/>
                <w:szCs w:val="20"/>
                <w:color w:val="auto"/>
              </w:rPr>
            </w:pPr>
            <w:r>
              <w:rPr>
                <w:rFonts w:ascii="Arial" w:cs="Arial" w:eastAsia="Arial" w:hAnsi="Arial"/>
                <w:sz w:val="15"/>
                <w:szCs w:val="15"/>
                <w:b w:val="1"/>
                <w:bCs w:val="1"/>
                <w:color w:val="auto"/>
              </w:rPr>
              <w:t>421,026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416,601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23"/>
              <w:spacing w:after="0"/>
              <w:rPr>
                <w:sz w:val="20"/>
                <w:szCs w:val="20"/>
                <w:color w:val="auto"/>
              </w:rPr>
            </w:pPr>
            <w:r>
              <w:rPr>
                <w:rFonts w:ascii="Arial" w:cs="Arial" w:eastAsia="Arial" w:hAnsi="Arial"/>
                <w:sz w:val="15"/>
                <w:szCs w:val="15"/>
                <w:b w:val="1"/>
                <w:bCs w:val="1"/>
                <w:color w:val="auto"/>
              </w:rPr>
              <w:t>893,401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884,335</w:t>
            </w:r>
          </w:p>
        </w:tc>
        <w:tc>
          <w:tcPr>
            <w:tcW w:w="0" w:type="dxa"/>
            <w:vAlign w:val="bottom"/>
          </w:tcPr>
          <w:p>
            <w:pPr>
              <w:spacing w:after="0"/>
              <w:rPr>
                <w:sz w:val="1"/>
                <w:szCs w:val="1"/>
                <w:color w:val="auto"/>
              </w:rPr>
            </w:pPr>
          </w:p>
        </w:tc>
      </w:tr>
      <w:tr>
        <w:trPr>
          <w:trHeight w:val="270"/>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Selling, general and administrative</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185,458</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169,098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404,517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381,193</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color w:val="auto"/>
              </w:rPr>
              <w:t>Total operating expenses</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606,484</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585,699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1,297,918</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1,265,528</w:t>
            </w:r>
          </w:p>
        </w:tc>
        <w:tc>
          <w:tcPr>
            <w:tcW w:w="0" w:type="dxa"/>
            <w:vAlign w:val="bottom"/>
          </w:tcPr>
          <w:p>
            <w:pPr>
              <w:spacing w:after="0"/>
              <w:rPr>
                <w:sz w:val="1"/>
                <w:szCs w:val="1"/>
                <w:color w:val="auto"/>
              </w:rPr>
            </w:pPr>
          </w:p>
        </w:tc>
      </w:tr>
      <w:tr>
        <w:trPr>
          <w:trHeight w:val="268"/>
        </w:trPr>
        <w:tc>
          <w:tcPr>
            <w:tcW w:w="5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160" w:type="dxa"/>
            <w:vAlign w:val="bottom"/>
            <w:gridSpan w:val="2"/>
          </w:tcPr>
          <w:p>
            <w:pPr>
              <w:ind w:left="40"/>
              <w:spacing w:after="0"/>
              <w:rPr>
                <w:sz w:val="20"/>
                <w:szCs w:val="20"/>
                <w:color w:val="auto"/>
              </w:rPr>
            </w:pPr>
            <w:r>
              <w:rPr>
                <w:rFonts w:ascii="Arial" w:cs="Arial" w:eastAsia="Arial" w:hAnsi="Arial"/>
                <w:sz w:val="15"/>
                <w:szCs w:val="15"/>
                <w:color w:val="auto"/>
              </w:rPr>
              <w:t>Other income (expense), net</w:t>
            </w:r>
          </w:p>
        </w:tc>
        <w:tc>
          <w:tcPr>
            <w:tcW w:w="240" w:type="dxa"/>
            <w:vAlign w:val="bottom"/>
          </w:tcPr>
          <w:p>
            <w:pPr>
              <w:spacing w:after="0"/>
              <w:rPr>
                <w:sz w:val="23"/>
                <w:szCs w:val="23"/>
                <w:color w:val="auto"/>
              </w:rPr>
            </w:pPr>
          </w:p>
        </w:tc>
        <w:tc>
          <w:tcPr>
            <w:tcW w:w="1260" w:type="dxa"/>
            <w:vAlign w:val="bottom"/>
          </w:tcPr>
          <w:p>
            <w:pPr>
              <w:jc w:val="right"/>
              <w:ind w:right="43"/>
              <w:spacing w:after="0"/>
              <w:rPr>
                <w:sz w:val="20"/>
                <w:szCs w:val="20"/>
                <w:color w:val="auto"/>
              </w:rPr>
            </w:pPr>
            <w:r>
              <w:rPr>
                <w:rFonts w:ascii="Arial" w:cs="Arial" w:eastAsia="Arial" w:hAnsi="Arial"/>
                <w:sz w:val="15"/>
                <w:szCs w:val="15"/>
                <w:b w:val="1"/>
                <w:bCs w:val="1"/>
                <w:color w:val="auto"/>
              </w:rPr>
              <w:t>2,269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1,028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23"/>
              <w:spacing w:after="0"/>
              <w:rPr>
                <w:sz w:val="20"/>
                <w:szCs w:val="20"/>
                <w:color w:val="auto"/>
              </w:rPr>
            </w:pPr>
            <w:r>
              <w:rPr>
                <w:rFonts w:ascii="Arial" w:cs="Arial" w:eastAsia="Arial" w:hAnsi="Arial"/>
                <w:sz w:val="15"/>
                <w:szCs w:val="15"/>
                <w:b w:val="1"/>
                <w:bCs w:val="1"/>
                <w:color w:val="auto"/>
              </w:rPr>
              <w:t>11,275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3,259</w:t>
            </w:r>
          </w:p>
        </w:tc>
        <w:tc>
          <w:tcPr>
            <w:tcW w:w="0" w:type="dxa"/>
            <w:vAlign w:val="bottom"/>
          </w:tcPr>
          <w:p>
            <w:pPr>
              <w:spacing w:after="0"/>
              <w:rPr>
                <w:sz w:val="1"/>
                <w:szCs w:val="1"/>
                <w:color w:val="auto"/>
              </w:rPr>
            </w:pP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Interest expense on borrowings</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(22,833)</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(24,560)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(65,214)</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(67,102)</w:t>
            </w:r>
          </w:p>
        </w:tc>
        <w:tc>
          <w:tcPr>
            <w:tcW w:w="0" w:type="dxa"/>
            <w:vAlign w:val="bottom"/>
          </w:tcPr>
          <w:p>
            <w:pPr>
              <w:spacing w:after="0"/>
              <w:rPr>
                <w:sz w:val="1"/>
                <w:szCs w:val="1"/>
                <w:color w:val="auto"/>
              </w:rPr>
            </w:pPr>
          </w:p>
        </w:tc>
      </w:tr>
      <w:tr>
        <w:trPr>
          <w:trHeight w:val="250"/>
        </w:trPr>
        <w:tc>
          <w:tcPr>
            <w:tcW w:w="5160" w:type="dxa"/>
            <w:vAlign w:val="bottom"/>
            <w:gridSpan w:val="2"/>
          </w:tcPr>
          <w:p>
            <w:pPr>
              <w:ind w:left="40"/>
              <w:spacing w:after="0"/>
              <w:rPr>
                <w:sz w:val="20"/>
                <w:szCs w:val="20"/>
                <w:color w:val="auto"/>
              </w:rPr>
            </w:pPr>
            <w:r>
              <w:rPr>
                <w:rFonts w:ascii="Arial" w:cs="Arial" w:eastAsia="Arial" w:hAnsi="Arial"/>
                <w:sz w:val="15"/>
                <w:szCs w:val="15"/>
                <w:color w:val="auto"/>
              </w:rPr>
              <w:t>Loss from continuing operations before income taxes (benefit)</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(158,664)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(120,805)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(589,419)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(562,289)</w:t>
            </w:r>
          </w:p>
        </w:tc>
        <w:tc>
          <w:tcPr>
            <w:tcW w:w="0" w:type="dxa"/>
            <w:vAlign w:val="bottom"/>
          </w:tcPr>
          <w:p>
            <w:pPr>
              <w:spacing w:after="0"/>
              <w:rPr>
                <w:sz w:val="1"/>
                <w:szCs w:val="1"/>
                <w:color w:val="auto"/>
              </w:rPr>
            </w:pP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Income taxes (benefit)</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(38,885)</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122,120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(149,906)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(43,234)</w:t>
            </w:r>
          </w:p>
        </w:tc>
        <w:tc>
          <w:tcPr>
            <w:tcW w:w="0" w:type="dxa"/>
            <w:vAlign w:val="bottom"/>
          </w:tcPr>
          <w:p>
            <w:pPr>
              <w:spacing w:after="0"/>
              <w:rPr>
                <w:sz w:val="1"/>
                <w:szCs w:val="1"/>
                <w:color w:val="auto"/>
              </w:rPr>
            </w:pPr>
          </w:p>
        </w:tc>
      </w:tr>
      <w:tr>
        <w:trPr>
          <w:trHeight w:val="250"/>
        </w:trPr>
        <w:tc>
          <w:tcPr>
            <w:tcW w:w="5160" w:type="dxa"/>
            <w:vAlign w:val="bottom"/>
            <w:gridSpan w:val="2"/>
          </w:tcPr>
          <w:p>
            <w:pPr>
              <w:ind w:left="40"/>
              <w:spacing w:after="0"/>
              <w:rPr>
                <w:sz w:val="20"/>
                <w:szCs w:val="20"/>
                <w:color w:val="auto"/>
              </w:rPr>
            </w:pPr>
            <w:r>
              <w:rPr>
                <w:rFonts w:ascii="Arial" w:cs="Arial" w:eastAsia="Arial" w:hAnsi="Arial"/>
                <w:sz w:val="15"/>
                <w:szCs w:val="15"/>
                <w:color w:val="auto"/>
              </w:rPr>
              <w:t>Net loss from continuing operations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(119,779)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(242,925)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(439,513)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(519,055)</w:t>
            </w:r>
          </w:p>
        </w:tc>
        <w:tc>
          <w:tcPr>
            <w:tcW w:w="0" w:type="dxa"/>
            <w:vAlign w:val="bottom"/>
          </w:tcPr>
          <w:p>
            <w:pPr>
              <w:spacing w:after="0"/>
              <w:rPr>
                <w:sz w:val="1"/>
                <w:szCs w:val="1"/>
                <w:color w:val="auto"/>
              </w:rPr>
            </w:pPr>
          </w:p>
        </w:tc>
      </w:tr>
      <w:tr>
        <w:trPr>
          <w:trHeight w:val="19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Net loss from discontinued operations, net of tax benefits of $1,962,</w:t>
            </w:r>
          </w:p>
        </w:tc>
        <w:tc>
          <w:tcPr>
            <w:tcW w:w="24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(6,675)</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(15,887)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1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$1,422, $4,731 and $6,094</w:t>
            </w:r>
          </w:p>
        </w:tc>
        <w:tc>
          <w:tcPr>
            <w:tcW w:w="24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(2,720)</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(10,723)</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b w:val="1"/>
                <w:bCs w:val="1"/>
                <w:color w:val="auto"/>
              </w:rPr>
              <w:t>NET LOSS</w:t>
            </w: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(126,454)</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(245,645)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(455,400)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(529,778)</w:t>
            </w:r>
          </w:p>
        </w:tc>
        <w:tc>
          <w:tcPr>
            <w:tcW w:w="0" w:type="dxa"/>
            <w:vAlign w:val="bottom"/>
          </w:tcPr>
          <w:p>
            <w:pPr>
              <w:spacing w:after="0"/>
              <w:rPr>
                <w:sz w:val="1"/>
                <w:szCs w:val="1"/>
                <w:color w:val="auto"/>
              </w:rPr>
            </w:pPr>
          </w:p>
        </w:tc>
      </w:tr>
      <w:tr>
        <w:trPr>
          <w:trHeight w:val="268"/>
        </w:trPr>
        <w:tc>
          <w:tcPr>
            <w:tcW w:w="5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160" w:type="dxa"/>
            <w:vAlign w:val="bottom"/>
            <w:gridSpan w:val="2"/>
          </w:tcPr>
          <w:p>
            <w:pPr>
              <w:ind w:left="40"/>
              <w:spacing w:after="0"/>
              <w:rPr>
                <w:sz w:val="20"/>
                <w:szCs w:val="20"/>
                <w:color w:val="auto"/>
              </w:rPr>
            </w:pPr>
            <w:r>
              <w:rPr>
                <w:rFonts w:ascii="Arial" w:cs="Arial" w:eastAsia="Arial" w:hAnsi="Arial"/>
                <w:sz w:val="15"/>
                <w:szCs w:val="15"/>
                <w:b w:val="1"/>
                <w:bCs w:val="1"/>
                <w:color w:val="auto"/>
              </w:rPr>
              <w:t>BASIC AND DILUTED LOSS PER SHARE:</w:t>
            </w: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Continuing operations</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(0.58)</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(2.13)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w:t>
            </w:r>
          </w:p>
        </w:tc>
        <w:tc>
          <w:tcPr>
            <w:tcW w:w="0" w:type="dxa"/>
            <w:vAlign w:val="bottom"/>
          </w:tcPr>
          <w:p>
            <w:pPr>
              <w:spacing w:after="0"/>
              <w:rPr>
                <w:sz w:val="1"/>
                <w:szCs w:val="1"/>
                <w:color w:val="auto"/>
              </w:rPr>
            </w:pPr>
          </w:p>
        </w:tc>
      </w:tr>
      <w:tr>
        <w:trPr>
          <w:trHeight w:val="266"/>
        </w:trPr>
        <w:tc>
          <w:tcPr>
            <w:tcW w:w="5160" w:type="dxa"/>
            <w:vAlign w:val="bottom"/>
            <w:tcBorders>
              <w:bottom w:val="single" w:sz="8" w:color="CCEEFF"/>
            </w:tcBorders>
            <w:gridSpan w:val="2"/>
          </w:tcPr>
          <w:p>
            <w:pPr>
              <w:ind w:left="180"/>
              <w:spacing w:after="0"/>
              <w:rPr>
                <w:sz w:val="20"/>
                <w:szCs w:val="20"/>
                <w:color w:val="auto"/>
              </w:rPr>
            </w:pPr>
            <w:r>
              <w:rPr>
                <w:rFonts w:ascii="Arial" w:cs="Arial" w:eastAsia="Arial" w:hAnsi="Arial"/>
                <w:sz w:val="15"/>
                <w:szCs w:val="15"/>
                <w:color w:val="auto"/>
              </w:rPr>
              <w:t>Discontinued operations</w:t>
            </w:r>
          </w:p>
        </w:tc>
        <w:tc>
          <w:tcPr>
            <w:tcW w:w="2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(0.04)</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(0.02)</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(0.08)</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(0.05)</w:t>
            </w:r>
          </w:p>
        </w:tc>
        <w:tc>
          <w:tcPr>
            <w:tcW w:w="0" w:type="dxa"/>
            <w:vAlign w:val="bottom"/>
          </w:tcPr>
          <w:p>
            <w:pPr>
              <w:spacing w:after="0"/>
              <w:rPr>
                <w:sz w:val="1"/>
                <w:szCs w:val="1"/>
                <w:color w:val="auto"/>
              </w:rPr>
            </w:pPr>
          </w:p>
        </w:tc>
      </w:tr>
      <w:tr>
        <w:trPr>
          <w:trHeight w:val="250"/>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Consolidated</w:t>
            </w: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(0.62)</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(2.21)</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(2.54)</w:t>
            </w:r>
          </w:p>
        </w:tc>
        <w:tc>
          <w:tcPr>
            <w:tcW w:w="0" w:type="dxa"/>
            <w:vAlign w:val="bottom"/>
          </w:tcPr>
          <w:p>
            <w:pPr>
              <w:spacing w:after="0"/>
              <w:rPr>
                <w:sz w:val="1"/>
                <w:szCs w:val="1"/>
                <w:color w:val="auto"/>
              </w:rPr>
            </w:pPr>
          </w:p>
        </w:tc>
      </w:tr>
      <w:tr>
        <w:trPr>
          <w:trHeight w:val="119"/>
        </w:trPr>
        <w:tc>
          <w:tcPr>
            <w:tcW w:w="5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DIVIDENDS DECLARED PER SHARE</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0.25</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0.24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0.75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0.72</w:t>
            </w:r>
          </w:p>
        </w:tc>
        <w:tc>
          <w:tcPr>
            <w:tcW w:w="0" w:type="dxa"/>
            <w:vAlign w:val="bottom"/>
          </w:tcPr>
          <w:p>
            <w:pPr>
              <w:spacing w:after="0"/>
              <w:rPr>
                <w:sz w:val="1"/>
                <w:szCs w:val="1"/>
                <w:color w:val="auto"/>
              </w:rPr>
            </w:pPr>
          </w:p>
        </w:tc>
      </w:tr>
      <w:tr>
        <w:trPr>
          <w:trHeight w:val="122"/>
        </w:trPr>
        <w:tc>
          <w:tcPr>
            <w:tcW w:w="5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COMPREHENSIVE LOSS:</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160" w:type="dxa"/>
            <w:vAlign w:val="bottom"/>
            <w:gridSpan w:val="2"/>
          </w:tcPr>
          <w:p>
            <w:pPr>
              <w:ind w:left="180"/>
              <w:spacing w:after="0"/>
              <w:rPr>
                <w:sz w:val="20"/>
                <w:szCs w:val="20"/>
                <w:color w:val="auto"/>
              </w:rPr>
            </w:pPr>
            <w:r>
              <w:rPr>
                <w:rFonts w:ascii="Arial" w:cs="Arial" w:eastAsia="Arial" w:hAnsi="Arial"/>
                <w:sz w:val="15"/>
                <w:szCs w:val="15"/>
                <w:color w:val="auto"/>
              </w:rPr>
              <w:t>Net loss</w:t>
            </w:r>
          </w:p>
        </w:tc>
        <w:tc>
          <w:tcPr>
            <w:tcW w:w="24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(126,454)</w:t>
            </w:r>
          </w:p>
        </w:tc>
        <w:tc>
          <w:tcPr>
            <w:tcW w:w="120" w:type="dxa"/>
            <w:vAlign w:val="bottom"/>
          </w:tcPr>
          <w:p>
            <w:pPr>
              <w:spacing w:after="0"/>
              <w:rPr>
                <w:sz w:val="23"/>
                <w:szCs w:val="23"/>
                <w:color w:val="auto"/>
              </w:rPr>
            </w:pPr>
          </w:p>
        </w:tc>
        <w:tc>
          <w:tcPr>
            <w:tcW w:w="44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(245,645)</w:t>
            </w:r>
          </w:p>
        </w:tc>
        <w:tc>
          <w:tcPr>
            <w:tcW w:w="100" w:type="dxa"/>
            <w:vAlign w:val="bottom"/>
          </w:tcPr>
          <w:p>
            <w:pPr>
              <w:spacing w:after="0"/>
              <w:rPr>
                <w:sz w:val="23"/>
                <w:szCs w:val="23"/>
                <w:color w:val="auto"/>
              </w:rPr>
            </w:pPr>
          </w:p>
        </w:tc>
        <w:tc>
          <w:tcPr>
            <w:tcW w:w="260" w:type="dxa"/>
            <w:vAlign w:val="bottom"/>
          </w:tcPr>
          <w:p>
            <w:pPr>
              <w:jc w:val="right"/>
              <w:ind w:right="63"/>
              <w:spacing w:after="0"/>
              <w:rPr>
                <w:sz w:val="20"/>
                <w:szCs w:val="20"/>
                <w:color w:val="auto"/>
              </w:rPr>
            </w:pPr>
            <w:r>
              <w:rPr>
                <w:rFonts w:ascii="Arial" w:cs="Arial" w:eastAsia="Arial" w:hAnsi="Arial"/>
                <w:sz w:val="15"/>
                <w:szCs w:val="15"/>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(455,400)</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(529,778)</w:t>
            </w:r>
          </w:p>
        </w:tc>
        <w:tc>
          <w:tcPr>
            <w:tcW w:w="0" w:type="dxa"/>
            <w:vAlign w:val="bottom"/>
          </w:tcPr>
          <w:p>
            <w:pPr>
              <w:spacing w:after="0"/>
              <w:rPr>
                <w:sz w:val="1"/>
                <w:szCs w:val="1"/>
                <w:color w:val="auto"/>
              </w:rPr>
            </w:pPr>
          </w:p>
        </w:tc>
      </w:tr>
      <w:tr>
        <w:trPr>
          <w:trHeight w:val="274"/>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Unrealized gains on securities, net of taxes</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3</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66"/>
        </w:trPr>
        <w:tc>
          <w:tcPr>
            <w:tcW w:w="5160" w:type="dxa"/>
            <w:vAlign w:val="bottom"/>
            <w:tcBorders>
              <w:bottom w:val="single" w:sz="8" w:color="CCEEFF"/>
            </w:tcBorders>
            <w:gridSpan w:val="2"/>
          </w:tcPr>
          <w:p>
            <w:pPr>
              <w:ind w:left="180"/>
              <w:spacing w:after="0"/>
              <w:rPr>
                <w:sz w:val="20"/>
                <w:szCs w:val="20"/>
                <w:color w:val="auto"/>
              </w:rPr>
            </w:pPr>
            <w:r>
              <w:rPr>
                <w:rFonts w:ascii="Arial" w:cs="Arial" w:eastAsia="Arial" w:hAnsi="Arial"/>
                <w:sz w:val="15"/>
                <w:szCs w:val="15"/>
                <w:color w:val="auto"/>
              </w:rPr>
              <w:t>Change in foreign currency translation adjustments</w:t>
            </w:r>
          </w:p>
        </w:tc>
        <w:tc>
          <w:tcPr>
            <w:tcW w:w="2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1,235</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4,848</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(3,342)</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5,924</w:t>
            </w:r>
          </w:p>
        </w:tc>
        <w:tc>
          <w:tcPr>
            <w:tcW w:w="0" w:type="dxa"/>
            <w:vAlign w:val="bottom"/>
          </w:tcPr>
          <w:p>
            <w:pPr>
              <w:spacing w:after="0"/>
              <w:rPr>
                <w:sz w:val="1"/>
                <w:szCs w:val="1"/>
                <w:color w:val="auto"/>
              </w:rPr>
            </w:pPr>
          </w:p>
        </w:tc>
      </w:tr>
      <w:tr>
        <w:trPr>
          <w:trHeight w:val="250"/>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Other comprehensive income (loss)</w:t>
            </w: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1,238</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4,848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(3,339)</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5,925</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tcPr>
          <w:p>
            <w:pPr>
              <w:ind w:left="180"/>
              <w:spacing w:after="0"/>
              <w:rPr>
                <w:sz w:val="20"/>
                <w:szCs w:val="20"/>
                <w:color w:val="auto"/>
              </w:rPr>
            </w:pPr>
            <w:r>
              <w:rPr>
                <w:rFonts w:ascii="Arial" w:cs="Arial" w:eastAsia="Arial" w:hAnsi="Arial"/>
                <w:sz w:val="15"/>
                <w:szCs w:val="15"/>
                <w:color w:val="auto"/>
              </w:rPr>
              <w:t>Comprehensive loss</w:t>
            </w: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(125,216)</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(240,797)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(458,739)</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(523,853)</w:t>
            </w:r>
          </w:p>
        </w:tc>
        <w:tc>
          <w:tcPr>
            <w:tcW w:w="0" w:type="dxa"/>
            <w:vAlign w:val="bottom"/>
          </w:tcPr>
          <w:p>
            <w:pPr>
              <w:spacing w:after="0"/>
              <w:rPr>
                <w:sz w:val="1"/>
                <w:szCs w:val="1"/>
                <w:color w:val="auto"/>
              </w:rPr>
            </w:pPr>
          </w:p>
        </w:tc>
      </w:tr>
      <w:tr>
        <w:trPr>
          <w:trHeight w:val="119"/>
        </w:trPr>
        <w:tc>
          <w:tcPr>
            <w:tcW w:w="50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26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12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36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306070</wp:posOffset>
            </wp:positionV>
            <wp:extent cx="222885"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8380"/>
        <w:spacing w:after="0"/>
        <w:tabs>
          <w:tab w:leader="none" w:pos="1118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FY2019 Form 10-Q</w:t>
      </w:r>
      <w:r>
        <w:rPr>
          <w:sz w:val="20"/>
          <w:szCs w:val="20"/>
          <w:color w:val="auto"/>
        </w:rPr>
        <w:tab/>
      </w:r>
      <w:r>
        <w:rPr>
          <w:rFonts w:ascii="Arial" w:cs="Arial" w:eastAsia="Arial" w:hAnsi="Arial"/>
          <w:sz w:val="14"/>
          <w:szCs w:val="14"/>
          <w:color w:val="FFFFFF"/>
          <w:highlight w:val="black"/>
        </w:rPr>
        <w:t>1</w:t>
      </w:r>
    </w:p>
    <w:p>
      <w:pPr>
        <w:sectPr>
          <w:pgSz w:w="11900" w:h="16838" w:orient="portrait"/>
          <w:cols w:equalWidth="0" w:num="1">
            <w:col w:w="11420"/>
          </w:cols>
          <w:pgMar w:left="240" w:top="249"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60" w:type="dxa"/>
            <w:vAlign w:val="bottom"/>
            <w:gridSpan w:val="2"/>
            <w:vMerge w:val="restart"/>
          </w:tcPr>
          <w:p>
            <w:pPr>
              <w:ind w:left="40"/>
              <w:spacing w:after="0"/>
              <w:rPr>
                <w:sz w:val="20"/>
                <w:szCs w:val="20"/>
                <w:color w:val="auto"/>
              </w:rPr>
            </w:pPr>
            <w:r>
              <w:rPr>
                <w:rFonts w:ascii="Arial" w:cs="Arial" w:eastAsia="Arial" w:hAnsi="Arial"/>
                <w:sz w:val="25"/>
                <w:szCs w:val="25"/>
                <w:b w:val="1"/>
                <w:bCs w:val="1"/>
                <w:color w:val="auto"/>
              </w:rPr>
              <w:t>CONSOLIDATED BALANCE SHEETS</w:t>
            </w: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80" w:type="dxa"/>
            <w:vAlign w:val="bottom"/>
            <w:gridSpan w:val="4"/>
          </w:tcPr>
          <w:p>
            <w:pPr>
              <w:jc w:val="right"/>
              <w:ind w:right="63"/>
              <w:spacing w:after="0"/>
              <w:rPr>
                <w:sz w:val="20"/>
                <w:szCs w:val="20"/>
                <w:color w:val="auto"/>
              </w:rPr>
            </w:pPr>
            <w:r>
              <w:rPr>
                <w:rFonts w:ascii="Arial" w:cs="Arial" w:eastAsia="Arial" w:hAnsi="Arial"/>
                <w:sz w:val="14"/>
                <w:szCs w:val="14"/>
                <w:color w:val="auto"/>
              </w:rPr>
              <w:t>(unaudited, in 000s, except</w:t>
            </w:r>
          </w:p>
        </w:tc>
        <w:tc>
          <w:tcPr>
            <w:tcW w:w="0" w:type="dxa"/>
            <w:vAlign w:val="bottom"/>
          </w:tcPr>
          <w:p>
            <w:pPr>
              <w:spacing w:after="0"/>
              <w:rPr>
                <w:sz w:val="1"/>
                <w:szCs w:val="1"/>
                <w:color w:val="auto"/>
              </w:rPr>
            </w:pPr>
          </w:p>
        </w:tc>
      </w:tr>
      <w:tr>
        <w:trPr>
          <w:trHeight w:val="178"/>
        </w:trPr>
        <w:tc>
          <w:tcPr>
            <w:tcW w:w="5960" w:type="dxa"/>
            <w:vAlign w:val="bottom"/>
            <w:tcBorders>
              <w:bottom w:val="single" w:sz="8" w:color="auto"/>
            </w:tcBorders>
            <w:gridSpan w:val="2"/>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4"/>
          </w:tcPr>
          <w:p>
            <w:pPr>
              <w:jc w:val="right"/>
              <w:ind w:right="23"/>
              <w:spacing w:after="0"/>
              <w:rPr>
                <w:sz w:val="20"/>
                <w:szCs w:val="20"/>
                <w:color w:val="auto"/>
              </w:rPr>
            </w:pPr>
            <w:r>
              <w:rPr>
                <w:rFonts w:ascii="Arial" w:cs="Arial" w:eastAsia="Arial" w:hAnsi="Arial"/>
                <w:sz w:val="14"/>
                <w:szCs w:val="14"/>
                <w:color w:val="auto"/>
              </w:rPr>
              <w:t>share and per share amounts)</w:t>
            </w:r>
          </w:p>
        </w:tc>
        <w:tc>
          <w:tcPr>
            <w:tcW w:w="0" w:type="dxa"/>
            <w:vAlign w:val="bottom"/>
          </w:tcPr>
          <w:p>
            <w:pPr>
              <w:spacing w:after="0"/>
              <w:rPr>
                <w:sz w:val="1"/>
                <w:szCs w:val="1"/>
                <w:color w:val="auto"/>
              </w:rPr>
            </w:pPr>
          </w:p>
        </w:tc>
      </w:tr>
      <w:tr>
        <w:trPr>
          <w:trHeight w:val="263"/>
        </w:trPr>
        <w:tc>
          <w:tcPr>
            <w:tcW w:w="5960" w:type="dxa"/>
            <w:vAlign w:val="bottom"/>
            <w:gridSpan w:val="2"/>
          </w:tcPr>
          <w:p>
            <w:pPr>
              <w:ind w:left="40"/>
              <w:spacing w:after="0"/>
              <w:rPr>
                <w:sz w:val="20"/>
                <w:szCs w:val="20"/>
                <w:color w:val="auto"/>
              </w:rPr>
            </w:pPr>
            <w:r>
              <w:rPr>
                <w:rFonts w:ascii="Arial" w:cs="Arial" w:eastAsia="Arial" w:hAnsi="Arial"/>
                <w:sz w:val="16"/>
                <w:szCs w:val="16"/>
                <w:color w:val="auto"/>
              </w:rPr>
              <w:t>As of</w:t>
            </w:r>
          </w:p>
        </w:tc>
        <w:tc>
          <w:tcPr>
            <w:tcW w:w="260" w:type="dxa"/>
            <w:vAlign w:val="bottom"/>
          </w:tcPr>
          <w:p>
            <w:pPr>
              <w:spacing w:after="0"/>
              <w:rPr>
                <w:sz w:val="22"/>
                <w:szCs w:val="22"/>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January 31, 2019</w:t>
            </w:r>
          </w:p>
        </w:tc>
        <w:tc>
          <w:tcPr>
            <w:tcW w:w="240" w:type="dxa"/>
            <w:vAlign w:val="bottom"/>
          </w:tcPr>
          <w:p>
            <w:pPr>
              <w:spacing w:after="0"/>
              <w:rPr>
                <w:sz w:val="22"/>
                <w:szCs w:val="22"/>
                <w:color w:val="auto"/>
              </w:rPr>
            </w:pPr>
          </w:p>
        </w:tc>
        <w:tc>
          <w:tcPr>
            <w:tcW w:w="1580" w:type="dxa"/>
            <w:vAlign w:val="bottom"/>
            <w:gridSpan w:val="2"/>
          </w:tcPr>
          <w:p>
            <w:pPr>
              <w:ind w:left="100"/>
              <w:spacing w:after="0"/>
              <w:rPr>
                <w:sz w:val="20"/>
                <w:szCs w:val="20"/>
                <w:color w:val="auto"/>
              </w:rPr>
            </w:pPr>
            <w:r>
              <w:rPr>
                <w:rFonts w:ascii="Arial" w:cs="Arial" w:eastAsia="Arial" w:hAnsi="Arial"/>
                <w:sz w:val="16"/>
                <w:szCs w:val="16"/>
                <w:color w:val="auto"/>
              </w:rPr>
              <w:t>January 31, 2018</w:t>
            </w:r>
          </w:p>
        </w:tc>
        <w:tc>
          <w:tcPr>
            <w:tcW w:w="360" w:type="dxa"/>
            <w:vAlign w:val="bottom"/>
          </w:tcPr>
          <w:p>
            <w:pPr>
              <w:spacing w:after="0"/>
              <w:rPr>
                <w:sz w:val="22"/>
                <w:szCs w:val="22"/>
                <w:color w:val="auto"/>
              </w:rPr>
            </w:pP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April 30, 2018</w:t>
            </w:r>
          </w:p>
        </w:tc>
        <w:tc>
          <w:tcPr>
            <w:tcW w:w="0" w:type="dxa"/>
            <w:vAlign w:val="bottom"/>
          </w:tcPr>
          <w:p>
            <w:pPr>
              <w:spacing w:after="0"/>
              <w:rPr>
                <w:sz w:val="1"/>
                <w:szCs w:val="1"/>
                <w:color w:val="auto"/>
              </w:rPr>
            </w:pPr>
          </w:p>
        </w:tc>
      </w:tr>
      <w:tr>
        <w:trPr>
          <w:trHeight w:val="270"/>
        </w:trPr>
        <w:tc>
          <w:tcPr>
            <w:tcW w:w="58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5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960" w:type="dxa"/>
            <w:vAlign w:val="bottom"/>
            <w:gridSpan w:val="2"/>
          </w:tcPr>
          <w:p>
            <w:pPr>
              <w:jc w:val="right"/>
              <w:ind w:right="2740"/>
              <w:spacing w:after="0"/>
              <w:rPr>
                <w:sz w:val="20"/>
                <w:szCs w:val="20"/>
                <w:color w:val="auto"/>
              </w:rPr>
            </w:pPr>
            <w:r>
              <w:rPr>
                <w:rFonts w:ascii="Arial" w:cs="Arial" w:eastAsia="Arial" w:hAnsi="Arial"/>
                <w:sz w:val="15"/>
                <w:szCs w:val="15"/>
                <w:b w:val="1"/>
                <w:bCs w:val="1"/>
                <w:color w:val="auto"/>
              </w:rPr>
              <w:t>ASSETS</w:t>
            </w:r>
          </w:p>
        </w:tc>
        <w:tc>
          <w:tcPr>
            <w:tcW w:w="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Cash and cash equivalents</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5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203,226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4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187,366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1,544,944</w:t>
            </w:r>
          </w:p>
        </w:tc>
        <w:tc>
          <w:tcPr>
            <w:tcW w:w="0" w:type="dxa"/>
            <w:vAlign w:val="bottom"/>
          </w:tcPr>
          <w:p>
            <w:pPr>
              <w:spacing w:after="0"/>
              <w:rPr>
                <w:sz w:val="1"/>
                <w:szCs w:val="1"/>
                <w:color w:val="auto"/>
              </w:rPr>
            </w:pPr>
          </w:p>
        </w:tc>
      </w:tr>
      <w:tr>
        <w:trPr>
          <w:trHeight w:val="266"/>
        </w:trPr>
        <w:tc>
          <w:tcPr>
            <w:tcW w:w="5960" w:type="dxa"/>
            <w:vAlign w:val="bottom"/>
            <w:gridSpan w:val="2"/>
          </w:tcPr>
          <w:p>
            <w:pPr>
              <w:ind w:left="180"/>
              <w:spacing w:after="0"/>
              <w:rPr>
                <w:sz w:val="20"/>
                <w:szCs w:val="20"/>
                <w:color w:val="auto"/>
              </w:rPr>
            </w:pPr>
            <w:r>
              <w:rPr>
                <w:rFonts w:ascii="Arial" w:cs="Arial" w:eastAsia="Arial" w:hAnsi="Arial"/>
                <w:sz w:val="15"/>
                <w:szCs w:val="15"/>
                <w:color w:val="auto"/>
              </w:rPr>
              <w:t>Cash and cash equivalents - restricted</w:t>
            </w:r>
          </w:p>
        </w:tc>
        <w:tc>
          <w:tcPr>
            <w:tcW w:w="260" w:type="dxa"/>
            <w:vAlign w:val="bottom"/>
          </w:tcPr>
          <w:p>
            <w:pPr>
              <w:spacing w:after="0"/>
              <w:rPr>
                <w:sz w:val="23"/>
                <w:szCs w:val="23"/>
                <w:color w:val="auto"/>
              </w:rPr>
            </w:pPr>
          </w:p>
        </w:tc>
        <w:tc>
          <w:tcPr>
            <w:tcW w:w="1580" w:type="dxa"/>
            <w:vAlign w:val="bottom"/>
          </w:tcPr>
          <w:p>
            <w:pPr>
              <w:jc w:val="right"/>
              <w:ind w:right="23"/>
              <w:spacing w:after="0"/>
              <w:rPr>
                <w:sz w:val="20"/>
                <w:szCs w:val="20"/>
                <w:color w:val="auto"/>
              </w:rPr>
            </w:pPr>
            <w:r>
              <w:rPr>
                <w:rFonts w:ascii="Arial" w:cs="Arial" w:eastAsia="Arial" w:hAnsi="Arial"/>
                <w:sz w:val="15"/>
                <w:szCs w:val="15"/>
                <w:b w:val="1"/>
                <w:bCs w:val="1"/>
                <w:color w:val="auto"/>
              </w:rPr>
              <w:t>101,903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jc w:val="right"/>
              <w:ind w:right="44"/>
              <w:spacing w:after="0"/>
              <w:rPr>
                <w:sz w:val="20"/>
                <w:szCs w:val="20"/>
                <w:color w:val="auto"/>
              </w:rPr>
            </w:pPr>
            <w:r>
              <w:rPr>
                <w:rFonts w:ascii="Arial" w:cs="Arial" w:eastAsia="Arial" w:hAnsi="Arial"/>
                <w:sz w:val="15"/>
                <w:szCs w:val="15"/>
                <w:color w:val="auto"/>
              </w:rPr>
              <w:t>83,033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118,734</w:t>
            </w:r>
          </w:p>
        </w:tc>
        <w:tc>
          <w:tcPr>
            <w:tcW w:w="0" w:type="dxa"/>
            <w:vAlign w:val="bottom"/>
          </w:tcPr>
          <w:p>
            <w:pPr>
              <w:spacing w:after="0"/>
              <w:rPr>
                <w:sz w:val="1"/>
                <w:szCs w:val="1"/>
                <w:color w:val="auto"/>
              </w:rPr>
            </w:pPr>
          </w:p>
        </w:tc>
      </w:tr>
      <w:tr>
        <w:trPr>
          <w:trHeight w:val="190"/>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Receivables, less allowance for doubtful accounts of $44,033, $45,215 and</w:t>
            </w:r>
          </w:p>
        </w:tc>
        <w:tc>
          <w:tcPr>
            <w:tcW w:w="260" w:type="dxa"/>
            <w:vAlign w:val="bottom"/>
            <w:shd w:val="clear" w:color="auto" w:fill="CCEEFF"/>
          </w:tcPr>
          <w:p>
            <w:pPr>
              <w:spacing w:after="0"/>
              <w:rPr>
                <w:sz w:val="16"/>
                <w:szCs w:val="16"/>
                <w:color w:val="auto"/>
              </w:rPr>
            </w:pPr>
          </w:p>
        </w:tc>
        <w:tc>
          <w:tcPr>
            <w:tcW w:w="15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758,217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$81,813</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791,618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146,774</w:t>
            </w:r>
          </w:p>
        </w:tc>
        <w:tc>
          <w:tcPr>
            <w:tcW w:w="0" w:type="dxa"/>
            <w:vAlign w:val="bottom"/>
          </w:tcPr>
          <w:p>
            <w:pPr>
              <w:spacing w:after="0"/>
              <w:rPr>
                <w:sz w:val="1"/>
                <w:szCs w:val="1"/>
                <w:color w:val="auto"/>
              </w:rPr>
            </w:pPr>
          </w:p>
        </w:tc>
      </w:tr>
      <w:tr>
        <w:trPr>
          <w:trHeight w:val="266"/>
        </w:trPr>
        <w:tc>
          <w:tcPr>
            <w:tcW w:w="5960" w:type="dxa"/>
            <w:vAlign w:val="bottom"/>
            <w:gridSpan w:val="2"/>
          </w:tcPr>
          <w:p>
            <w:pPr>
              <w:ind w:left="180"/>
              <w:spacing w:after="0"/>
              <w:rPr>
                <w:sz w:val="20"/>
                <w:szCs w:val="20"/>
                <w:color w:val="auto"/>
              </w:rPr>
            </w:pPr>
            <w:r>
              <w:rPr>
                <w:rFonts w:ascii="Arial" w:cs="Arial" w:eastAsia="Arial" w:hAnsi="Arial"/>
                <w:sz w:val="15"/>
                <w:szCs w:val="15"/>
                <w:color w:val="auto"/>
              </w:rPr>
              <w:t>Income taxes receivable</w:t>
            </w:r>
          </w:p>
        </w:tc>
        <w:tc>
          <w:tcPr>
            <w:tcW w:w="260" w:type="dxa"/>
            <w:vAlign w:val="bottom"/>
          </w:tcPr>
          <w:p>
            <w:pPr>
              <w:spacing w:after="0"/>
              <w:rPr>
                <w:sz w:val="23"/>
                <w:szCs w:val="23"/>
                <w:color w:val="auto"/>
              </w:rPr>
            </w:pPr>
          </w:p>
        </w:tc>
        <w:tc>
          <w:tcPr>
            <w:tcW w:w="1580" w:type="dxa"/>
            <w:vAlign w:val="bottom"/>
          </w:tcPr>
          <w:p>
            <w:pPr>
              <w:jc w:val="right"/>
              <w:ind w:right="23"/>
              <w:spacing w:after="0"/>
              <w:rPr>
                <w:sz w:val="20"/>
                <w:szCs w:val="20"/>
                <w:color w:val="auto"/>
              </w:rPr>
            </w:pPr>
            <w:r>
              <w:rPr>
                <w:rFonts w:ascii="Arial" w:cs="Arial" w:eastAsia="Arial" w:hAnsi="Arial"/>
                <w:sz w:val="15"/>
                <w:szCs w:val="15"/>
                <w:b w:val="1"/>
                <w:bCs w:val="1"/>
                <w:color w:val="auto"/>
              </w:rPr>
              <w:t>36,486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jc w:val="right"/>
              <w:ind w:right="44"/>
              <w:spacing w:after="0"/>
              <w:rPr>
                <w:sz w:val="20"/>
                <w:szCs w:val="20"/>
                <w:color w:val="auto"/>
              </w:rPr>
            </w:pPr>
            <w:r>
              <w:rPr>
                <w:rFonts w:ascii="Arial" w:cs="Arial" w:eastAsia="Arial" w:hAnsi="Arial"/>
                <w:sz w:val="15"/>
                <w:szCs w:val="15"/>
                <w:color w:val="auto"/>
              </w:rPr>
              <w:t>72,775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12,310</w:t>
            </w:r>
          </w:p>
        </w:tc>
        <w:tc>
          <w:tcPr>
            <w:tcW w:w="0" w:type="dxa"/>
            <w:vAlign w:val="bottom"/>
          </w:tcPr>
          <w:p>
            <w:pPr>
              <w:spacing w:after="0"/>
              <w:rPr>
                <w:sz w:val="1"/>
                <w:szCs w:val="1"/>
                <w:color w:val="auto"/>
              </w:rPr>
            </w:pPr>
          </w:p>
        </w:tc>
      </w:tr>
      <w:tr>
        <w:trPr>
          <w:trHeight w:val="270"/>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Prepaid expenses and other current assets</w:t>
            </w:r>
          </w:p>
        </w:tc>
        <w:tc>
          <w:tcPr>
            <w:tcW w:w="26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134,820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149,349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68,951</w:t>
            </w:r>
          </w:p>
        </w:tc>
        <w:tc>
          <w:tcPr>
            <w:tcW w:w="0" w:type="dxa"/>
            <w:vAlign w:val="bottom"/>
          </w:tcPr>
          <w:p>
            <w:pPr>
              <w:spacing w:after="0"/>
              <w:rPr>
                <w:sz w:val="1"/>
                <w:szCs w:val="1"/>
                <w:color w:val="auto"/>
              </w:rPr>
            </w:pPr>
          </w:p>
        </w:tc>
      </w:tr>
      <w:tr>
        <w:trPr>
          <w:trHeight w:val="250"/>
        </w:trPr>
        <w:tc>
          <w:tcPr>
            <w:tcW w:w="5960" w:type="dxa"/>
            <w:vAlign w:val="bottom"/>
            <w:gridSpan w:val="2"/>
          </w:tcPr>
          <w:p>
            <w:pPr>
              <w:ind w:left="380"/>
              <w:spacing w:after="0"/>
              <w:rPr>
                <w:sz w:val="20"/>
                <w:szCs w:val="20"/>
                <w:color w:val="auto"/>
              </w:rPr>
            </w:pPr>
            <w:r>
              <w:rPr>
                <w:rFonts w:ascii="Arial" w:cs="Arial" w:eastAsia="Arial" w:hAnsi="Arial"/>
                <w:sz w:val="15"/>
                <w:szCs w:val="15"/>
                <w:color w:val="auto"/>
              </w:rPr>
              <w:t>Total current assets</w:t>
            </w:r>
          </w:p>
        </w:tc>
        <w:tc>
          <w:tcPr>
            <w:tcW w:w="260" w:type="dxa"/>
            <w:vAlign w:val="bottom"/>
          </w:tcPr>
          <w:p>
            <w:pPr>
              <w:spacing w:after="0"/>
              <w:rPr>
                <w:sz w:val="21"/>
                <w:szCs w:val="21"/>
                <w:color w:val="auto"/>
              </w:rPr>
            </w:pPr>
          </w:p>
        </w:tc>
        <w:tc>
          <w:tcPr>
            <w:tcW w:w="1580" w:type="dxa"/>
            <w:vAlign w:val="bottom"/>
          </w:tcPr>
          <w:p>
            <w:pPr>
              <w:jc w:val="right"/>
              <w:ind w:right="23"/>
              <w:spacing w:after="0"/>
              <w:rPr>
                <w:sz w:val="20"/>
                <w:szCs w:val="20"/>
                <w:color w:val="auto"/>
              </w:rPr>
            </w:pPr>
            <w:r>
              <w:rPr>
                <w:rFonts w:ascii="Arial" w:cs="Arial" w:eastAsia="Arial" w:hAnsi="Arial"/>
                <w:sz w:val="15"/>
                <w:szCs w:val="15"/>
                <w:b w:val="1"/>
                <w:bCs w:val="1"/>
                <w:color w:val="auto"/>
              </w:rPr>
              <w:t>1,234,652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44"/>
              <w:spacing w:after="0"/>
              <w:rPr>
                <w:sz w:val="20"/>
                <w:szCs w:val="20"/>
                <w:color w:val="auto"/>
              </w:rPr>
            </w:pPr>
            <w:r>
              <w:rPr>
                <w:rFonts w:ascii="Arial" w:cs="Arial" w:eastAsia="Arial" w:hAnsi="Arial"/>
                <w:sz w:val="15"/>
                <w:szCs w:val="15"/>
                <w:color w:val="auto"/>
              </w:rPr>
              <w:t>1,284,141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1,891,713</w:t>
            </w:r>
          </w:p>
        </w:tc>
        <w:tc>
          <w:tcPr>
            <w:tcW w:w="0" w:type="dxa"/>
            <w:vAlign w:val="bottom"/>
          </w:tcPr>
          <w:p>
            <w:pPr>
              <w:spacing w:after="0"/>
              <w:rPr>
                <w:sz w:val="1"/>
                <w:szCs w:val="1"/>
                <w:color w:val="auto"/>
              </w:rPr>
            </w:pPr>
          </w:p>
        </w:tc>
      </w:tr>
      <w:tr>
        <w:trPr>
          <w:trHeight w:val="190"/>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Property and equipment, at cost, less accumulated depreciation and amortization</w:t>
            </w:r>
          </w:p>
        </w:tc>
        <w:tc>
          <w:tcPr>
            <w:tcW w:w="260" w:type="dxa"/>
            <w:vAlign w:val="bottom"/>
            <w:shd w:val="clear" w:color="auto" w:fill="CCEEFF"/>
          </w:tcPr>
          <w:p>
            <w:pPr>
              <w:spacing w:after="0"/>
              <w:rPr>
                <w:sz w:val="16"/>
                <w:szCs w:val="16"/>
                <w:color w:val="auto"/>
              </w:rPr>
            </w:pPr>
          </w:p>
        </w:tc>
        <w:tc>
          <w:tcPr>
            <w:tcW w:w="15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220,505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96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of $800,834, $757,809 and $745,397</w:t>
            </w:r>
          </w:p>
        </w:tc>
        <w:tc>
          <w:tcPr>
            <w:tcW w:w="260" w:type="dxa"/>
            <w:vAlign w:val="bottom"/>
            <w:shd w:val="clear" w:color="auto" w:fill="CCEEFF"/>
          </w:tcPr>
          <w:p>
            <w:pPr>
              <w:spacing w:after="0"/>
              <w:rPr>
                <w:sz w:val="16"/>
                <w:szCs w:val="16"/>
                <w:color w:val="auto"/>
              </w:rPr>
            </w:pPr>
          </w:p>
        </w:tc>
        <w:tc>
          <w:tcPr>
            <w:tcW w:w="1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249,911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231,888</w:t>
            </w:r>
          </w:p>
        </w:tc>
        <w:tc>
          <w:tcPr>
            <w:tcW w:w="0" w:type="dxa"/>
            <w:vAlign w:val="bottom"/>
          </w:tcPr>
          <w:p>
            <w:pPr>
              <w:spacing w:after="0"/>
              <w:rPr>
                <w:sz w:val="1"/>
                <w:szCs w:val="1"/>
                <w:color w:val="auto"/>
              </w:rPr>
            </w:pPr>
          </w:p>
        </w:tc>
      </w:tr>
      <w:tr>
        <w:trPr>
          <w:trHeight w:val="266"/>
        </w:trPr>
        <w:tc>
          <w:tcPr>
            <w:tcW w:w="5960" w:type="dxa"/>
            <w:vAlign w:val="bottom"/>
            <w:gridSpan w:val="2"/>
          </w:tcPr>
          <w:p>
            <w:pPr>
              <w:ind w:left="180"/>
              <w:spacing w:after="0"/>
              <w:rPr>
                <w:sz w:val="20"/>
                <w:szCs w:val="20"/>
                <w:color w:val="auto"/>
              </w:rPr>
            </w:pPr>
            <w:r>
              <w:rPr>
                <w:rFonts w:ascii="Arial" w:cs="Arial" w:eastAsia="Arial" w:hAnsi="Arial"/>
                <w:sz w:val="15"/>
                <w:szCs w:val="15"/>
                <w:color w:val="auto"/>
              </w:rPr>
              <w:t>Intangible assets, net</w:t>
            </w:r>
          </w:p>
        </w:tc>
        <w:tc>
          <w:tcPr>
            <w:tcW w:w="260" w:type="dxa"/>
            <w:vAlign w:val="bottom"/>
          </w:tcPr>
          <w:p>
            <w:pPr>
              <w:spacing w:after="0"/>
              <w:rPr>
                <w:sz w:val="23"/>
                <w:szCs w:val="23"/>
                <w:color w:val="auto"/>
              </w:rPr>
            </w:pPr>
          </w:p>
        </w:tc>
        <w:tc>
          <w:tcPr>
            <w:tcW w:w="1580" w:type="dxa"/>
            <w:vAlign w:val="bottom"/>
          </w:tcPr>
          <w:p>
            <w:pPr>
              <w:jc w:val="right"/>
              <w:ind w:right="23"/>
              <w:spacing w:after="0"/>
              <w:rPr>
                <w:sz w:val="20"/>
                <w:szCs w:val="20"/>
                <w:color w:val="auto"/>
              </w:rPr>
            </w:pPr>
            <w:r>
              <w:rPr>
                <w:rFonts w:ascii="Arial" w:cs="Arial" w:eastAsia="Arial" w:hAnsi="Arial"/>
                <w:sz w:val="15"/>
                <w:szCs w:val="15"/>
                <w:b w:val="1"/>
                <w:bCs w:val="1"/>
                <w:color w:val="auto"/>
              </w:rPr>
              <w:t>356,952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jc w:val="right"/>
              <w:ind w:right="44"/>
              <w:spacing w:after="0"/>
              <w:rPr>
                <w:sz w:val="20"/>
                <w:szCs w:val="20"/>
                <w:color w:val="auto"/>
              </w:rPr>
            </w:pPr>
            <w:r>
              <w:rPr>
                <w:rFonts w:ascii="Arial" w:cs="Arial" w:eastAsia="Arial" w:hAnsi="Arial"/>
                <w:sz w:val="15"/>
                <w:szCs w:val="15"/>
                <w:color w:val="auto"/>
              </w:rPr>
              <w:t>390,993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373,981</w:t>
            </w:r>
          </w:p>
        </w:tc>
        <w:tc>
          <w:tcPr>
            <w:tcW w:w="0" w:type="dxa"/>
            <w:vAlign w:val="bottom"/>
          </w:tcPr>
          <w:p>
            <w:pPr>
              <w:spacing w:after="0"/>
              <w:rPr>
                <w:sz w:val="1"/>
                <w:szCs w:val="1"/>
                <w:color w:val="auto"/>
              </w:rPr>
            </w:pPr>
          </w:p>
        </w:tc>
      </w:tr>
      <w:tr>
        <w:trPr>
          <w:trHeight w:val="274"/>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Goodwill</w:t>
            </w:r>
          </w:p>
        </w:tc>
        <w:tc>
          <w:tcPr>
            <w:tcW w:w="26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520,005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504,789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507,871</w:t>
            </w:r>
          </w:p>
        </w:tc>
        <w:tc>
          <w:tcPr>
            <w:tcW w:w="0" w:type="dxa"/>
            <w:vAlign w:val="bottom"/>
          </w:tcPr>
          <w:p>
            <w:pPr>
              <w:spacing w:after="0"/>
              <w:rPr>
                <w:sz w:val="1"/>
                <w:szCs w:val="1"/>
                <w:color w:val="auto"/>
              </w:rPr>
            </w:pPr>
          </w:p>
        </w:tc>
      </w:tr>
      <w:tr>
        <w:trPr>
          <w:trHeight w:val="266"/>
        </w:trPr>
        <w:tc>
          <w:tcPr>
            <w:tcW w:w="5960" w:type="dxa"/>
            <w:vAlign w:val="bottom"/>
            <w:gridSpan w:val="2"/>
          </w:tcPr>
          <w:p>
            <w:pPr>
              <w:ind w:left="180"/>
              <w:spacing w:after="0"/>
              <w:rPr>
                <w:sz w:val="20"/>
                <w:szCs w:val="20"/>
                <w:color w:val="auto"/>
              </w:rPr>
            </w:pPr>
            <w:r>
              <w:rPr>
                <w:rFonts w:ascii="Arial" w:cs="Arial" w:eastAsia="Arial" w:hAnsi="Arial"/>
                <w:sz w:val="15"/>
                <w:szCs w:val="15"/>
                <w:color w:val="auto"/>
              </w:rPr>
              <w:t>Deferred tax assets and income taxes receivable</w:t>
            </w:r>
          </w:p>
        </w:tc>
        <w:tc>
          <w:tcPr>
            <w:tcW w:w="260" w:type="dxa"/>
            <w:vAlign w:val="bottom"/>
          </w:tcPr>
          <w:p>
            <w:pPr>
              <w:spacing w:after="0"/>
              <w:rPr>
                <w:sz w:val="23"/>
                <w:szCs w:val="23"/>
                <w:color w:val="auto"/>
              </w:rPr>
            </w:pPr>
          </w:p>
        </w:tc>
        <w:tc>
          <w:tcPr>
            <w:tcW w:w="1580" w:type="dxa"/>
            <w:vAlign w:val="bottom"/>
          </w:tcPr>
          <w:p>
            <w:pPr>
              <w:jc w:val="right"/>
              <w:ind w:right="23"/>
              <w:spacing w:after="0"/>
              <w:rPr>
                <w:sz w:val="20"/>
                <w:szCs w:val="20"/>
                <w:color w:val="auto"/>
              </w:rPr>
            </w:pPr>
            <w:r>
              <w:rPr>
                <w:rFonts w:ascii="Arial" w:cs="Arial" w:eastAsia="Arial" w:hAnsi="Arial"/>
                <w:sz w:val="15"/>
                <w:szCs w:val="15"/>
                <w:b w:val="1"/>
                <w:bCs w:val="1"/>
                <w:color w:val="auto"/>
              </w:rPr>
              <w:t>141,366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jc w:val="right"/>
              <w:ind w:right="44"/>
              <w:spacing w:after="0"/>
              <w:rPr>
                <w:sz w:val="20"/>
                <w:szCs w:val="20"/>
                <w:color w:val="auto"/>
              </w:rPr>
            </w:pPr>
            <w:r>
              <w:rPr>
                <w:rFonts w:ascii="Arial" w:cs="Arial" w:eastAsia="Arial" w:hAnsi="Arial"/>
                <w:sz w:val="15"/>
                <w:szCs w:val="15"/>
                <w:color w:val="auto"/>
              </w:rPr>
              <w:t>25,305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34,095</w:t>
            </w:r>
          </w:p>
        </w:tc>
        <w:tc>
          <w:tcPr>
            <w:tcW w:w="0" w:type="dxa"/>
            <w:vAlign w:val="bottom"/>
          </w:tcPr>
          <w:p>
            <w:pPr>
              <w:spacing w:after="0"/>
              <w:rPr>
                <w:sz w:val="1"/>
                <w:szCs w:val="1"/>
                <w:color w:val="auto"/>
              </w:rPr>
            </w:pPr>
          </w:p>
        </w:tc>
      </w:tr>
      <w:tr>
        <w:trPr>
          <w:trHeight w:val="270"/>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Other noncurrent assets</w:t>
            </w:r>
          </w:p>
        </w:tc>
        <w:tc>
          <w:tcPr>
            <w:tcW w:w="26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95,326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106,161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101,401</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2"/>
          </w:tcPr>
          <w:p>
            <w:pPr>
              <w:ind w:left="380"/>
              <w:spacing w:after="0"/>
              <w:rPr>
                <w:sz w:val="20"/>
                <w:szCs w:val="20"/>
                <w:color w:val="auto"/>
              </w:rPr>
            </w:pPr>
            <w:r>
              <w:rPr>
                <w:rFonts w:ascii="Arial" w:cs="Arial" w:eastAsia="Arial" w:hAnsi="Arial"/>
                <w:sz w:val="15"/>
                <w:szCs w:val="15"/>
                <w:color w:val="auto"/>
              </w:rPr>
              <w:t>Total assets</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5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2,568,806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4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2,561,300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3,140,949</w:t>
            </w:r>
          </w:p>
        </w:tc>
        <w:tc>
          <w:tcPr>
            <w:tcW w:w="0" w:type="dxa"/>
            <w:vAlign w:val="bottom"/>
          </w:tcPr>
          <w:p>
            <w:pPr>
              <w:spacing w:after="0"/>
              <w:rPr>
                <w:sz w:val="1"/>
                <w:szCs w:val="1"/>
                <w:color w:val="auto"/>
              </w:rPr>
            </w:pPr>
          </w:p>
        </w:tc>
      </w:tr>
      <w:tr>
        <w:trPr>
          <w:trHeight w:val="268"/>
        </w:trPr>
        <w:tc>
          <w:tcPr>
            <w:tcW w:w="5960" w:type="dxa"/>
            <w:vAlign w:val="bottom"/>
            <w:gridSpan w:val="2"/>
            <w:shd w:val="clear" w:color="auto" w:fill="CCEEFF"/>
          </w:tcPr>
          <w:p>
            <w:pPr>
              <w:ind w:left="1300"/>
              <w:spacing w:after="0"/>
              <w:rPr>
                <w:sz w:val="20"/>
                <w:szCs w:val="20"/>
                <w:color w:val="auto"/>
              </w:rPr>
            </w:pPr>
            <w:r>
              <w:rPr>
                <w:rFonts w:ascii="Arial" w:cs="Arial" w:eastAsia="Arial" w:hAnsi="Arial"/>
                <w:sz w:val="15"/>
                <w:szCs w:val="15"/>
                <w:b w:val="1"/>
                <w:bCs w:val="1"/>
                <w:color w:val="auto"/>
              </w:rPr>
              <w:t>LIABILITIES AND STOCKHOLDERS' EQUITY</w:t>
            </w:r>
          </w:p>
        </w:tc>
        <w:tc>
          <w:tcPr>
            <w:tcW w:w="26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960" w:type="dxa"/>
            <w:vAlign w:val="bottom"/>
            <w:gridSpan w:val="2"/>
          </w:tcPr>
          <w:p>
            <w:pPr>
              <w:ind w:left="40"/>
              <w:spacing w:after="0"/>
              <w:rPr>
                <w:sz w:val="20"/>
                <w:szCs w:val="20"/>
                <w:color w:val="auto"/>
              </w:rPr>
            </w:pPr>
            <w:r>
              <w:rPr>
                <w:rFonts w:ascii="Arial" w:cs="Arial" w:eastAsia="Arial" w:hAnsi="Arial"/>
                <w:sz w:val="15"/>
                <w:szCs w:val="15"/>
                <w:b w:val="1"/>
                <w:bCs w:val="1"/>
                <w:color w:val="auto"/>
              </w:rPr>
              <w:t>LIABILITIES:</w:t>
            </w:r>
          </w:p>
        </w:tc>
        <w:tc>
          <w:tcPr>
            <w:tcW w:w="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Accounts payable and accrued expenses</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5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202,101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4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163,653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251,975</w:t>
            </w:r>
          </w:p>
        </w:tc>
        <w:tc>
          <w:tcPr>
            <w:tcW w:w="0" w:type="dxa"/>
            <w:vAlign w:val="bottom"/>
          </w:tcPr>
          <w:p>
            <w:pPr>
              <w:spacing w:after="0"/>
              <w:rPr>
                <w:sz w:val="1"/>
                <w:szCs w:val="1"/>
                <w:color w:val="auto"/>
              </w:rPr>
            </w:pPr>
          </w:p>
        </w:tc>
      </w:tr>
      <w:tr>
        <w:trPr>
          <w:trHeight w:val="266"/>
        </w:trPr>
        <w:tc>
          <w:tcPr>
            <w:tcW w:w="5960" w:type="dxa"/>
            <w:vAlign w:val="bottom"/>
            <w:gridSpan w:val="2"/>
          </w:tcPr>
          <w:p>
            <w:pPr>
              <w:ind w:left="180"/>
              <w:spacing w:after="0"/>
              <w:rPr>
                <w:sz w:val="20"/>
                <w:szCs w:val="20"/>
                <w:color w:val="auto"/>
              </w:rPr>
            </w:pPr>
            <w:r>
              <w:rPr>
                <w:rFonts w:ascii="Arial" w:cs="Arial" w:eastAsia="Arial" w:hAnsi="Arial"/>
                <w:sz w:val="15"/>
                <w:szCs w:val="15"/>
                <w:color w:val="auto"/>
              </w:rPr>
              <w:t>Accrued salaries, wages and payroll taxes</w:t>
            </w:r>
          </w:p>
        </w:tc>
        <w:tc>
          <w:tcPr>
            <w:tcW w:w="260" w:type="dxa"/>
            <w:vAlign w:val="bottom"/>
          </w:tcPr>
          <w:p>
            <w:pPr>
              <w:spacing w:after="0"/>
              <w:rPr>
                <w:sz w:val="23"/>
                <w:szCs w:val="23"/>
                <w:color w:val="auto"/>
              </w:rPr>
            </w:pPr>
          </w:p>
        </w:tc>
        <w:tc>
          <w:tcPr>
            <w:tcW w:w="1580" w:type="dxa"/>
            <w:vAlign w:val="bottom"/>
          </w:tcPr>
          <w:p>
            <w:pPr>
              <w:jc w:val="right"/>
              <w:ind w:right="23"/>
              <w:spacing w:after="0"/>
              <w:rPr>
                <w:sz w:val="20"/>
                <w:szCs w:val="20"/>
                <w:color w:val="auto"/>
              </w:rPr>
            </w:pPr>
            <w:r>
              <w:rPr>
                <w:rFonts w:ascii="Arial" w:cs="Arial" w:eastAsia="Arial" w:hAnsi="Arial"/>
                <w:sz w:val="15"/>
                <w:szCs w:val="15"/>
                <w:b w:val="1"/>
                <w:bCs w:val="1"/>
                <w:color w:val="auto"/>
              </w:rPr>
              <w:t>140,902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jc w:val="right"/>
              <w:ind w:right="44"/>
              <w:spacing w:after="0"/>
              <w:rPr>
                <w:sz w:val="20"/>
                <w:szCs w:val="20"/>
                <w:color w:val="auto"/>
              </w:rPr>
            </w:pPr>
            <w:r>
              <w:rPr>
                <w:rFonts w:ascii="Arial" w:cs="Arial" w:eastAsia="Arial" w:hAnsi="Arial"/>
                <w:sz w:val="15"/>
                <w:szCs w:val="15"/>
                <w:color w:val="auto"/>
              </w:rPr>
              <w:t>135,626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141,499</w:t>
            </w:r>
          </w:p>
        </w:tc>
        <w:tc>
          <w:tcPr>
            <w:tcW w:w="0" w:type="dxa"/>
            <w:vAlign w:val="bottom"/>
          </w:tcPr>
          <w:p>
            <w:pPr>
              <w:spacing w:after="0"/>
              <w:rPr>
                <w:sz w:val="1"/>
                <w:szCs w:val="1"/>
                <w:color w:val="auto"/>
              </w:rPr>
            </w:pPr>
          </w:p>
        </w:tc>
      </w:tr>
      <w:tr>
        <w:trPr>
          <w:trHeight w:val="274"/>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Accrued income taxes and reserves for uncertain tax positions</w:t>
            </w:r>
          </w:p>
        </w:tc>
        <w:tc>
          <w:tcPr>
            <w:tcW w:w="26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49,009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164,246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263,050</w:t>
            </w:r>
          </w:p>
        </w:tc>
        <w:tc>
          <w:tcPr>
            <w:tcW w:w="0" w:type="dxa"/>
            <w:vAlign w:val="bottom"/>
          </w:tcPr>
          <w:p>
            <w:pPr>
              <w:spacing w:after="0"/>
              <w:rPr>
                <w:sz w:val="1"/>
                <w:szCs w:val="1"/>
                <w:color w:val="auto"/>
              </w:rPr>
            </w:pPr>
          </w:p>
        </w:tc>
      </w:tr>
      <w:tr>
        <w:trPr>
          <w:trHeight w:val="266"/>
        </w:trPr>
        <w:tc>
          <w:tcPr>
            <w:tcW w:w="5960" w:type="dxa"/>
            <w:vAlign w:val="bottom"/>
            <w:gridSpan w:val="2"/>
          </w:tcPr>
          <w:p>
            <w:pPr>
              <w:ind w:left="180"/>
              <w:spacing w:after="0"/>
              <w:rPr>
                <w:sz w:val="20"/>
                <w:szCs w:val="20"/>
                <w:color w:val="auto"/>
              </w:rPr>
            </w:pPr>
            <w:r>
              <w:rPr>
                <w:rFonts w:ascii="Arial" w:cs="Arial" w:eastAsia="Arial" w:hAnsi="Arial"/>
                <w:sz w:val="15"/>
                <w:szCs w:val="15"/>
                <w:color w:val="auto"/>
              </w:rPr>
              <w:t>Current portion of long-term debt</w:t>
            </w:r>
          </w:p>
        </w:tc>
        <w:tc>
          <w:tcPr>
            <w:tcW w:w="260" w:type="dxa"/>
            <w:vAlign w:val="bottom"/>
          </w:tcPr>
          <w:p>
            <w:pPr>
              <w:spacing w:after="0"/>
              <w:rPr>
                <w:sz w:val="23"/>
                <w:szCs w:val="23"/>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23"/>
                <w:szCs w:val="23"/>
                <w:color w:val="auto"/>
              </w:rPr>
            </w:pPr>
          </w:p>
        </w:tc>
        <w:tc>
          <w:tcPr>
            <w:tcW w:w="1480" w:type="dxa"/>
            <w:vAlign w:val="bottom"/>
          </w:tcPr>
          <w:p>
            <w:pPr>
              <w:jc w:val="right"/>
              <w:ind w:right="44"/>
              <w:spacing w:after="0"/>
              <w:rPr>
                <w:sz w:val="20"/>
                <w:szCs w:val="20"/>
                <w:color w:val="auto"/>
              </w:rPr>
            </w:pPr>
            <w:r>
              <w:rPr>
                <w:rFonts w:ascii="Arial" w:cs="Arial" w:eastAsia="Arial" w:hAnsi="Arial"/>
                <w:sz w:val="15"/>
                <w:szCs w:val="15"/>
                <w:color w:val="auto"/>
              </w:rPr>
              <w:t>1,015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1,026</w:t>
            </w:r>
          </w:p>
        </w:tc>
        <w:tc>
          <w:tcPr>
            <w:tcW w:w="0" w:type="dxa"/>
            <w:vAlign w:val="bottom"/>
          </w:tcPr>
          <w:p>
            <w:pPr>
              <w:spacing w:after="0"/>
              <w:rPr>
                <w:sz w:val="1"/>
                <w:szCs w:val="1"/>
                <w:color w:val="auto"/>
              </w:rPr>
            </w:pPr>
          </w:p>
        </w:tc>
      </w:tr>
      <w:tr>
        <w:trPr>
          <w:trHeight w:val="270"/>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Deferred revenue and other current liabilities</w:t>
            </w:r>
          </w:p>
        </w:tc>
        <w:tc>
          <w:tcPr>
            <w:tcW w:w="26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195,634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201,988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186,101</w:t>
            </w:r>
          </w:p>
        </w:tc>
        <w:tc>
          <w:tcPr>
            <w:tcW w:w="0" w:type="dxa"/>
            <w:vAlign w:val="bottom"/>
          </w:tcPr>
          <w:p>
            <w:pPr>
              <w:spacing w:after="0"/>
              <w:rPr>
                <w:sz w:val="1"/>
                <w:szCs w:val="1"/>
                <w:color w:val="auto"/>
              </w:rPr>
            </w:pPr>
          </w:p>
        </w:tc>
      </w:tr>
      <w:tr>
        <w:trPr>
          <w:trHeight w:val="250"/>
        </w:trPr>
        <w:tc>
          <w:tcPr>
            <w:tcW w:w="5960" w:type="dxa"/>
            <w:vAlign w:val="bottom"/>
            <w:gridSpan w:val="2"/>
          </w:tcPr>
          <w:p>
            <w:pPr>
              <w:ind w:left="380"/>
              <w:spacing w:after="0"/>
              <w:rPr>
                <w:sz w:val="20"/>
                <w:szCs w:val="20"/>
                <w:color w:val="auto"/>
              </w:rPr>
            </w:pPr>
            <w:r>
              <w:rPr>
                <w:rFonts w:ascii="Arial" w:cs="Arial" w:eastAsia="Arial" w:hAnsi="Arial"/>
                <w:sz w:val="15"/>
                <w:szCs w:val="15"/>
                <w:color w:val="auto"/>
              </w:rPr>
              <w:t>Total current liabilities</w:t>
            </w:r>
          </w:p>
        </w:tc>
        <w:tc>
          <w:tcPr>
            <w:tcW w:w="260" w:type="dxa"/>
            <w:vAlign w:val="bottom"/>
          </w:tcPr>
          <w:p>
            <w:pPr>
              <w:spacing w:after="0"/>
              <w:rPr>
                <w:sz w:val="21"/>
                <w:szCs w:val="21"/>
                <w:color w:val="auto"/>
              </w:rPr>
            </w:pPr>
          </w:p>
        </w:tc>
        <w:tc>
          <w:tcPr>
            <w:tcW w:w="1580" w:type="dxa"/>
            <w:vAlign w:val="bottom"/>
          </w:tcPr>
          <w:p>
            <w:pPr>
              <w:jc w:val="right"/>
              <w:ind w:right="23"/>
              <w:spacing w:after="0"/>
              <w:rPr>
                <w:sz w:val="20"/>
                <w:szCs w:val="20"/>
                <w:color w:val="auto"/>
              </w:rPr>
            </w:pPr>
            <w:r>
              <w:rPr>
                <w:rFonts w:ascii="Arial" w:cs="Arial" w:eastAsia="Arial" w:hAnsi="Arial"/>
                <w:sz w:val="15"/>
                <w:szCs w:val="15"/>
                <w:b w:val="1"/>
                <w:bCs w:val="1"/>
                <w:color w:val="auto"/>
              </w:rPr>
              <w:t>587,646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44"/>
              <w:spacing w:after="0"/>
              <w:rPr>
                <w:sz w:val="20"/>
                <w:szCs w:val="20"/>
                <w:color w:val="auto"/>
              </w:rPr>
            </w:pPr>
            <w:r>
              <w:rPr>
                <w:rFonts w:ascii="Arial" w:cs="Arial" w:eastAsia="Arial" w:hAnsi="Arial"/>
                <w:sz w:val="15"/>
                <w:szCs w:val="15"/>
                <w:color w:val="auto"/>
              </w:rPr>
              <w:t>666,528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843,651</w:t>
            </w:r>
          </w:p>
        </w:tc>
        <w:tc>
          <w:tcPr>
            <w:tcW w:w="0" w:type="dxa"/>
            <w:vAlign w:val="bottom"/>
          </w:tcPr>
          <w:p>
            <w:pPr>
              <w:spacing w:after="0"/>
              <w:rPr>
                <w:sz w:val="1"/>
                <w:szCs w:val="1"/>
                <w:color w:val="auto"/>
              </w:rPr>
            </w:pPr>
          </w:p>
        </w:tc>
      </w:tr>
      <w:tr>
        <w:trPr>
          <w:trHeight w:val="274"/>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Long-term debt and line of credit borrowings</w:t>
            </w:r>
          </w:p>
        </w:tc>
        <w:tc>
          <w:tcPr>
            <w:tcW w:w="26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1,876,989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2,284,231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1,494,609</w:t>
            </w:r>
          </w:p>
        </w:tc>
        <w:tc>
          <w:tcPr>
            <w:tcW w:w="0" w:type="dxa"/>
            <w:vAlign w:val="bottom"/>
          </w:tcPr>
          <w:p>
            <w:pPr>
              <w:spacing w:after="0"/>
              <w:rPr>
                <w:sz w:val="1"/>
                <w:szCs w:val="1"/>
                <w:color w:val="auto"/>
              </w:rPr>
            </w:pPr>
          </w:p>
        </w:tc>
      </w:tr>
      <w:tr>
        <w:trPr>
          <w:trHeight w:val="266"/>
        </w:trPr>
        <w:tc>
          <w:tcPr>
            <w:tcW w:w="5960" w:type="dxa"/>
            <w:vAlign w:val="bottom"/>
            <w:gridSpan w:val="2"/>
          </w:tcPr>
          <w:p>
            <w:pPr>
              <w:ind w:left="180"/>
              <w:spacing w:after="0"/>
              <w:rPr>
                <w:sz w:val="20"/>
                <w:szCs w:val="20"/>
                <w:color w:val="auto"/>
              </w:rPr>
            </w:pPr>
            <w:r>
              <w:rPr>
                <w:rFonts w:ascii="Arial" w:cs="Arial" w:eastAsia="Arial" w:hAnsi="Arial"/>
                <w:sz w:val="15"/>
                <w:szCs w:val="15"/>
                <w:color w:val="auto"/>
              </w:rPr>
              <w:t>Deferred tax liabilities and reserves for uncertain tax positions</w:t>
            </w:r>
          </w:p>
        </w:tc>
        <w:tc>
          <w:tcPr>
            <w:tcW w:w="260" w:type="dxa"/>
            <w:vAlign w:val="bottom"/>
          </w:tcPr>
          <w:p>
            <w:pPr>
              <w:spacing w:after="0"/>
              <w:rPr>
                <w:sz w:val="23"/>
                <w:szCs w:val="23"/>
                <w:color w:val="auto"/>
              </w:rPr>
            </w:pPr>
          </w:p>
        </w:tc>
        <w:tc>
          <w:tcPr>
            <w:tcW w:w="1580" w:type="dxa"/>
            <w:vAlign w:val="bottom"/>
          </w:tcPr>
          <w:p>
            <w:pPr>
              <w:jc w:val="right"/>
              <w:ind w:right="23"/>
              <w:spacing w:after="0"/>
              <w:rPr>
                <w:sz w:val="20"/>
                <w:szCs w:val="20"/>
                <w:color w:val="auto"/>
              </w:rPr>
            </w:pPr>
            <w:r>
              <w:rPr>
                <w:rFonts w:ascii="Arial" w:cs="Arial" w:eastAsia="Arial" w:hAnsi="Arial"/>
                <w:sz w:val="15"/>
                <w:szCs w:val="15"/>
                <w:b w:val="1"/>
                <w:bCs w:val="1"/>
                <w:color w:val="auto"/>
              </w:rPr>
              <w:t>214,217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jc w:val="right"/>
              <w:ind w:right="44"/>
              <w:spacing w:after="0"/>
              <w:rPr>
                <w:sz w:val="20"/>
                <w:szCs w:val="20"/>
                <w:color w:val="auto"/>
              </w:rPr>
            </w:pPr>
            <w:r>
              <w:rPr>
                <w:rFonts w:ascii="Arial" w:cs="Arial" w:eastAsia="Arial" w:hAnsi="Arial"/>
                <w:sz w:val="15"/>
                <w:szCs w:val="15"/>
                <w:color w:val="auto"/>
              </w:rPr>
              <w:t>201,384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229,430</w:t>
            </w:r>
          </w:p>
        </w:tc>
        <w:tc>
          <w:tcPr>
            <w:tcW w:w="0" w:type="dxa"/>
            <w:vAlign w:val="bottom"/>
          </w:tcPr>
          <w:p>
            <w:pPr>
              <w:spacing w:after="0"/>
              <w:rPr>
                <w:sz w:val="1"/>
                <w:szCs w:val="1"/>
                <w:color w:val="auto"/>
              </w:rPr>
            </w:pPr>
          </w:p>
        </w:tc>
      </w:tr>
      <w:tr>
        <w:trPr>
          <w:trHeight w:val="270"/>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Deferred revenue and other noncurrent liabilities</w:t>
            </w:r>
          </w:p>
        </w:tc>
        <w:tc>
          <w:tcPr>
            <w:tcW w:w="26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103,545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107,226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179,548</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2"/>
          </w:tcPr>
          <w:p>
            <w:pPr>
              <w:ind w:left="380"/>
              <w:spacing w:after="0"/>
              <w:rPr>
                <w:sz w:val="20"/>
                <w:szCs w:val="20"/>
                <w:color w:val="auto"/>
              </w:rPr>
            </w:pPr>
            <w:r>
              <w:rPr>
                <w:rFonts w:ascii="Arial" w:cs="Arial" w:eastAsia="Arial" w:hAnsi="Arial"/>
                <w:sz w:val="15"/>
                <w:szCs w:val="15"/>
                <w:color w:val="auto"/>
              </w:rPr>
              <w:t>Total liabilities</w:t>
            </w: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2,782,397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3,259,369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2,747,238</w:t>
            </w:r>
          </w:p>
        </w:tc>
        <w:tc>
          <w:tcPr>
            <w:tcW w:w="0" w:type="dxa"/>
            <w:vAlign w:val="bottom"/>
          </w:tcPr>
          <w:p>
            <w:pPr>
              <w:spacing w:after="0"/>
              <w:rPr>
                <w:sz w:val="1"/>
                <w:szCs w:val="1"/>
                <w:color w:val="auto"/>
              </w:rPr>
            </w:pPr>
          </w:p>
        </w:tc>
      </w:tr>
      <w:tr>
        <w:trPr>
          <w:trHeight w:val="254"/>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COMMITMENTS AND CONTINGENCIES</w:t>
            </w:r>
          </w:p>
        </w:tc>
        <w:tc>
          <w:tcPr>
            <w:tcW w:w="26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5960" w:type="dxa"/>
            <w:vAlign w:val="bottom"/>
            <w:gridSpan w:val="2"/>
          </w:tcPr>
          <w:p>
            <w:pPr>
              <w:ind w:left="40"/>
              <w:spacing w:after="0"/>
              <w:rPr>
                <w:sz w:val="20"/>
                <w:szCs w:val="20"/>
                <w:color w:val="auto"/>
              </w:rPr>
            </w:pPr>
            <w:r>
              <w:rPr>
                <w:rFonts w:ascii="Arial" w:cs="Arial" w:eastAsia="Arial" w:hAnsi="Arial"/>
                <w:sz w:val="15"/>
                <w:szCs w:val="15"/>
                <w:b w:val="1"/>
                <w:bCs w:val="1"/>
                <w:color w:val="auto"/>
              </w:rPr>
              <w:t>STOCKHOLDERS' EQUITY:</w:t>
            </w:r>
          </w:p>
        </w:tc>
        <w:tc>
          <w:tcPr>
            <w:tcW w:w="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Common stock, no par, stated value $.01 per share, 800,000,000 shares</w:t>
            </w:r>
          </w:p>
        </w:tc>
        <w:tc>
          <w:tcPr>
            <w:tcW w:w="260" w:type="dxa"/>
            <w:vAlign w:val="bottom"/>
            <w:shd w:val="clear" w:color="auto" w:fill="CCEEFF"/>
          </w:tcPr>
          <w:p>
            <w:pPr>
              <w:spacing w:after="0"/>
              <w:rPr>
                <w:sz w:val="16"/>
                <w:szCs w:val="16"/>
                <w:color w:val="auto"/>
              </w:rPr>
            </w:pPr>
          </w:p>
        </w:tc>
        <w:tc>
          <w:tcPr>
            <w:tcW w:w="15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2,415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96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authorized, shares issued of 241,501,278, 246,198,878 and 246,198,878</w:t>
            </w:r>
          </w:p>
        </w:tc>
        <w:tc>
          <w:tcPr>
            <w:tcW w:w="260" w:type="dxa"/>
            <w:vAlign w:val="bottom"/>
            <w:shd w:val="clear" w:color="auto" w:fill="CCEEFF"/>
          </w:tcPr>
          <w:p>
            <w:pPr>
              <w:spacing w:after="0"/>
              <w:rPr>
                <w:sz w:val="16"/>
                <w:szCs w:val="16"/>
                <w:color w:val="auto"/>
              </w:rPr>
            </w:pPr>
          </w:p>
        </w:tc>
        <w:tc>
          <w:tcPr>
            <w:tcW w:w="1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2,462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2,462</w:t>
            </w:r>
          </w:p>
        </w:tc>
        <w:tc>
          <w:tcPr>
            <w:tcW w:w="0" w:type="dxa"/>
            <w:vAlign w:val="bottom"/>
          </w:tcPr>
          <w:p>
            <w:pPr>
              <w:spacing w:after="0"/>
              <w:rPr>
                <w:sz w:val="1"/>
                <w:szCs w:val="1"/>
                <w:color w:val="auto"/>
              </w:rPr>
            </w:pPr>
          </w:p>
        </w:tc>
      </w:tr>
      <w:tr>
        <w:trPr>
          <w:trHeight w:val="266"/>
        </w:trPr>
        <w:tc>
          <w:tcPr>
            <w:tcW w:w="5960" w:type="dxa"/>
            <w:vAlign w:val="bottom"/>
            <w:gridSpan w:val="2"/>
          </w:tcPr>
          <w:p>
            <w:pPr>
              <w:ind w:left="180"/>
              <w:spacing w:after="0"/>
              <w:rPr>
                <w:sz w:val="20"/>
                <w:szCs w:val="20"/>
                <w:color w:val="auto"/>
              </w:rPr>
            </w:pPr>
            <w:r>
              <w:rPr>
                <w:rFonts w:ascii="Arial" w:cs="Arial" w:eastAsia="Arial" w:hAnsi="Arial"/>
                <w:sz w:val="15"/>
                <w:szCs w:val="15"/>
                <w:color w:val="auto"/>
              </w:rPr>
              <w:t>Additional paid-in capital</w:t>
            </w:r>
          </w:p>
        </w:tc>
        <w:tc>
          <w:tcPr>
            <w:tcW w:w="260" w:type="dxa"/>
            <w:vAlign w:val="bottom"/>
          </w:tcPr>
          <w:p>
            <w:pPr>
              <w:spacing w:after="0"/>
              <w:rPr>
                <w:sz w:val="23"/>
                <w:szCs w:val="23"/>
                <w:color w:val="auto"/>
              </w:rPr>
            </w:pPr>
          </w:p>
        </w:tc>
        <w:tc>
          <w:tcPr>
            <w:tcW w:w="1580" w:type="dxa"/>
            <w:vAlign w:val="bottom"/>
          </w:tcPr>
          <w:p>
            <w:pPr>
              <w:jc w:val="right"/>
              <w:ind w:right="23"/>
              <w:spacing w:after="0"/>
              <w:rPr>
                <w:sz w:val="20"/>
                <w:szCs w:val="20"/>
                <w:color w:val="auto"/>
              </w:rPr>
            </w:pPr>
            <w:r>
              <w:rPr>
                <w:rFonts w:ascii="Arial" w:cs="Arial" w:eastAsia="Arial" w:hAnsi="Arial"/>
                <w:sz w:val="15"/>
                <w:szCs w:val="15"/>
                <w:b w:val="1"/>
                <w:bCs w:val="1"/>
                <w:color w:val="auto"/>
              </w:rPr>
              <w:t>764,982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jc w:val="right"/>
              <w:ind w:right="44"/>
              <w:spacing w:after="0"/>
              <w:rPr>
                <w:sz w:val="20"/>
                <w:szCs w:val="20"/>
                <w:color w:val="auto"/>
              </w:rPr>
            </w:pPr>
            <w:r>
              <w:rPr>
                <w:rFonts w:ascii="Arial" w:cs="Arial" w:eastAsia="Arial" w:hAnsi="Arial"/>
                <w:sz w:val="15"/>
                <w:szCs w:val="15"/>
                <w:color w:val="auto"/>
              </w:rPr>
              <w:t>758,361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760,250</w:t>
            </w:r>
          </w:p>
        </w:tc>
        <w:tc>
          <w:tcPr>
            <w:tcW w:w="0" w:type="dxa"/>
            <w:vAlign w:val="bottom"/>
          </w:tcPr>
          <w:p>
            <w:pPr>
              <w:spacing w:after="0"/>
              <w:rPr>
                <w:sz w:val="1"/>
                <w:szCs w:val="1"/>
                <w:color w:val="auto"/>
              </w:rPr>
            </w:pPr>
          </w:p>
        </w:tc>
      </w:tr>
      <w:tr>
        <w:trPr>
          <w:trHeight w:val="274"/>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Accumulated other comprehensive loss</w:t>
            </w:r>
          </w:p>
        </w:tc>
        <w:tc>
          <w:tcPr>
            <w:tcW w:w="26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(17,642)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(9,374)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(14,303)</w:t>
            </w:r>
          </w:p>
        </w:tc>
        <w:tc>
          <w:tcPr>
            <w:tcW w:w="0" w:type="dxa"/>
            <w:vAlign w:val="bottom"/>
          </w:tcPr>
          <w:p>
            <w:pPr>
              <w:spacing w:after="0"/>
              <w:rPr>
                <w:sz w:val="1"/>
                <w:szCs w:val="1"/>
                <w:color w:val="auto"/>
              </w:rPr>
            </w:pPr>
          </w:p>
        </w:tc>
      </w:tr>
      <w:tr>
        <w:trPr>
          <w:trHeight w:val="266"/>
        </w:trPr>
        <w:tc>
          <w:tcPr>
            <w:tcW w:w="5960" w:type="dxa"/>
            <w:vAlign w:val="bottom"/>
            <w:gridSpan w:val="2"/>
          </w:tcPr>
          <w:p>
            <w:pPr>
              <w:ind w:left="180"/>
              <w:spacing w:after="0"/>
              <w:rPr>
                <w:sz w:val="20"/>
                <w:szCs w:val="20"/>
                <w:color w:val="auto"/>
              </w:rPr>
            </w:pPr>
            <w:r>
              <w:rPr>
                <w:rFonts w:ascii="Arial" w:cs="Arial" w:eastAsia="Arial" w:hAnsi="Arial"/>
                <w:sz w:val="15"/>
                <w:szCs w:val="15"/>
                <w:color w:val="auto"/>
              </w:rPr>
              <w:t>Retained earnings (deficit)</w:t>
            </w:r>
          </w:p>
        </w:tc>
        <w:tc>
          <w:tcPr>
            <w:tcW w:w="26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5"/>
                <w:szCs w:val="15"/>
                <w:b w:val="1"/>
                <w:bCs w:val="1"/>
                <w:color w:val="auto"/>
              </w:rPr>
              <w:t>(254,277)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(729,578)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362,980</w:t>
            </w:r>
          </w:p>
        </w:tc>
        <w:tc>
          <w:tcPr>
            <w:tcW w:w="0" w:type="dxa"/>
            <w:vAlign w:val="bottom"/>
          </w:tcPr>
          <w:p>
            <w:pPr>
              <w:spacing w:after="0"/>
              <w:rPr>
                <w:sz w:val="1"/>
                <w:szCs w:val="1"/>
                <w:color w:val="auto"/>
              </w:rPr>
            </w:pPr>
          </w:p>
        </w:tc>
      </w:tr>
      <w:tr>
        <w:trPr>
          <w:trHeight w:val="270"/>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Less treasury shares, at cost, of 36,460,305, 37,079,700 and 36,944,789</w:t>
            </w:r>
          </w:p>
        </w:tc>
        <w:tc>
          <w:tcPr>
            <w:tcW w:w="26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(709,069)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(719,940)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(717,678)</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2"/>
          </w:tcPr>
          <w:p>
            <w:pPr>
              <w:ind w:left="380"/>
              <w:spacing w:after="0"/>
              <w:rPr>
                <w:sz w:val="20"/>
                <w:szCs w:val="20"/>
                <w:color w:val="auto"/>
              </w:rPr>
            </w:pPr>
            <w:r>
              <w:rPr>
                <w:rFonts w:ascii="Arial" w:cs="Arial" w:eastAsia="Arial" w:hAnsi="Arial"/>
                <w:sz w:val="15"/>
                <w:szCs w:val="15"/>
                <w:color w:val="auto"/>
              </w:rPr>
              <w:t>Total stockholders' equity (deficiency)</w:t>
            </w: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(213,591)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(698,069)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393,711</w:t>
            </w:r>
          </w:p>
        </w:tc>
        <w:tc>
          <w:tcPr>
            <w:tcW w:w="0" w:type="dxa"/>
            <w:vAlign w:val="bottom"/>
          </w:tcPr>
          <w:p>
            <w:pPr>
              <w:spacing w:after="0"/>
              <w:rPr>
                <w:sz w:val="1"/>
                <w:szCs w:val="1"/>
                <w:color w:val="auto"/>
              </w:rPr>
            </w:pPr>
          </w:p>
        </w:tc>
      </w:tr>
      <w:tr>
        <w:trPr>
          <w:trHeight w:val="250"/>
        </w:trPr>
        <w:tc>
          <w:tcPr>
            <w:tcW w:w="5960" w:type="dxa"/>
            <w:vAlign w:val="bottom"/>
            <w:gridSpan w:val="2"/>
            <w:shd w:val="clear" w:color="auto" w:fill="CCEEFF"/>
          </w:tcPr>
          <w:p>
            <w:pPr>
              <w:jc w:val="right"/>
              <w:ind w:right="2740"/>
              <w:spacing w:after="0"/>
              <w:rPr>
                <w:sz w:val="20"/>
                <w:szCs w:val="20"/>
                <w:color w:val="auto"/>
              </w:rPr>
            </w:pPr>
            <w:r>
              <w:rPr>
                <w:rFonts w:ascii="Arial" w:cs="Arial" w:eastAsia="Arial" w:hAnsi="Arial"/>
                <w:sz w:val="15"/>
                <w:szCs w:val="15"/>
                <w:color w:val="auto"/>
              </w:rPr>
              <w:t>Total liabilities and stockholders' equity</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5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2,568,806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4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2,561,300</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3,140,949</w:t>
            </w:r>
          </w:p>
        </w:tc>
        <w:tc>
          <w:tcPr>
            <w:tcW w:w="0" w:type="dxa"/>
            <w:vAlign w:val="bottom"/>
          </w:tcPr>
          <w:p>
            <w:pPr>
              <w:spacing w:after="0"/>
              <w:rPr>
                <w:sz w:val="1"/>
                <w:szCs w:val="1"/>
                <w:color w:val="auto"/>
              </w:rPr>
            </w:pPr>
          </w:p>
        </w:tc>
      </w:tr>
      <w:tr>
        <w:trPr>
          <w:trHeight w:val="119"/>
        </w:trPr>
        <w:tc>
          <w:tcPr>
            <w:tcW w:w="58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23177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1775" cy="13716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400" w:hanging="250"/>
        <w:spacing w:after="0"/>
        <w:tabs>
          <w:tab w:leader="none" w:pos="400" w:val="left"/>
        </w:tabs>
        <w:numPr>
          <w:ilvl w:val="0"/>
          <w:numId w:val="3"/>
        </w:numPr>
        <w:rPr>
          <w:rFonts w:ascii="Arial" w:cs="Arial" w:eastAsia="Arial" w:hAnsi="Arial"/>
          <w:sz w:val="14"/>
          <w:szCs w:val="14"/>
          <w:color w:val="FFFFFF"/>
          <w:highlight w:val="black"/>
        </w:rPr>
      </w:pPr>
      <w:r>
        <w:rPr>
          <w:rFonts w:ascii="Arial" w:cs="Arial" w:eastAsia="Arial" w:hAnsi="Arial"/>
          <w:sz w:val="14"/>
          <w:szCs w:val="14"/>
          <w:color w:val="auto"/>
        </w:rPr>
        <w:t xml:space="preserve">Q3 FY2019 Form 10-Q | </w:t>
      </w:r>
      <w:r>
        <w:rPr>
          <w:rFonts w:ascii="Arial" w:cs="Arial" w:eastAsia="Arial" w:hAnsi="Arial"/>
          <w:sz w:val="14"/>
          <w:szCs w:val="14"/>
          <w:b w:val="1"/>
          <w:bCs w:val="1"/>
          <w:color w:val="auto"/>
        </w:rPr>
        <w:t>H&amp;R Block, Inc.</w:t>
      </w:r>
    </w:p>
    <w:p>
      <w:pPr>
        <w:sectPr>
          <w:pgSz w:w="11900" w:h="16838" w:orient="portrait"/>
          <w:cols w:equalWidth="0" w:num="1">
            <w:col w:w="11420"/>
          </w:cols>
          <w:pgMar w:left="240" w:top="249"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9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CONSOLIDATED STATEMENTS OF CASH FLOWS</w:t>
            </w:r>
          </w:p>
        </w:tc>
        <w:tc>
          <w:tcPr>
            <w:tcW w:w="4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(unaudited, in 000s)</w:t>
            </w:r>
          </w:p>
        </w:tc>
      </w:tr>
      <w:tr>
        <w:trPr>
          <w:trHeight w:val="263"/>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Nine months ended January 31,</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2018</w:t>
            </w:r>
          </w:p>
        </w:tc>
      </w:tr>
      <w:tr>
        <w:trPr>
          <w:trHeight w:val="270"/>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4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60"/>
        </w:trPr>
        <w:tc>
          <w:tcPr>
            <w:tcW w:w="7900" w:type="dxa"/>
            <w:vAlign w:val="bottom"/>
            <w:gridSpan w:val="2"/>
          </w:tcPr>
          <w:p>
            <w:pPr>
              <w:ind w:left="180"/>
              <w:spacing w:after="0"/>
              <w:rPr>
                <w:sz w:val="20"/>
                <w:szCs w:val="20"/>
                <w:color w:val="auto"/>
              </w:rPr>
            </w:pPr>
            <w:r>
              <w:rPr>
                <w:rFonts w:ascii="Arial" w:cs="Arial" w:eastAsia="Arial" w:hAnsi="Arial"/>
                <w:sz w:val="16"/>
                <w:szCs w:val="16"/>
                <w:color w:val="auto"/>
              </w:rPr>
              <w:t>Net loss</w:t>
            </w:r>
          </w:p>
        </w:tc>
        <w:tc>
          <w:tcPr>
            <w:tcW w:w="46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(455,400)</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(529,778)</w:t>
            </w:r>
          </w:p>
        </w:tc>
      </w:tr>
      <w:tr>
        <w:trPr>
          <w:trHeight w:val="260"/>
        </w:trPr>
        <w:tc>
          <w:tcPr>
            <w:tcW w:w="7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4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60"/>
        </w:trPr>
        <w:tc>
          <w:tcPr>
            <w:tcW w:w="7900" w:type="dxa"/>
            <w:vAlign w:val="bottom"/>
            <w:gridSpan w:val="2"/>
          </w:tcPr>
          <w:p>
            <w:pPr>
              <w:ind w:left="380"/>
              <w:spacing w:after="0"/>
              <w:rPr>
                <w:sz w:val="20"/>
                <w:szCs w:val="20"/>
                <w:color w:val="auto"/>
              </w:rPr>
            </w:pPr>
            <w:r>
              <w:rPr>
                <w:rFonts w:ascii="Arial" w:cs="Arial" w:eastAsia="Arial" w:hAnsi="Arial"/>
                <w:sz w:val="16"/>
                <w:szCs w:val="16"/>
                <w:color w:val="auto"/>
              </w:rPr>
              <w:t>Depreciation and amortization</w:t>
            </w:r>
          </w:p>
        </w:tc>
        <w:tc>
          <w:tcPr>
            <w:tcW w:w="46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126,013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136,878</w:t>
            </w:r>
          </w:p>
        </w:tc>
      </w:tr>
      <w:tr>
        <w:trPr>
          <w:trHeight w:val="280"/>
        </w:trPr>
        <w:tc>
          <w:tcPr>
            <w:tcW w:w="79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Provision for bad debt</w:t>
            </w:r>
          </w:p>
        </w:tc>
        <w:tc>
          <w:tcPr>
            <w:tcW w:w="4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35,009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33,429</w:t>
            </w:r>
          </w:p>
        </w:tc>
      </w:tr>
      <w:tr>
        <w:trPr>
          <w:trHeight w:val="260"/>
        </w:trPr>
        <w:tc>
          <w:tcPr>
            <w:tcW w:w="7900" w:type="dxa"/>
            <w:vAlign w:val="bottom"/>
            <w:gridSpan w:val="2"/>
          </w:tcPr>
          <w:p>
            <w:pPr>
              <w:ind w:left="380"/>
              <w:spacing w:after="0"/>
              <w:rPr>
                <w:sz w:val="20"/>
                <w:szCs w:val="20"/>
                <w:color w:val="auto"/>
              </w:rPr>
            </w:pPr>
            <w:r>
              <w:rPr>
                <w:rFonts w:ascii="Arial" w:cs="Arial" w:eastAsia="Arial" w:hAnsi="Arial"/>
                <w:sz w:val="16"/>
                <w:szCs w:val="16"/>
                <w:color w:val="auto"/>
              </w:rPr>
              <w:t>Deferred taxes</w:t>
            </w:r>
          </w:p>
        </w:tc>
        <w:tc>
          <w:tcPr>
            <w:tcW w:w="46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20,557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113,345</w:t>
            </w:r>
          </w:p>
        </w:tc>
      </w:tr>
      <w:tr>
        <w:trPr>
          <w:trHeight w:val="280"/>
        </w:trPr>
        <w:tc>
          <w:tcPr>
            <w:tcW w:w="79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Stock-based compensation</w:t>
            </w:r>
          </w:p>
        </w:tc>
        <w:tc>
          <w:tcPr>
            <w:tcW w:w="4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18,009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17,065</w:t>
            </w:r>
          </w:p>
        </w:tc>
      </w:tr>
      <w:tr>
        <w:trPr>
          <w:trHeight w:val="260"/>
        </w:trPr>
        <w:tc>
          <w:tcPr>
            <w:tcW w:w="7900" w:type="dxa"/>
            <w:vAlign w:val="bottom"/>
            <w:gridSpan w:val="2"/>
          </w:tcPr>
          <w:p>
            <w:pPr>
              <w:ind w:left="380"/>
              <w:spacing w:after="0"/>
              <w:rPr>
                <w:sz w:val="20"/>
                <w:szCs w:val="20"/>
                <w:color w:val="auto"/>
              </w:rPr>
            </w:pPr>
            <w:r>
              <w:rPr>
                <w:rFonts w:ascii="Arial" w:cs="Arial" w:eastAsia="Arial" w:hAnsi="Arial"/>
                <w:sz w:val="16"/>
                <w:szCs w:val="16"/>
                <w:color w:val="auto"/>
              </w:rPr>
              <w:t>Changes in assets and liabilities, net of acquisitions:</w:t>
            </w:r>
          </w:p>
        </w:tc>
        <w:tc>
          <w:tcPr>
            <w:tcW w:w="4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80"/>
        </w:trPr>
        <w:tc>
          <w:tcPr>
            <w:tcW w:w="79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Receivables</w:t>
            </w:r>
          </w:p>
        </w:tc>
        <w:tc>
          <w:tcPr>
            <w:tcW w:w="46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(640,482)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(651,200)</w:t>
            </w:r>
          </w:p>
        </w:tc>
      </w:tr>
      <w:tr>
        <w:trPr>
          <w:trHeight w:val="260"/>
        </w:trPr>
        <w:tc>
          <w:tcPr>
            <w:tcW w:w="7900" w:type="dxa"/>
            <w:vAlign w:val="bottom"/>
            <w:gridSpan w:val="2"/>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4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(66,497)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(83,201)</w:t>
            </w:r>
          </w:p>
        </w:tc>
      </w:tr>
      <w:tr>
        <w:trPr>
          <w:trHeight w:val="280"/>
        </w:trPr>
        <w:tc>
          <w:tcPr>
            <w:tcW w:w="79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Other noncurrent assets</w:t>
            </w:r>
          </w:p>
        </w:tc>
        <w:tc>
          <w:tcPr>
            <w:tcW w:w="4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9,662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8,310</w:t>
            </w:r>
          </w:p>
        </w:tc>
      </w:tr>
      <w:tr>
        <w:trPr>
          <w:trHeight w:val="260"/>
        </w:trPr>
        <w:tc>
          <w:tcPr>
            <w:tcW w:w="7900" w:type="dxa"/>
            <w:vAlign w:val="bottom"/>
            <w:gridSpan w:val="2"/>
          </w:tcPr>
          <w:p>
            <w:pPr>
              <w:ind w:left="500"/>
              <w:spacing w:after="0"/>
              <w:rPr>
                <w:sz w:val="20"/>
                <w:szCs w:val="20"/>
                <w:color w:val="auto"/>
              </w:rPr>
            </w:pPr>
            <w:r>
              <w:rPr>
                <w:rFonts w:ascii="Arial" w:cs="Arial" w:eastAsia="Arial" w:hAnsi="Arial"/>
                <w:sz w:val="16"/>
                <w:szCs w:val="16"/>
                <w:color w:val="auto"/>
              </w:rPr>
              <w:t>Accounts payable and accrued expenses</w:t>
            </w:r>
          </w:p>
        </w:tc>
        <w:tc>
          <w:tcPr>
            <w:tcW w:w="4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(47,510)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(36,608)</w:t>
            </w:r>
          </w:p>
        </w:tc>
      </w:tr>
      <w:tr>
        <w:trPr>
          <w:trHeight w:val="280"/>
        </w:trPr>
        <w:tc>
          <w:tcPr>
            <w:tcW w:w="79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Accrued salaries, wages and payroll taxes</w:t>
            </w:r>
          </w:p>
        </w:tc>
        <w:tc>
          <w:tcPr>
            <w:tcW w:w="46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(49,255)</w:t>
            </w:r>
          </w:p>
        </w:tc>
      </w:tr>
      <w:tr>
        <w:trPr>
          <w:trHeight w:val="260"/>
        </w:trPr>
        <w:tc>
          <w:tcPr>
            <w:tcW w:w="7900" w:type="dxa"/>
            <w:vAlign w:val="bottom"/>
            <w:gridSpan w:val="2"/>
          </w:tcPr>
          <w:p>
            <w:pPr>
              <w:ind w:left="500"/>
              <w:spacing w:after="0"/>
              <w:rPr>
                <w:sz w:val="20"/>
                <w:szCs w:val="20"/>
                <w:color w:val="auto"/>
              </w:rPr>
            </w:pPr>
            <w:r>
              <w:rPr>
                <w:rFonts w:ascii="Arial" w:cs="Arial" w:eastAsia="Arial" w:hAnsi="Arial"/>
                <w:sz w:val="16"/>
                <w:szCs w:val="16"/>
                <w:color w:val="auto"/>
              </w:rPr>
              <w:t>Deferred revenue and other current liabilities</w:t>
            </w:r>
          </w:p>
        </w:tc>
        <w:tc>
          <w:tcPr>
            <w:tcW w:w="46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3,990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10,113</w:t>
            </w:r>
          </w:p>
        </w:tc>
      </w:tr>
      <w:tr>
        <w:trPr>
          <w:trHeight w:val="280"/>
        </w:trPr>
        <w:tc>
          <w:tcPr>
            <w:tcW w:w="79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Deferred revenue and other noncurrent liabilities</w:t>
            </w:r>
          </w:p>
        </w:tc>
        <w:tc>
          <w:tcPr>
            <w:tcW w:w="46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(70,794)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(58,695)</w:t>
            </w:r>
          </w:p>
        </w:tc>
      </w:tr>
      <w:tr>
        <w:trPr>
          <w:trHeight w:val="260"/>
        </w:trPr>
        <w:tc>
          <w:tcPr>
            <w:tcW w:w="7900" w:type="dxa"/>
            <w:vAlign w:val="bottom"/>
            <w:gridSpan w:val="2"/>
          </w:tcPr>
          <w:p>
            <w:pPr>
              <w:ind w:left="500"/>
              <w:spacing w:after="0"/>
              <w:rPr>
                <w:sz w:val="20"/>
                <w:szCs w:val="20"/>
                <w:color w:val="auto"/>
              </w:rPr>
            </w:pPr>
            <w:r>
              <w:rPr>
                <w:rFonts w:ascii="Arial" w:cs="Arial" w:eastAsia="Arial" w:hAnsi="Arial"/>
                <w:sz w:val="16"/>
                <w:szCs w:val="16"/>
                <w:color w:val="auto"/>
              </w:rPr>
              <w:t>Income tax receivables, accrued income taxes and income tax reserves</w:t>
            </w:r>
          </w:p>
        </w:tc>
        <w:tc>
          <w:tcPr>
            <w:tcW w:w="4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(277,240)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(255,650)</w:t>
            </w:r>
          </w:p>
        </w:tc>
      </w:tr>
      <w:tr>
        <w:trPr>
          <w:trHeight w:val="273"/>
        </w:trPr>
        <w:tc>
          <w:tcPr>
            <w:tcW w:w="79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Other, net</w:t>
            </w:r>
          </w:p>
        </w:tc>
        <w:tc>
          <w:tcPr>
            <w:tcW w:w="4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(2,308)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(12,454)</w:t>
            </w:r>
          </w:p>
        </w:tc>
      </w:tr>
      <w:tr>
        <w:trPr>
          <w:trHeight w:val="250"/>
        </w:trPr>
        <w:tc>
          <w:tcPr>
            <w:tcW w:w="7900" w:type="dxa"/>
            <w:vAlign w:val="bottom"/>
            <w:tcBorders>
              <w:bottom w:val="single" w:sz="8" w:color="CCEEFF"/>
            </w:tcBorders>
            <w:gridSpan w:val="2"/>
          </w:tcPr>
          <w:p>
            <w:pPr>
              <w:ind w:left="600"/>
              <w:spacing w:after="0"/>
              <w:rPr>
                <w:sz w:val="20"/>
                <w:szCs w:val="20"/>
                <w:color w:val="auto"/>
              </w:rPr>
            </w:pPr>
            <w:r>
              <w:rPr>
                <w:rFonts w:ascii="Arial" w:cs="Arial" w:eastAsia="Arial" w:hAnsi="Arial"/>
                <w:sz w:val="16"/>
                <w:szCs w:val="16"/>
                <w:color w:val="auto"/>
              </w:rPr>
              <w:t>Net cash used in operating activities</w:t>
            </w:r>
          </w:p>
        </w:tc>
        <w:tc>
          <w:tcPr>
            <w:tcW w:w="4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(1,347,456)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(1,357,701)</w:t>
            </w:r>
          </w:p>
        </w:tc>
      </w:tr>
      <w:tr>
        <w:trPr>
          <w:trHeight w:val="122"/>
        </w:trPr>
        <w:tc>
          <w:tcPr>
            <w:tcW w:w="7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r>
      <w:tr>
        <w:trPr>
          <w:trHeight w:val="260"/>
        </w:trPr>
        <w:tc>
          <w:tcPr>
            <w:tcW w:w="7900" w:type="dxa"/>
            <w:vAlign w:val="bottom"/>
            <w:gridSpan w:val="2"/>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4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80"/>
        </w:trPr>
        <w:tc>
          <w:tcPr>
            <w:tcW w:w="79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46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(79,982)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(77,865)</w:t>
            </w:r>
          </w:p>
        </w:tc>
      </w:tr>
      <w:tr>
        <w:trPr>
          <w:trHeight w:val="260"/>
        </w:trPr>
        <w:tc>
          <w:tcPr>
            <w:tcW w:w="7900" w:type="dxa"/>
            <w:vAlign w:val="bottom"/>
            <w:gridSpan w:val="2"/>
          </w:tcPr>
          <w:p>
            <w:pPr>
              <w:ind w:left="180"/>
              <w:spacing w:after="0"/>
              <w:rPr>
                <w:sz w:val="20"/>
                <w:szCs w:val="20"/>
                <w:color w:val="auto"/>
              </w:rPr>
            </w:pPr>
            <w:r>
              <w:rPr>
                <w:rFonts w:ascii="Arial" w:cs="Arial" w:eastAsia="Arial" w:hAnsi="Arial"/>
                <w:sz w:val="16"/>
                <w:szCs w:val="16"/>
                <w:color w:val="auto"/>
              </w:rPr>
              <w:t>Payments made for business acquisitions, net of cash acquired</w:t>
            </w:r>
          </w:p>
        </w:tc>
        <w:tc>
          <w:tcPr>
            <w:tcW w:w="4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(42,428)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(39,397)</w:t>
            </w:r>
          </w:p>
        </w:tc>
      </w:tr>
      <w:tr>
        <w:trPr>
          <w:trHeight w:val="280"/>
        </w:trPr>
        <w:tc>
          <w:tcPr>
            <w:tcW w:w="79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Franchise loans funded</w:t>
            </w:r>
          </w:p>
        </w:tc>
        <w:tc>
          <w:tcPr>
            <w:tcW w:w="46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(16,875)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(20,226)</w:t>
            </w:r>
          </w:p>
        </w:tc>
      </w:tr>
      <w:tr>
        <w:trPr>
          <w:trHeight w:val="260"/>
        </w:trPr>
        <w:tc>
          <w:tcPr>
            <w:tcW w:w="7900" w:type="dxa"/>
            <w:vAlign w:val="bottom"/>
            <w:gridSpan w:val="2"/>
          </w:tcPr>
          <w:p>
            <w:pPr>
              <w:ind w:left="180"/>
              <w:spacing w:after="0"/>
              <w:rPr>
                <w:sz w:val="20"/>
                <w:szCs w:val="20"/>
                <w:color w:val="auto"/>
              </w:rPr>
            </w:pPr>
            <w:r>
              <w:rPr>
                <w:rFonts w:ascii="Arial" w:cs="Arial" w:eastAsia="Arial" w:hAnsi="Arial"/>
                <w:sz w:val="16"/>
                <w:szCs w:val="16"/>
                <w:color w:val="auto"/>
              </w:rPr>
              <w:t>Payments received on franchise loans</w:t>
            </w:r>
          </w:p>
        </w:tc>
        <w:tc>
          <w:tcPr>
            <w:tcW w:w="46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15,149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13,391</w:t>
            </w:r>
          </w:p>
        </w:tc>
      </w:tr>
      <w:tr>
        <w:trPr>
          <w:trHeight w:val="273"/>
        </w:trPr>
        <w:tc>
          <w:tcPr>
            <w:tcW w:w="79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4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4,877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1,524</w:t>
            </w:r>
          </w:p>
        </w:tc>
      </w:tr>
      <w:tr>
        <w:trPr>
          <w:trHeight w:val="250"/>
        </w:trPr>
        <w:tc>
          <w:tcPr>
            <w:tcW w:w="790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Net cash used in investing activities</w:t>
            </w:r>
          </w:p>
        </w:tc>
        <w:tc>
          <w:tcPr>
            <w:tcW w:w="4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(119,259)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(122,573)</w:t>
            </w:r>
          </w:p>
        </w:tc>
      </w:tr>
      <w:tr>
        <w:trPr>
          <w:trHeight w:val="122"/>
        </w:trPr>
        <w:tc>
          <w:tcPr>
            <w:tcW w:w="7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r>
      <w:tr>
        <w:trPr>
          <w:trHeight w:val="260"/>
        </w:trPr>
        <w:tc>
          <w:tcPr>
            <w:tcW w:w="7900" w:type="dxa"/>
            <w:vAlign w:val="bottom"/>
            <w:gridSpan w:val="2"/>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4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80"/>
        </w:trPr>
        <w:tc>
          <w:tcPr>
            <w:tcW w:w="79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Repayments of line of credit borrowings</w:t>
            </w:r>
          </w:p>
        </w:tc>
        <w:tc>
          <w:tcPr>
            <w:tcW w:w="46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(230,000)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r>
      <w:tr>
        <w:trPr>
          <w:trHeight w:val="260"/>
        </w:trPr>
        <w:tc>
          <w:tcPr>
            <w:tcW w:w="7900" w:type="dxa"/>
            <w:vAlign w:val="bottom"/>
            <w:gridSpan w:val="2"/>
          </w:tcPr>
          <w:p>
            <w:pPr>
              <w:ind w:left="180"/>
              <w:spacing w:after="0"/>
              <w:rPr>
                <w:sz w:val="20"/>
                <w:szCs w:val="20"/>
                <w:color w:val="auto"/>
              </w:rPr>
            </w:pPr>
            <w:r>
              <w:rPr>
                <w:rFonts w:ascii="Arial" w:cs="Arial" w:eastAsia="Arial" w:hAnsi="Arial"/>
                <w:sz w:val="16"/>
                <w:szCs w:val="16"/>
                <w:color w:val="auto"/>
              </w:rPr>
              <w:t>Proceeds from line of credit borrowings</w:t>
            </w:r>
          </w:p>
        </w:tc>
        <w:tc>
          <w:tcPr>
            <w:tcW w:w="46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615,000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830,000</w:t>
            </w:r>
          </w:p>
        </w:tc>
      </w:tr>
      <w:tr>
        <w:trPr>
          <w:trHeight w:val="280"/>
        </w:trPr>
        <w:tc>
          <w:tcPr>
            <w:tcW w:w="79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Dividends paid</w:t>
            </w:r>
          </w:p>
        </w:tc>
        <w:tc>
          <w:tcPr>
            <w:tcW w:w="46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(154,866)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(150,258)</w:t>
            </w:r>
          </w:p>
        </w:tc>
      </w:tr>
      <w:tr>
        <w:trPr>
          <w:trHeight w:val="260"/>
        </w:trPr>
        <w:tc>
          <w:tcPr>
            <w:tcW w:w="7900" w:type="dxa"/>
            <w:vAlign w:val="bottom"/>
            <w:gridSpan w:val="2"/>
          </w:tcPr>
          <w:p>
            <w:pPr>
              <w:ind w:left="180"/>
              <w:spacing w:after="0"/>
              <w:rPr>
                <w:sz w:val="20"/>
                <w:szCs w:val="20"/>
                <w:color w:val="auto"/>
              </w:rPr>
            </w:pPr>
            <w:r>
              <w:rPr>
                <w:rFonts w:ascii="Arial" w:cs="Arial" w:eastAsia="Arial" w:hAnsi="Arial"/>
                <w:sz w:val="16"/>
                <w:szCs w:val="16"/>
                <w:color w:val="auto"/>
              </w:rPr>
              <w:t>Repurchase of common stock, including shares surrendered</w:t>
            </w:r>
          </w:p>
        </w:tc>
        <w:tc>
          <w:tcPr>
            <w:tcW w:w="4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(102,152)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(7,746)</w:t>
            </w:r>
          </w:p>
        </w:tc>
      </w:tr>
      <w:tr>
        <w:trPr>
          <w:trHeight w:val="280"/>
        </w:trPr>
        <w:tc>
          <w:tcPr>
            <w:tcW w:w="79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4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2,527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28,268</w:t>
            </w:r>
          </w:p>
        </w:tc>
      </w:tr>
      <w:tr>
        <w:trPr>
          <w:trHeight w:val="264"/>
        </w:trPr>
        <w:tc>
          <w:tcPr>
            <w:tcW w:w="790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Other, net</w:t>
            </w:r>
          </w:p>
        </w:tc>
        <w:tc>
          <w:tcPr>
            <w:tcW w:w="4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(28,922)</w:t>
            </w:r>
          </w:p>
        </w:tc>
      </w:tr>
      <w:tr>
        <w:trPr>
          <w:trHeight w:val="250"/>
        </w:trPr>
        <w:tc>
          <w:tcPr>
            <w:tcW w:w="79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Net cash provided by financing activities</w:t>
            </w:r>
          </w:p>
        </w:tc>
        <w:tc>
          <w:tcPr>
            <w:tcW w:w="4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110,383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631,342</w:t>
            </w:r>
          </w:p>
        </w:tc>
      </w:tr>
      <w:tr>
        <w:trPr>
          <w:trHeight w:val="122"/>
        </w:trPr>
        <w:tc>
          <w:tcPr>
            <w:tcW w:w="7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tcPr>
          <w:p>
            <w:pPr>
              <w:spacing w:after="0"/>
              <w:rPr>
                <w:sz w:val="10"/>
                <w:szCs w:val="10"/>
                <w:color w:val="auto"/>
              </w:rPr>
            </w:pPr>
          </w:p>
        </w:tc>
      </w:tr>
      <w:tr>
        <w:trPr>
          <w:trHeight w:val="270"/>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Effects of exchange rate changes on cash</w:t>
            </w:r>
          </w:p>
        </w:tc>
        <w:tc>
          <w:tcPr>
            <w:tcW w:w="46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(2,217)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1,792</w:t>
            </w:r>
          </w:p>
        </w:tc>
      </w:tr>
      <w:tr>
        <w:trPr>
          <w:trHeight w:val="122"/>
        </w:trPr>
        <w:tc>
          <w:tcPr>
            <w:tcW w:w="7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tcPr>
          <w:p>
            <w:pPr>
              <w:spacing w:after="0"/>
              <w:rPr>
                <w:sz w:val="10"/>
                <w:szCs w:val="10"/>
                <w:color w:val="auto"/>
              </w:rPr>
            </w:pPr>
          </w:p>
        </w:tc>
      </w:tr>
      <w:tr>
        <w:trPr>
          <w:trHeight w:val="270"/>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decrease in cash, cash equivalents and restricted cash</w:t>
            </w:r>
          </w:p>
        </w:tc>
        <w:tc>
          <w:tcPr>
            <w:tcW w:w="46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(1,358,549)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(847,140)</w:t>
            </w:r>
          </w:p>
        </w:tc>
      </w:tr>
      <w:tr>
        <w:trPr>
          <w:trHeight w:val="264"/>
        </w:trPr>
        <w:tc>
          <w:tcPr>
            <w:tcW w:w="79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Cash, cash equivalents and restricted cash, beginning of period</w:t>
            </w:r>
          </w:p>
        </w:tc>
        <w:tc>
          <w:tcPr>
            <w:tcW w:w="4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1,663,678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1,117,539</w:t>
            </w:r>
          </w:p>
        </w:tc>
      </w:tr>
      <w:tr>
        <w:trPr>
          <w:trHeight w:val="250"/>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end of period</w:t>
            </w: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305,129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270,399</w:t>
            </w:r>
          </w:p>
        </w:tc>
      </w:tr>
      <w:tr>
        <w:trPr>
          <w:trHeight w:val="122"/>
        </w:trPr>
        <w:tc>
          <w:tcPr>
            <w:tcW w:w="7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tcPr>
          <w:p>
            <w:pPr>
              <w:spacing w:after="0"/>
              <w:rPr>
                <w:sz w:val="10"/>
                <w:szCs w:val="10"/>
                <w:color w:val="auto"/>
              </w:rPr>
            </w:pPr>
          </w:p>
        </w:tc>
      </w:tr>
      <w:tr>
        <w:trPr>
          <w:trHeight w:val="270"/>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SUPPLEMENTARY CASH FLOW DATA:</w:t>
            </w:r>
          </w:p>
        </w:tc>
        <w:tc>
          <w:tcPr>
            <w:tcW w:w="4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60"/>
        </w:trPr>
        <w:tc>
          <w:tcPr>
            <w:tcW w:w="7900" w:type="dxa"/>
            <w:vAlign w:val="bottom"/>
            <w:gridSpan w:val="2"/>
          </w:tcPr>
          <w:p>
            <w:pPr>
              <w:ind w:left="180"/>
              <w:spacing w:after="0"/>
              <w:rPr>
                <w:sz w:val="20"/>
                <w:szCs w:val="20"/>
                <w:color w:val="auto"/>
              </w:rPr>
            </w:pPr>
            <w:r>
              <w:rPr>
                <w:rFonts w:ascii="Arial" w:cs="Arial" w:eastAsia="Arial" w:hAnsi="Arial"/>
                <w:sz w:val="16"/>
                <w:szCs w:val="16"/>
                <w:color w:val="auto"/>
              </w:rPr>
              <w:t>Income taxes paid, net of refunds received</w:t>
            </w:r>
          </w:p>
        </w:tc>
        <w:tc>
          <w:tcPr>
            <w:tcW w:w="46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103,789</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102,755</w:t>
            </w:r>
          </w:p>
        </w:tc>
      </w:tr>
      <w:tr>
        <w:trPr>
          <w:trHeight w:val="280"/>
        </w:trPr>
        <w:tc>
          <w:tcPr>
            <w:tcW w:w="79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Interest paid on borrowings</w:t>
            </w:r>
          </w:p>
        </w:tc>
        <w:tc>
          <w:tcPr>
            <w:tcW w:w="4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55,581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57,834</w:t>
            </w:r>
          </w:p>
        </w:tc>
      </w:tr>
      <w:tr>
        <w:trPr>
          <w:trHeight w:val="260"/>
        </w:trPr>
        <w:tc>
          <w:tcPr>
            <w:tcW w:w="7900" w:type="dxa"/>
            <w:vAlign w:val="bottom"/>
            <w:gridSpan w:val="2"/>
          </w:tcPr>
          <w:p>
            <w:pPr>
              <w:ind w:left="180"/>
              <w:spacing w:after="0"/>
              <w:rPr>
                <w:sz w:val="20"/>
                <w:szCs w:val="20"/>
                <w:color w:val="auto"/>
              </w:rPr>
            </w:pPr>
            <w:r>
              <w:rPr>
                <w:rFonts w:ascii="Arial" w:cs="Arial" w:eastAsia="Arial" w:hAnsi="Arial"/>
                <w:sz w:val="16"/>
                <w:szCs w:val="16"/>
                <w:color w:val="auto"/>
              </w:rPr>
              <w:t>Accrued additions to property and equipment</w:t>
            </w:r>
          </w:p>
        </w:tc>
        <w:tc>
          <w:tcPr>
            <w:tcW w:w="46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2,241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1,078</w:t>
            </w:r>
          </w:p>
        </w:tc>
      </w:tr>
      <w:tr>
        <w:trPr>
          <w:trHeight w:val="280"/>
        </w:trPr>
        <w:tc>
          <w:tcPr>
            <w:tcW w:w="79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Accrued purchase of common stock</w:t>
            </w:r>
          </w:p>
        </w:tc>
        <w:tc>
          <w:tcPr>
            <w:tcW w:w="4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12,301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122"/>
        </w:trPr>
        <w:tc>
          <w:tcPr>
            <w:tcW w:w="77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r>
    </w:tbl>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306070</wp:posOffset>
            </wp:positionV>
            <wp:extent cx="22288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ectPr>
          <w:pgSz w:w="11900" w:h="16838" w:orient="portrait"/>
          <w:cols w:equalWidth="0" w:num="1">
            <w:col w:w="11420"/>
          </w:cols>
          <w:pgMar w:left="240" w:top="249" w:right="2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8380"/>
        <w:spacing w:after="0"/>
        <w:tabs>
          <w:tab w:leader="none" w:pos="1118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FY2019 Form 10-Q</w:t>
      </w:r>
      <w:r>
        <w:rPr>
          <w:sz w:val="20"/>
          <w:szCs w:val="20"/>
          <w:color w:val="auto"/>
        </w:rPr>
        <w:tab/>
      </w:r>
      <w:r>
        <w:rPr>
          <w:rFonts w:ascii="Arial" w:cs="Arial" w:eastAsia="Arial" w:hAnsi="Arial"/>
          <w:sz w:val="14"/>
          <w:szCs w:val="14"/>
          <w:color w:val="FFFFFF"/>
          <w:highlight w:val="black"/>
        </w:rPr>
        <w:t>3</w:t>
      </w:r>
    </w:p>
    <w:p>
      <w:pPr>
        <w:sectPr>
          <w:pgSz w:w="11900" w:h="16838" w:orient="portrait"/>
          <w:cols w:equalWidth="0" w:num="1">
            <w:col w:w="11420"/>
          </w:cols>
          <w:pgMar w:left="240" w:top="249" w:right="239" w:bottom="1440" w:gutter="0" w:footer="0" w:header="0"/>
          <w:type w:val="continuous"/>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5" w:lineRule="exact"/>
        <w:rPr>
          <w:sz w:val="20"/>
          <w:szCs w:val="20"/>
          <w:color w:val="auto"/>
        </w:rPr>
      </w:pPr>
    </w:p>
    <w:p>
      <w:pPr>
        <w:spacing w:after="0"/>
        <w:tabs>
          <w:tab w:leader="none" w:pos="6660" w:val="left"/>
        </w:tabs>
        <w:rPr>
          <w:sz w:val="20"/>
          <w:szCs w:val="20"/>
          <w:color w:val="auto"/>
        </w:rPr>
      </w:pPr>
      <w:r>
        <w:rPr>
          <w:rFonts w:ascii="Arial" w:cs="Arial" w:eastAsia="Arial" w:hAnsi="Arial"/>
          <w:sz w:val="22"/>
          <w:szCs w:val="22"/>
          <w:b w:val="1"/>
          <w:bCs w:val="1"/>
          <w:color w:val="auto"/>
        </w:rPr>
        <w:t>NOTES TO CONSOLIDATED FINANCIAL STATEMENTS</w:t>
      </w:r>
      <w:r>
        <w:rPr>
          <w:sz w:val="20"/>
          <w:szCs w:val="20"/>
          <w:color w:val="auto"/>
        </w:rPr>
        <w:tab/>
      </w:r>
      <w:r>
        <w:rPr>
          <w:rFonts w:ascii="Arial" w:cs="Arial" w:eastAsia="Arial" w:hAnsi="Arial"/>
          <w:sz w:val="21"/>
          <w:szCs w:val="21"/>
          <w:color w:val="auto"/>
        </w:rPr>
        <w:t>(unaudited)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consolidated balance sheets as of January 31, 2019 and 2018, the consolidated statements of operations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comprehensive loss for the three and nine months ended January 31, 2019 and 2018, and the consolidated statements of cash flows for the nine months ended January 31, 2019 and 2018 have been prepared by the Company, without audit. In the opinion of management, all adjustments, which include only normal recurring adjustments, necessary to present fairly the financial position, results of operations, and cash flows as of January 31, 2019 and 2018 and for all periods presented have been made.</w:t>
      </w:r>
    </w:p>
    <w:p>
      <w:pPr>
        <w:spacing w:after="0" w:line="94"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"H&amp;R Block," "the Company," "we," "our," and "us" are used interchangeably to refer to H&amp;R Block, Inc. or to H&amp;R Block, Inc. and its subsidiaries, as appropriate to the context.</w:t>
      </w:r>
    </w:p>
    <w:p>
      <w:pPr>
        <w:spacing w:after="0" w:line="8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accounting principles generally accepted in the United States (GAAP) have been condensed or omitted. These consolidated financial statements should be read in conjunction with the financial statements and notes thereto included in our April 30, 2018 Annual Report to Shareholders on Form 10-K and the additional financial statement disclosures provided under Accounting Standards Update No. 2014-09, “Revenue from Contracts with Customers” (ASU 2014-09), included in the Company’s Current Report on Form 8-K filed with the Securities and Exchange Commission on November 15, 2018. The Form 10-K and Form 8-K are collectively referred to herein as our "Annual Report on Form 10-K." All amounts presented herein as of April 30, 2018 or for the year then ended are derived from our Annual Report on Form 10-K.</w:t>
      </w:r>
    </w:p>
    <w:p>
      <w:pPr>
        <w:spacing w:after="0" w:line="77"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b w:val="1"/>
          <w:bCs w:val="1"/>
          <w:color w:val="auto"/>
        </w:rPr>
        <w:t xml:space="preserve">MANAGEMENT ESTIMATES </w:t>
      </w:r>
      <w:r>
        <w:rPr>
          <w:rFonts w:ascii="Arial" w:cs="Arial" w:eastAsia="Arial" w:hAnsi="Arial"/>
          <w:sz w:val="18"/>
          <w:szCs w:val="18"/>
          <w:color w:val="auto"/>
        </w:rPr>
        <w:t>– The preparation of financial statements in conformity with GAAP requires management to make estimates</w:t>
      </w:r>
      <w:r>
        <w:rPr>
          <w:rFonts w:ascii="Arial" w:cs="Arial" w:eastAsia="Arial" w:hAnsi="Arial"/>
          <w:sz w:val="18"/>
          <w:szCs w:val="18"/>
          <w:b w:val="1"/>
          <w:bCs w:val="1"/>
          <w:color w:val="auto"/>
        </w:rPr>
        <w:t xml:space="preserve"> </w:t>
      </w:r>
      <w:r>
        <w:rPr>
          <w:rFonts w:ascii="Arial" w:cs="Arial" w:eastAsia="Arial" w:hAnsi="Arial"/>
          <w:sz w:val="18"/>
          <w:szCs w:val="18"/>
          <w:color w:val="auto"/>
        </w:rPr>
        <w:t>and assumptions that affect the reported amounts of assets and liabilities and disclosure of contingent assets and liabilities at the date of the financial statements and the reported amounts of revenues and expenses during the reporting periods. Significant estimates, assumptions and judgments are applied in the evaluation of contingent losses arising from our discontinued mortgage business, contingent losses associated with pending claims and litigation, reserves for uncertain tax positions, and related matters. Estimates have been prepared based on the best information available as of each balance sheet date. As such, actual results could differ materially from those estimates.</w:t>
      </w:r>
    </w:p>
    <w:p>
      <w:pPr>
        <w:spacing w:after="0" w:line="75"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8"/>
          <w:szCs w:val="18"/>
          <w:b w:val="1"/>
          <w:bCs w:val="1"/>
          <w:color w:val="auto"/>
        </w:rPr>
        <w:t xml:space="preserve">SEASONALITY OF BUSINESS </w:t>
      </w:r>
      <w:r>
        <w:rPr>
          <w:rFonts w:ascii="Arial" w:cs="Arial" w:eastAsia="Arial" w:hAnsi="Arial"/>
          <w:sz w:val="18"/>
          <w:szCs w:val="18"/>
          <w:color w:val="auto"/>
        </w:rPr>
        <w:t>– Our operating revenues are seasonal in nature with peak revenues typically occurring in the months of</w:t>
      </w:r>
      <w:r>
        <w:rPr>
          <w:rFonts w:ascii="Arial" w:cs="Arial" w:eastAsia="Arial" w:hAnsi="Arial"/>
          <w:sz w:val="18"/>
          <w:szCs w:val="18"/>
          <w:b w:val="1"/>
          <w:bCs w:val="1"/>
          <w:color w:val="auto"/>
        </w:rPr>
        <w:t xml:space="preserve"> </w:t>
      </w:r>
      <w:r>
        <w:rPr>
          <w:rFonts w:ascii="Arial" w:cs="Arial" w:eastAsia="Arial" w:hAnsi="Arial"/>
          <w:sz w:val="18"/>
          <w:szCs w:val="18"/>
          <w:color w:val="auto"/>
        </w:rPr>
        <w:t>February through April. Therefore, results for interim periods are not indicative of results to be expected for the full year.</w:t>
      </w:r>
    </w:p>
    <w:p>
      <w:pPr>
        <w:spacing w:after="0" w:line="45" w:lineRule="exact"/>
        <w:rPr>
          <w:sz w:val="20"/>
          <w:szCs w:val="20"/>
          <w:color w:val="auto"/>
        </w:rPr>
      </w:pPr>
    </w:p>
    <w:p>
      <w:pPr>
        <w:jc w:val="both"/>
        <w:ind w:firstLine="216"/>
        <w:spacing w:after="0" w:line="269" w:lineRule="auto"/>
        <w:rPr>
          <w:sz w:val="20"/>
          <w:szCs w:val="20"/>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 Our discontinued operations include the results of operations of Sand Canyon Corporation,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known as Option One Mortgage Corporation (including its subsidiaries, collectively, SCC), which exited its mortgage business in fiscal year 2008. See notes 9 and 10 for additional information on litigation, claims, and other loss contingencies related to our discontinued operations.</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NEW ACCOUNTING PRONOUNCEMENTS </w:t>
      </w:r>
      <w:r>
        <w:rPr>
          <w:rFonts w:ascii="Arial" w:cs="Arial" w:eastAsia="Arial" w:hAnsi="Arial"/>
          <w:sz w:val="18"/>
          <w:szCs w:val="18"/>
          <w:color w:val="auto"/>
        </w:rPr>
        <w:t>–</w:t>
      </w:r>
    </w:p>
    <w:p>
      <w:pPr>
        <w:spacing w:after="0" w:line="117"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In May 2014, the FASB issued ASU 2014-09, which is a comprehensive new revenue recognition model that</w:t>
      </w:r>
      <w:r>
        <w:rPr>
          <w:rFonts w:ascii="Arial" w:cs="Arial" w:eastAsia="Arial" w:hAnsi="Arial"/>
          <w:sz w:val="18"/>
          <w:szCs w:val="18"/>
          <w:b w:val="1"/>
          <w:bCs w:val="1"/>
          <w:color w:val="auto"/>
        </w:rPr>
        <w:t xml:space="preserve"> </w:t>
      </w:r>
      <w:r>
        <w:rPr>
          <w:rFonts w:ascii="Arial" w:cs="Arial" w:eastAsia="Arial" w:hAnsi="Arial"/>
          <w:sz w:val="18"/>
          <w:szCs w:val="18"/>
          <w:color w:val="auto"/>
        </w:rPr>
        <w:t>requires an entity to recognize the amount of revenue which reflects the consideration it expects to receive in exchange for the transfer of the promised goods or services to customers. This ASU also requires additional disclosure about the nature, amount, timing, and uncertainty of revenue and cash flows arising from customer contracts, including significant judgments and changes in judgments and assets recognized from costs incurred to obtain or fulfill a contract, and clarifies guidance for multiple-element arrangements. This guidance replaced most existing revenue recognition guidance in GAAP when it became effective. The new standard was effective for us on May 1, 2018, and we adopted using the full retrospective transition method. The adoption of this guidance did not have a significant impact on our consolidated financial statements. See note 2 for additional information.</w:t>
      </w:r>
    </w:p>
    <w:p>
      <w:pPr>
        <w:spacing w:after="0" w:line="77"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In October 2016, the FASB issued Accounting Standards Update No. 2016-16, "Income Taxes (Topic 740): Intra-Entity Asset</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Transfers of Assets Other than Inventory" (ASU 2016-16). The new guidance eliminates the exception for intra-entity transfers other than inventory and requires the recognition of current and deferred income taxes resulting from such a transfer when the transfer occurs. This guidance was effective for us on May 1, 2018 and we adopted using the modified retrospective transition method. We recognized a $101.0 million cumulative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23177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1775" cy="13716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400" w:hanging="250"/>
        <w:spacing w:after="0"/>
        <w:tabs>
          <w:tab w:leader="none" w:pos="400" w:val="left"/>
        </w:tabs>
        <w:numPr>
          <w:ilvl w:val="0"/>
          <w:numId w:val="4"/>
        </w:numPr>
        <w:rPr>
          <w:rFonts w:ascii="Arial" w:cs="Arial" w:eastAsia="Arial" w:hAnsi="Arial"/>
          <w:sz w:val="14"/>
          <w:szCs w:val="14"/>
          <w:color w:val="FFFFFF"/>
          <w:highlight w:val="black"/>
        </w:rPr>
      </w:pPr>
      <w:r>
        <w:rPr>
          <w:rFonts w:ascii="Arial" w:cs="Arial" w:eastAsia="Arial" w:hAnsi="Arial"/>
          <w:sz w:val="14"/>
          <w:szCs w:val="14"/>
          <w:color w:val="auto"/>
        </w:rPr>
        <w:t xml:space="preserve">Q3 FY2019 Form 10-Q | </w:t>
      </w:r>
      <w:r>
        <w:rPr>
          <w:rFonts w:ascii="Arial" w:cs="Arial" w:eastAsia="Arial" w:hAnsi="Arial"/>
          <w:sz w:val="14"/>
          <w:szCs w:val="14"/>
          <w:b w:val="1"/>
          <w:bCs w:val="1"/>
          <w:color w:val="auto"/>
        </w:rPr>
        <w:t>H&amp;R Block, Inc.</w:t>
      </w:r>
    </w:p>
    <w:p>
      <w:pPr>
        <w:sectPr>
          <w:pgSz w:w="11900" w:h="16838" w:orient="portrait"/>
          <w:cols w:equalWidth="0" w:num="1">
            <w:col w:w="11420"/>
          </w:cols>
          <w:pgMar w:left="240" w:top="249"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adjustment to increase the opening balance of retained earnings and increase deferred tax assets resulting from intra-entity transfers of intellectual property in fiscal year 2018.</w:t>
      </w:r>
    </w:p>
    <w:p>
      <w:pPr>
        <w:spacing w:after="0" w:line="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In February 2016, the FASB issued Accounting Standards Update No. 2016-02, "Leases" (ASU 2016-02), which will require the</w:t>
      </w:r>
      <w:r>
        <w:rPr>
          <w:rFonts w:ascii="Arial" w:cs="Arial" w:eastAsia="Arial" w:hAnsi="Arial"/>
          <w:sz w:val="18"/>
          <w:szCs w:val="18"/>
          <w:b w:val="1"/>
          <w:bCs w:val="1"/>
          <w:color w:val="auto"/>
        </w:rPr>
        <w:t xml:space="preserve"> </w:t>
      </w:r>
      <w:r>
        <w:rPr>
          <w:rFonts w:ascii="Arial" w:cs="Arial" w:eastAsia="Arial" w:hAnsi="Arial"/>
          <w:sz w:val="18"/>
          <w:szCs w:val="18"/>
          <w:color w:val="auto"/>
        </w:rPr>
        <w:t>recognition of lease assets and lease liabilities by lessees for leases previously classified as operating leases. ASU 2016-02 also requires additional qualitative and quantitative disclosures related to the nature, timing and uncertainty of cash flows arising from leases. This guidance will be effective for us on May 1, 2019, with early adoption permitted. In July 2018, the FASB approved an amendment to the new guidance that provides an alternative transition method which allows companies the option of using the effective date of the new standard as the initial application date (at the beginning of the period in which is it adopted, rather than at the beginning of the earliest comparative period). We expect to adopt ASU 2016-02 using the alternative transition method, and we expect that adoption of the new standard will require changes to our internal controls over financial reporting.</w:t>
      </w:r>
    </w:p>
    <w:p>
      <w:pPr>
        <w:spacing w:after="0" w:line="99"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We are in the process of evaluating the impact of ASU 2016-02 on our financial statements. The majority of our lease portfolio consists of retail office space in the U.S., Canada and Australia. The contract terms for these retail offices average four years and generally are from May 1 to April 30. We do not anticipate including renewal options in our lease terms under the new standard. As individual leases expire, those leases are generally renegotiated. At April 30 of any year, a significant number of our leases will be at the end of their terms, and therefore, we will have no right of use (ROU) asset or lease liability recorded in our financial statements related to those expired leases. This will cause variability in what is recorded in our financial statements as the ROU asset and lease liability are recorded at the beginning of the lease term (May 1). We estimate that the adoption of ASU 2016-02 will result in the addition of assets and liabilities of over $500 million to our consolidated balance sheet. However, the ultimate impact of the standard will depend on our lease portfolio, discount rates, and foreign currency rates as of May 1, 2019.</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May 1, 2018, we adopted ASU 2014-09 using the full retrospective approach for all contracts as of the adoption date. As the adoption of this guidance did not have a significant impact on our consolidated financial statements, no adjustments were made to the prior year periods to be in compliance with ASU 2014-09.</w:t>
      </w:r>
    </w:p>
    <w:p>
      <w:pPr>
        <w:spacing w:after="0" w:line="9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Revenue is recognized upon satisfaction of performance obligations by the transfer of a product or service to the customer. Revenue is the amount of consideration we expect to receive for our services and products, and excludes sales taxes. When providing the majority of our tax preparation services, we generally have multiple performance obligations that are provided simultaneously at a point in time and revenue is recognized at that time. Our Peace of Mind® Extended Service Plan (POM) and Tax Identity Shield® (TIS) products have multiple performance obligations that are provided over time. The transaction price for POM and TIS, which is due at the time of purchase, is allocated to the various performance obligations based on relative standalone selling prices. Revenues for POM and TIS are deferred until the respective performance obligations have been satisfied. We have determined that these contracts do not contain a significant financing component.</w:t>
      </w:r>
    </w:p>
    <w:p>
      <w:pPr>
        <w:spacing w:after="0" w:line="9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majority of our revenues are from our U.S. business. The following table disaggregates our U.S. revenues by major service line, with all international businesses included in a single line, which consists primarily of tax preparation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296545</wp:posOffset>
            </wp:positionV>
            <wp:extent cx="22288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8380"/>
        <w:spacing w:after="0"/>
        <w:tabs>
          <w:tab w:leader="none" w:pos="1118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FY2019 Form 10-Q</w:t>
      </w:r>
      <w:r>
        <w:rPr>
          <w:sz w:val="20"/>
          <w:szCs w:val="20"/>
          <w:color w:val="auto"/>
        </w:rPr>
        <w:tab/>
      </w:r>
      <w:r>
        <w:rPr>
          <w:rFonts w:ascii="Arial" w:cs="Arial" w:eastAsia="Arial" w:hAnsi="Arial"/>
          <w:sz w:val="14"/>
          <w:szCs w:val="14"/>
          <w:color w:val="FFFFFF"/>
          <w:highlight w:val="black"/>
        </w:rPr>
        <w:t>5</w:t>
      </w:r>
    </w:p>
    <w:p>
      <w:pPr>
        <w:sectPr>
          <w:pgSz w:w="11900" w:h="16838" w:orient="portrait"/>
          <w:cols w:equalWidth="0" w:num="1">
            <w:col w:w="11420"/>
          </w:cols>
          <w:pgMar w:left="240" w:top="249"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(in 000s)</w:t>
            </w:r>
          </w:p>
        </w:tc>
      </w:tr>
      <w:tr>
        <w:trPr>
          <w:trHeight w:val="263"/>
        </w:trPr>
        <w:tc>
          <w:tcPr>
            <w:tcW w:w="5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960" w:type="dxa"/>
            <w:vAlign w:val="bottom"/>
            <w:gridSpan w:val="5"/>
          </w:tcPr>
          <w:p>
            <w:pPr>
              <w:ind w:left="120"/>
              <w:spacing w:after="0"/>
              <w:rPr>
                <w:sz w:val="20"/>
                <w:szCs w:val="20"/>
                <w:color w:val="auto"/>
              </w:rPr>
            </w:pPr>
            <w:r>
              <w:rPr>
                <w:rFonts w:ascii="Arial" w:cs="Arial" w:eastAsia="Arial" w:hAnsi="Arial"/>
                <w:sz w:val="16"/>
                <w:szCs w:val="16"/>
                <w:color w:val="auto"/>
              </w:rPr>
              <w:t>Three months ended January 31,</w:t>
            </w:r>
          </w:p>
        </w:tc>
        <w:tc>
          <w:tcPr>
            <w:tcW w:w="260" w:type="dxa"/>
            <w:vAlign w:val="bottom"/>
          </w:tcPr>
          <w:p>
            <w:pPr>
              <w:spacing w:after="0"/>
              <w:rPr>
                <w:sz w:val="22"/>
                <w:szCs w:val="22"/>
                <w:color w:val="auto"/>
              </w:rPr>
            </w:pPr>
          </w:p>
        </w:tc>
        <w:tc>
          <w:tcPr>
            <w:tcW w:w="2800" w:type="dxa"/>
            <w:vAlign w:val="bottom"/>
            <w:gridSpan w:val="4"/>
          </w:tcPr>
          <w:p>
            <w:pPr>
              <w:jc w:val="right"/>
              <w:ind w:right="280"/>
              <w:spacing w:after="0"/>
              <w:rPr>
                <w:sz w:val="20"/>
                <w:szCs w:val="20"/>
                <w:color w:val="auto"/>
              </w:rPr>
            </w:pPr>
            <w:r>
              <w:rPr>
                <w:rFonts w:ascii="Arial" w:cs="Arial" w:eastAsia="Arial" w:hAnsi="Arial"/>
                <w:sz w:val="16"/>
                <w:szCs w:val="16"/>
                <w:color w:val="auto"/>
              </w:rPr>
              <w:t>Nine months ended January 31,</w:t>
            </w:r>
          </w:p>
        </w:tc>
      </w:tr>
      <w:tr>
        <w:trPr>
          <w:trHeight w:val="264"/>
        </w:trPr>
        <w:tc>
          <w:tcPr>
            <w:tcW w:w="50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6"/>
                <w:szCs w:val="16"/>
                <w:color w:val="auto"/>
              </w:rPr>
              <w:t>2018</w:t>
            </w:r>
          </w:p>
        </w:tc>
      </w:tr>
      <w:tr>
        <w:trPr>
          <w:trHeight w:val="260"/>
        </w:trPr>
        <w:tc>
          <w:tcPr>
            <w:tcW w:w="5040" w:type="dxa"/>
            <w:vAlign w:val="bottom"/>
          </w:tcPr>
          <w:p>
            <w:pPr>
              <w:ind w:left="40"/>
              <w:spacing w:after="0"/>
              <w:rPr>
                <w:sz w:val="20"/>
                <w:szCs w:val="20"/>
                <w:color w:val="auto"/>
              </w:rPr>
            </w:pPr>
            <w:r>
              <w:rPr>
                <w:rFonts w:ascii="Arial" w:cs="Arial" w:eastAsia="Arial" w:hAnsi="Arial"/>
                <w:sz w:val="16"/>
                <w:szCs w:val="16"/>
                <w:color w:val="auto"/>
              </w:rPr>
              <w:t>Revenues:</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80"/>
        </w:trPr>
        <w:tc>
          <w:tcPr>
            <w:tcW w:w="5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U.S. assisted tax preparation</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256,813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267,328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329,569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333,956</w:t>
            </w:r>
          </w:p>
        </w:tc>
      </w:tr>
      <w:tr>
        <w:trPr>
          <w:trHeight w:val="260"/>
        </w:trPr>
        <w:tc>
          <w:tcPr>
            <w:tcW w:w="5040" w:type="dxa"/>
            <w:vAlign w:val="bottom"/>
          </w:tcPr>
          <w:p>
            <w:pPr>
              <w:ind w:left="180"/>
              <w:spacing w:after="0"/>
              <w:rPr>
                <w:sz w:val="20"/>
                <w:szCs w:val="20"/>
                <w:color w:val="auto"/>
              </w:rPr>
            </w:pPr>
            <w:r>
              <w:rPr>
                <w:rFonts w:ascii="Arial" w:cs="Arial" w:eastAsia="Arial" w:hAnsi="Arial"/>
                <w:sz w:val="16"/>
                <w:szCs w:val="16"/>
                <w:color w:val="auto"/>
              </w:rPr>
              <w:t>U.S. royalties</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42,265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45,420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57,898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59,395</w:t>
            </w:r>
          </w:p>
        </w:tc>
      </w:tr>
      <w:tr>
        <w:trPr>
          <w:trHeight w:val="280"/>
        </w:trPr>
        <w:tc>
          <w:tcPr>
            <w:tcW w:w="5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U.S. DIY tax preparation</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31,885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31,322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37,660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38,811</w:t>
            </w:r>
          </w:p>
        </w:tc>
      </w:tr>
      <w:tr>
        <w:trPr>
          <w:trHeight w:val="260"/>
        </w:trPr>
        <w:tc>
          <w:tcPr>
            <w:tcW w:w="5040" w:type="dxa"/>
            <w:vAlign w:val="bottom"/>
          </w:tcPr>
          <w:p>
            <w:pPr>
              <w:ind w:left="180"/>
              <w:spacing w:after="0"/>
              <w:rPr>
                <w:sz w:val="20"/>
                <w:szCs w:val="20"/>
                <w:color w:val="auto"/>
              </w:rPr>
            </w:pPr>
            <w:r>
              <w:rPr>
                <w:rFonts w:ascii="Arial" w:cs="Arial" w:eastAsia="Arial" w:hAnsi="Arial"/>
                <w:sz w:val="16"/>
                <w:szCs w:val="16"/>
                <w:color w:val="auto"/>
              </w:rPr>
              <w:t>International revenues</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12,304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12,308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96,980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100,659</w:t>
            </w:r>
          </w:p>
        </w:tc>
      </w:tr>
      <w:tr>
        <w:trPr>
          <w:trHeight w:val="280"/>
        </w:trPr>
        <w:tc>
          <w:tcPr>
            <w:tcW w:w="5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Revenues from Refund Transfers</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47,482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50,770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49,466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54,721</w:t>
            </w:r>
          </w:p>
        </w:tc>
      </w:tr>
      <w:tr>
        <w:trPr>
          <w:trHeight w:val="260"/>
        </w:trPr>
        <w:tc>
          <w:tcPr>
            <w:tcW w:w="5040" w:type="dxa"/>
            <w:vAlign w:val="bottom"/>
          </w:tcPr>
          <w:p>
            <w:pPr>
              <w:ind w:left="180"/>
              <w:spacing w:after="0"/>
              <w:rPr>
                <w:sz w:val="20"/>
                <w:szCs w:val="20"/>
                <w:color w:val="auto"/>
              </w:rPr>
            </w:pPr>
            <w:r>
              <w:rPr>
                <w:rFonts w:ascii="Arial" w:cs="Arial" w:eastAsia="Arial" w:hAnsi="Arial"/>
                <w:sz w:val="16"/>
                <w:szCs w:val="16"/>
                <w:color w:val="auto"/>
              </w:rPr>
              <w:t>Revenues from Emerald Card®</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14,980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16,125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38,704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40,292</w:t>
            </w:r>
          </w:p>
        </w:tc>
      </w:tr>
      <w:tr>
        <w:trPr>
          <w:trHeight w:val="280"/>
        </w:trPr>
        <w:tc>
          <w:tcPr>
            <w:tcW w:w="5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Revenues from Peace of Mind® Extended Service Plan</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16,596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19,967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77,491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76,495</w:t>
            </w:r>
          </w:p>
        </w:tc>
      </w:tr>
      <w:tr>
        <w:trPr>
          <w:trHeight w:val="260"/>
        </w:trPr>
        <w:tc>
          <w:tcPr>
            <w:tcW w:w="5040" w:type="dxa"/>
            <w:vAlign w:val="bottom"/>
          </w:tcPr>
          <w:p>
            <w:pPr>
              <w:ind w:left="180"/>
              <w:spacing w:after="0"/>
              <w:rPr>
                <w:sz w:val="20"/>
                <w:szCs w:val="20"/>
                <w:color w:val="auto"/>
              </w:rPr>
            </w:pPr>
            <w:r>
              <w:rPr>
                <w:rFonts w:ascii="Arial" w:cs="Arial" w:eastAsia="Arial" w:hAnsi="Arial"/>
                <w:sz w:val="16"/>
                <w:szCs w:val="16"/>
                <w:color w:val="auto"/>
              </w:rPr>
              <w:t>Revenues from Tax Identity Shield®</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7,655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6,818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17,639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7,329</w:t>
            </w:r>
          </w:p>
        </w:tc>
      </w:tr>
      <w:tr>
        <w:trPr>
          <w:trHeight w:val="280"/>
        </w:trPr>
        <w:tc>
          <w:tcPr>
            <w:tcW w:w="5040" w:type="dxa"/>
            <w:vAlign w:val="bottom"/>
            <w:shd w:val="clear" w:color="auto" w:fill="CCEEFF"/>
          </w:tcPr>
          <w:p>
            <w:pPr>
              <w:ind w:left="180"/>
              <w:spacing w:after="0" w:line="280" w:lineRule="exact"/>
              <w:rPr>
                <w:sz w:val="20"/>
                <w:szCs w:val="20"/>
                <w:color w:val="auto"/>
              </w:rPr>
            </w:pPr>
            <w:r>
              <w:rPr>
                <w:rFonts w:ascii="Arial" w:cs="Arial" w:eastAsia="Arial" w:hAnsi="Arial"/>
                <w:sz w:val="16"/>
                <w:szCs w:val="16"/>
                <w:color w:val="auto"/>
              </w:rPr>
              <w:t>Interest and fee income on Emerald Advance</w:t>
            </w:r>
            <w:r>
              <w:rPr>
                <w:rFonts w:ascii="Arial" w:cs="Arial" w:eastAsia="Arial" w:hAnsi="Arial"/>
                <w:sz w:val="27"/>
                <w:szCs w:val="27"/>
                <w:color w:val="auto"/>
                <w:vertAlign w:val="superscript"/>
              </w:rPr>
              <w:t>TM</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30,924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31,075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31,768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32,333</w:t>
            </w:r>
          </w:p>
        </w:tc>
      </w:tr>
      <w:tr>
        <w:trPr>
          <w:trHeight w:val="264"/>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7,480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7,293</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25,263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23,091</w:t>
            </w:r>
          </w:p>
        </w:tc>
      </w:tr>
      <w:tr>
        <w:trPr>
          <w:trHeight w:val="264"/>
        </w:trPr>
        <w:tc>
          <w:tcPr>
            <w:tcW w:w="5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revenues</w:t>
            </w:r>
          </w:p>
        </w:tc>
        <w:tc>
          <w:tcPr>
            <w:tcW w:w="3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468,384</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488,426</w:t>
            </w:r>
          </w:p>
        </w:tc>
        <w:tc>
          <w:tcPr>
            <w:tcW w:w="1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762,438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767,082</w:t>
            </w:r>
          </w:p>
        </w:tc>
      </w:tr>
      <w:tr>
        <w:trPr>
          <w:trHeight w:val="122"/>
        </w:trPr>
        <w:tc>
          <w:tcPr>
            <w:tcW w:w="5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pacing w:after="0" w:line="10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Service revenues are recognized when performance obligations are satisfied as follows:</w:t>
      </w:r>
    </w:p>
    <w:p>
      <w:pPr>
        <w:spacing w:after="0" w:line="117" w:lineRule="exact"/>
        <w:rPr>
          <w:sz w:val="20"/>
          <w:szCs w:val="20"/>
          <w:color w:val="auto"/>
        </w:rPr>
      </w:pPr>
    </w:p>
    <w:p>
      <w:pPr>
        <w:ind w:left="420" w:hanging="169"/>
        <w:spacing w:after="0" w:line="262"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Assisted and DIY online tax preparation revenues are recorded when a completed return is electronically filed or accepted by the customer. The value of point-of-sale discounts and coupons are recorded as a reduction of revenue.</w:t>
      </w:r>
    </w:p>
    <w:p>
      <w:pPr>
        <w:spacing w:after="0" w:line="88" w:lineRule="exact"/>
        <w:rPr>
          <w:rFonts w:ascii="Arial" w:cs="Arial" w:eastAsia="Arial" w:hAnsi="Arial"/>
          <w:sz w:val="18"/>
          <w:szCs w:val="18"/>
          <w:color w:val="auto"/>
        </w:rPr>
      </w:pPr>
    </w:p>
    <w:p>
      <w:pPr>
        <w:ind w:left="420" w:hanging="169"/>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Fees for electronic filing of tax returns prepared using our DIY desktop software are recorded when the return is electronically filed.</w:t>
      </w:r>
    </w:p>
    <w:p>
      <w:pPr>
        <w:spacing w:after="0" w:line="117" w:lineRule="exact"/>
        <w:rPr>
          <w:rFonts w:ascii="Arial" w:cs="Arial" w:eastAsia="Arial" w:hAnsi="Arial"/>
          <w:sz w:val="18"/>
          <w:szCs w:val="18"/>
          <w:color w:val="auto"/>
        </w:rPr>
      </w:pPr>
    </w:p>
    <w:p>
      <w:pPr>
        <w:ind w:left="420" w:hanging="169"/>
        <w:spacing w:after="0" w:line="262"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Revenues from Refund Transfers (RTs) are recognized when the Internal Revenue Service (IRS) acknowledgment is received and the bank account is established at Axos Bank, formerly known as BofI Federal Bank, a federal savings bank (Axos).</w:t>
      </w:r>
    </w:p>
    <w:p>
      <w:pPr>
        <w:spacing w:after="0" w:line="88" w:lineRule="exact"/>
        <w:rPr>
          <w:rFonts w:ascii="Arial" w:cs="Arial" w:eastAsia="Arial" w:hAnsi="Arial"/>
          <w:sz w:val="18"/>
          <w:szCs w:val="18"/>
          <w:color w:val="auto"/>
        </w:rPr>
      </w:pPr>
    </w:p>
    <w:p>
      <w:pPr>
        <w:jc w:val="both"/>
        <w:ind w:left="420" w:hanging="169"/>
        <w:spacing w:after="0" w:line="254"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Revenues from our Emerald Card® program consist of interchange income from the use of debit cards and fees from the use of ATM networks, net of volume-based amounts retained by Axos in connection with our agreement. Interchange income is a fee paid by a merchant bank to Axos through the interchange network. Net revenue associated with our Emerald Card® is recognized based on cardholder transactions.</w:t>
      </w:r>
    </w:p>
    <w:p>
      <w:pPr>
        <w:spacing w:after="0" w:line="96" w:lineRule="exact"/>
        <w:rPr>
          <w:rFonts w:ascii="Arial" w:cs="Arial" w:eastAsia="Arial" w:hAnsi="Arial"/>
          <w:sz w:val="18"/>
          <w:szCs w:val="18"/>
          <w:color w:val="auto"/>
        </w:rPr>
      </w:pPr>
    </w:p>
    <w:p>
      <w:pPr>
        <w:jc w:val="both"/>
        <w:ind w:left="420" w:hanging="169"/>
        <w:spacing w:after="0" w:line="253"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Under POM we (1) represent our clients if they are audited by a taxing authority, and (2) assume the cost, subject to certain limits, of additional taxes owed by a client resulting from errors attributable to H&amp;R Block. POM revenues and incremental wages are deferred and recognized over the term of the plan, based on the historical pattern of actual claims paid, as claims paid represent the transfer of POM services to the customer. The plan is effective for the life of the tax return, which can be up to six years; however, the majority of claims are incurred in years two and three after the sale of POM.</w:t>
      </w:r>
    </w:p>
    <w:p>
      <w:pPr>
        <w:spacing w:after="0" w:line="97" w:lineRule="exact"/>
        <w:rPr>
          <w:rFonts w:ascii="Arial" w:cs="Arial" w:eastAsia="Arial" w:hAnsi="Arial"/>
          <w:sz w:val="18"/>
          <w:szCs w:val="18"/>
          <w:color w:val="auto"/>
        </w:rPr>
      </w:pPr>
    </w:p>
    <w:p>
      <w:pPr>
        <w:jc w:val="both"/>
        <w:ind w:left="420" w:hanging="169"/>
        <w:spacing w:after="0" w:line="252"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TIS program offers clients assistance in helping protect their tax identity and access to services to help restore their tax identity, if necessary. Protection services include a daily scan of the dark web for personal information, a monthly scan for social security number in credit header data (new in fiscal year 2019), a pre-tax season identity theft risk assessment (only available to Assisted tax preparation clients), notifying clients if their information is detected on a tax return filed through H&amp;R Block, and obtaining additional IRS identity protections when eligible. TIS revenues are deferred and are recognized as the various services are provided to the client, either by us or a third party, throughout the term of the contract, which ends on April 30th of the following year.</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Royalty, product and other revenues are recognized when performance obligations are satisfied as follows:</w:t>
      </w:r>
    </w:p>
    <w:p>
      <w:pPr>
        <w:spacing w:after="0" w:line="117" w:lineRule="exact"/>
        <w:rPr>
          <w:sz w:val="20"/>
          <w:szCs w:val="20"/>
          <w:color w:val="auto"/>
        </w:rPr>
      </w:pPr>
    </w:p>
    <w:p>
      <w:pPr>
        <w:ind w:left="420" w:hanging="169"/>
        <w:spacing w:after="0" w:line="262"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Royalties, which are based on contractual percentages of franchise gross receipts, are generally recorded in the period in which the services are provided by the franchisee to the customer.</w:t>
      </w:r>
    </w:p>
    <w:p>
      <w:pPr>
        <w:spacing w:after="0" w:line="88" w:lineRule="exact"/>
        <w:rPr>
          <w:rFonts w:ascii="Arial" w:cs="Arial" w:eastAsia="Arial" w:hAnsi="Arial"/>
          <w:sz w:val="18"/>
          <w:szCs w:val="18"/>
          <w:color w:val="auto"/>
        </w:rPr>
      </w:pPr>
    </w:p>
    <w:p>
      <w:pPr>
        <w:ind w:left="420" w:hanging="169"/>
        <w:spacing w:after="0" w:line="262"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from the sale of DIY desktop software is recognized when the product is sold to the end user. Rebates and other incentives paid in connection with these sales are recorded as a reduction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23177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1775" cy="1371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400" w:hanging="250"/>
        <w:spacing w:after="0"/>
        <w:tabs>
          <w:tab w:leader="none" w:pos="400" w:val="left"/>
        </w:tabs>
        <w:numPr>
          <w:ilvl w:val="0"/>
          <w:numId w:val="7"/>
        </w:numPr>
        <w:rPr>
          <w:rFonts w:ascii="Arial" w:cs="Arial" w:eastAsia="Arial" w:hAnsi="Arial"/>
          <w:sz w:val="14"/>
          <w:szCs w:val="14"/>
          <w:color w:val="FFFFFF"/>
          <w:highlight w:val="black"/>
        </w:rPr>
      </w:pPr>
      <w:r>
        <w:rPr>
          <w:rFonts w:ascii="Arial" w:cs="Arial" w:eastAsia="Arial" w:hAnsi="Arial"/>
          <w:sz w:val="14"/>
          <w:szCs w:val="14"/>
          <w:color w:val="auto"/>
        </w:rPr>
        <w:t xml:space="preserve">Q3 FY2019 Form 10-Q | </w:t>
      </w:r>
      <w:r>
        <w:rPr>
          <w:rFonts w:ascii="Arial" w:cs="Arial" w:eastAsia="Arial" w:hAnsi="Arial"/>
          <w:sz w:val="14"/>
          <w:szCs w:val="14"/>
          <w:b w:val="1"/>
          <w:bCs w:val="1"/>
          <w:color w:val="auto"/>
        </w:rPr>
        <w:t>H&amp;R Block, Inc.</w:t>
      </w:r>
    </w:p>
    <w:p>
      <w:pPr>
        <w:sectPr>
          <w:pgSz w:w="11900" w:h="16838" w:orient="portrait"/>
          <w:cols w:equalWidth="0" w:num="1">
            <w:col w:w="11420"/>
          </w:cols>
          <w:pgMar w:left="240" w:top="249"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ind w:left="260" w:right="1840" w:hanging="9"/>
        <w:spacing w:after="0" w:line="387" w:lineRule="auto"/>
        <w:tabs>
          <w:tab w:leader="none" w:pos="422"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and fee income on Emerald Advance</w:t>
      </w:r>
      <w:r>
        <w:rPr>
          <w:rFonts w:ascii="Arial" w:cs="Arial" w:eastAsia="Arial" w:hAnsi="Arial"/>
          <w:sz w:val="15"/>
          <w:szCs w:val="15"/>
          <w:color w:val="auto"/>
        </w:rPr>
        <w:t>TM</w:t>
      </w:r>
      <w:r>
        <w:rPr>
          <w:rFonts w:ascii="Arial" w:cs="Arial" w:eastAsia="Arial" w:hAnsi="Arial"/>
          <w:sz w:val="18"/>
          <w:szCs w:val="18"/>
          <w:color w:val="auto"/>
        </w:rPr>
        <w:t xml:space="preserve"> lines of credit (EAs) is recorded over the life of the underlying loan. Changes in the balances of deferred revenue and wages for POM are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(in 000s)</w:t>
            </w:r>
          </w:p>
        </w:tc>
      </w:tr>
      <w:tr>
        <w:trPr>
          <w:trHeight w:val="263"/>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POM</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color w:val="auto"/>
              </w:rPr>
              <w:t>Deferred Revenue</w:t>
            </w: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color w:val="auto"/>
              </w:rPr>
              <w:t>Deferred Wages</w:t>
            </w:r>
          </w:p>
        </w:tc>
        <w:tc>
          <w:tcPr>
            <w:tcW w:w="800" w:type="dxa"/>
            <w:vAlign w:val="bottom"/>
            <w:tcBorders>
              <w:bottom w:val="single" w:sz="8" w:color="auto"/>
            </w:tcBorders>
          </w:tcPr>
          <w:p>
            <w:pPr>
              <w:spacing w:after="0"/>
              <w:rPr>
                <w:sz w:val="22"/>
                <w:szCs w:val="22"/>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Nine months ended January 31,</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2018</w:t>
            </w:r>
          </w:p>
        </w:tc>
      </w:tr>
      <w:tr>
        <w:trPr>
          <w:trHeight w:val="257"/>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beginning of the period</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218,274</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211,223</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32,683</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31,344</w:t>
            </w: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Amounts deferred</w:t>
            </w:r>
          </w:p>
        </w:tc>
        <w:tc>
          <w:tcPr>
            <w:tcW w:w="460" w:type="dxa"/>
            <w:vAlign w:val="bottom"/>
          </w:tcPr>
          <w:p>
            <w:pPr>
              <w:spacing w:after="0"/>
              <w:rPr>
                <w:sz w:val="22"/>
                <w:szCs w:val="22"/>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27,711</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29,023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1,773</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2,649</w:t>
            </w:r>
          </w:p>
        </w:tc>
      </w:tr>
      <w:tr>
        <w:trPr>
          <w:trHeight w:val="273"/>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Amounts recognized on previous deferrals</w:t>
            </w:r>
          </w:p>
        </w:tc>
        <w:tc>
          <w:tcPr>
            <w:tcW w:w="4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(90,439)</w:t>
            </w:r>
          </w:p>
        </w:tc>
        <w:tc>
          <w:tcPr>
            <w:tcW w:w="12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(86,347)</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(13,569)</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(12,496)</w:t>
            </w:r>
          </w:p>
        </w:tc>
      </w:tr>
      <w:tr>
        <w:trPr>
          <w:trHeight w:val="250"/>
        </w:trPr>
        <w:tc>
          <w:tcPr>
            <w:tcW w:w="51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Balance, end of the period</w:t>
            </w: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155,546</w:t>
            </w:r>
          </w:p>
        </w:tc>
        <w:tc>
          <w:tcPr>
            <w:tcW w:w="12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153,899</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20,887</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21,497</w:t>
            </w:r>
          </w:p>
        </w:tc>
      </w:tr>
      <w:tr>
        <w:trPr>
          <w:trHeight w:val="122"/>
        </w:trPr>
        <w:tc>
          <w:tcPr>
            <w:tcW w:w="50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spacing w:after="0"/>
              <w:rPr>
                <w:sz w:val="10"/>
                <w:szCs w:val="10"/>
                <w:color w:val="auto"/>
              </w:rPr>
            </w:pPr>
          </w:p>
        </w:tc>
      </w:tr>
    </w:tbl>
    <w:p>
      <w:pPr>
        <w:spacing w:after="0" w:line="107" w:lineRule="exact"/>
        <w:rPr>
          <w:sz w:val="20"/>
          <w:szCs w:val="20"/>
          <w:color w:val="auto"/>
        </w:rPr>
      </w:pPr>
    </w:p>
    <w:p>
      <w:pPr>
        <w:jc w:val="both"/>
        <w:ind w:right="20" w:firstLine="243"/>
        <w:spacing w:after="0" w:line="262" w:lineRule="auto"/>
        <w:rPr>
          <w:sz w:val="20"/>
          <w:szCs w:val="20"/>
          <w:color w:val="auto"/>
        </w:rPr>
      </w:pPr>
      <w:r>
        <w:rPr>
          <w:rFonts w:ascii="Arial" w:cs="Arial" w:eastAsia="Arial" w:hAnsi="Arial"/>
          <w:sz w:val="18"/>
          <w:szCs w:val="18"/>
          <w:color w:val="auto"/>
        </w:rPr>
        <w:t>As of January 31, 2019, deferred revenue related to POM was $155.5 million. We expect that $105.3 million will be recognized over the next twelve months, while the remaining balance will be recognized over the following sixty months.</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Deferred revenue related to TIS was $36.4 million and $20.6 million at April 30, 2018 and 2017, respectively. As of January 31, 2019 and 2018, TIS deferred revenue was $21.3 million and $27.0 million, respectively. All deferred revenue related to TIS will be recognized within the next fifteen months.</w:t>
      </w:r>
    </w:p>
    <w:p>
      <w:pPr>
        <w:spacing w:after="0" w:line="9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 significant portion of our accounts receivable balances arise from services and products that we provide to our customers, with the exception of those related to EAs, which arise from purchased participations with Axos. The majority of our services and products must be paid for at the time of service, and therefore no receivable is recorded unless an RT is purchased. Generally the prices of our services and products are fixed and determinable at the time of sale. For our RT product, we record a receivable for our fees which is then collected at the time the IRS issues the client’s refund. Our receivables from customers are generally collected on a periodic basis during and subsequent to the tax season. See note 4 for our accounts receivable balances.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LOSS PER SHARE AND STOCKHOLDERS' EQUITY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LOSS PER SHARE </w:t>
      </w:r>
      <w:r>
        <w:rPr>
          <w:rFonts w:ascii="Arial" w:cs="Arial" w:eastAsia="Arial" w:hAnsi="Arial"/>
          <w:sz w:val="18"/>
          <w:szCs w:val="18"/>
          <w:color w:val="auto"/>
        </w:rPr>
        <w:t>– Basic and diluted loss per share is computed using the two-class method. The two-class method is an earnings</w:t>
      </w:r>
      <w:r>
        <w:rPr>
          <w:rFonts w:ascii="Arial" w:cs="Arial" w:eastAsia="Arial" w:hAnsi="Arial"/>
          <w:sz w:val="18"/>
          <w:szCs w:val="18"/>
          <w:b w:val="1"/>
          <w:bCs w:val="1"/>
          <w:color w:val="auto"/>
        </w:rPr>
        <w:t xml:space="preserve"> </w:t>
      </w:r>
      <w:r>
        <w:rPr>
          <w:rFonts w:ascii="Arial" w:cs="Arial" w:eastAsia="Arial" w:hAnsi="Arial"/>
          <w:sz w:val="18"/>
          <w:szCs w:val="18"/>
          <w:color w:val="auto"/>
        </w:rPr>
        <w:t>allocation formula that determines net income per share for each class of common stock and participating security according to dividends declared and participation rights in undistributed earnings. Per share amounts are computed by dividing net income or loss from continuing operations attributable to common shareholders by the weighted average shares outstanding during each period. The dilutive effect of potential common shares is included in diluted earnings per share except in those periods with a loss from continuing operations. Diluted earnings per share excludes the impact of shares of common stock issuable upon the lapse of certain restrictions or the exercise of options to purchase 3.4 million shares for the three and nine months ended January 31, 2019, and 3.3 million shares for the three and nine months ended January 31, 2018, as the effect would be antidilutive due to the net loss from continuing operations during those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303530</wp:posOffset>
            </wp:positionV>
            <wp:extent cx="22288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8380"/>
        <w:spacing w:after="0"/>
        <w:tabs>
          <w:tab w:leader="none" w:pos="1118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FY2019 Form 10-Q</w:t>
      </w:r>
      <w:r>
        <w:rPr>
          <w:sz w:val="20"/>
          <w:szCs w:val="20"/>
          <w:color w:val="auto"/>
        </w:rPr>
        <w:tab/>
      </w:r>
      <w:r>
        <w:rPr>
          <w:rFonts w:ascii="Arial" w:cs="Arial" w:eastAsia="Arial" w:hAnsi="Arial"/>
          <w:sz w:val="14"/>
          <w:szCs w:val="14"/>
          <w:color w:val="FFFFFF"/>
          <w:highlight w:val="black"/>
        </w:rPr>
        <w:t>7</w:t>
      </w:r>
    </w:p>
    <w:p>
      <w:pPr>
        <w:sectPr>
          <w:pgSz w:w="11900" w:h="16838" w:orient="portrait"/>
          <w:cols w:equalWidth="0" w:num="1">
            <w:col w:w="11420"/>
          </w:cols>
          <w:pgMar w:left="240" w:top="249"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computations of basic and diluted loss per share from continuing operations are as follows:</w:t>
      </w:r>
    </w:p>
    <w:p>
      <w:pPr>
        <w:spacing w:after="0" w:line="177" w:lineRule="exact"/>
        <w:rPr>
          <w:sz w:val="20"/>
          <w:szCs w:val="20"/>
          <w:color w:val="auto"/>
        </w:rPr>
      </w:pPr>
    </w:p>
    <w:p>
      <w:pPr>
        <w:ind w:left="9000"/>
        <w:spacing w:after="0"/>
        <w:rPr>
          <w:sz w:val="20"/>
          <w:szCs w:val="20"/>
          <w:color w:val="auto"/>
        </w:rPr>
      </w:pPr>
      <w:r>
        <w:rPr>
          <w:rFonts w:ascii="Arial" w:cs="Arial" w:eastAsia="Arial" w:hAnsi="Arial"/>
          <w:sz w:val="14"/>
          <w:szCs w:val="14"/>
          <w:color w:val="auto"/>
        </w:rPr>
        <w:t>(in 000s,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60" w:type="dxa"/>
            <w:vAlign w:val="bottom"/>
            <w:gridSpan w:val="5"/>
          </w:tcPr>
          <w:p>
            <w:pPr>
              <w:ind w:left="120"/>
              <w:spacing w:after="0"/>
              <w:rPr>
                <w:sz w:val="20"/>
                <w:szCs w:val="20"/>
                <w:color w:val="auto"/>
              </w:rPr>
            </w:pPr>
            <w:r>
              <w:rPr>
                <w:rFonts w:ascii="Arial" w:cs="Arial" w:eastAsia="Arial" w:hAnsi="Arial"/>
                <w:sz w:val="16"/>
                <w:szCs w:val="16"/>
                <w:color w:val="auto"/>
              </w:rPr>
              <w:t>Three months ended January 31,</w:t>
            </w:r>
          </w:p>
        </w:tc>
        <w:tc>
          <w:tcPr>
            <w:tcW w:w="260" w:type="dxa"/>
            <w:vAlign w:val="bottom"/>
          </w:tcPr>
          <w:p>
            <w:pPr>
              <w:spacing w:after="0"/>
              <w:rPr>
                <w:sz w:val="18"/>
                <w:szCs w:val="18"/>
                <w:color w:val="auto"/>
              </w:rPr>
            </w:pPr>
          </w:p>
        </w:tc>
        <w:tc>
          <w:tcPr>
            <w:tcW w:w="2800" w:type="dxa"/>
            <w:vAlign w:val="bottom"/>
            <w:gridSpan w:val="4"/>
          </w:tcPr>
          <w:p>
            <w:pPr>
              <w:jc w:val="right"/>
              <w:ind w:right="279"/>
              <w:spacing w:after="0"/>
              <w:rPr>
                <w:sz w:val="20"/>
                <w:szCs w:val="20"/>
                <w:color w:val="auto"/>
              </w:rPr>
            </w:pPr>
            <w:r>
              <w:rPr>
                <w:rFonts w:ascii="Arial" w:cs="Arial" w:eastAsia="Arial" w:hAnsi="Arial"/>
                <w:sz w:val="16"/>
                <w:szCs w:val="16"/>
                <w:color w:val="auto"/>
              </w:rPr>
              <w:t>Nine months ended January 31,</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257"/>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loss from continuing operations attributable to shareholders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(119,779)</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(242,925)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(439,513)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(519,055)</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Amounts allocated to participating securities</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(160)</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(446)</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204"/>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loss from continuing operations attributable to common</w:t>
            </w: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(119,939)</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(439,959)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1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shareholders</w:t>
            </w: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(243,102)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(519,553)</w:t>
            </w:r>
          </w:p>
        </w:tc>
        <w:tc>
          <w:tcPr>
            <w:tcW w:w="0" w:type="dxa"/>
            <w:vAlign w:val="bottom"/>
          </w:tcPr>
          <w:p>
            <w:pPr>
              <w:spacing w:after="0"/>
              <w:rPr>
                <w:sz w:val="1"/>
                <w:szCs w:val="1"/>
                <w:color w:val="auto"/>
              </w:rPr>
            </w:pPr>
          </w:p>
        </w:tc>
      </w:tr>
      <w:tr>
        <w:trPr>
          <w:trHeight w:val="122"/>
        </w:trPr>
        <w:tc>
          <w:tcPr>
            <w:tcW w:w="5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Basic weighted average common shares</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205,532</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209,080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206,242</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208,693</w:t>
            </w:r>
          </w:p>
        </w:tc>
        <w:tc>
          <w:tcPr>
            <w:tcW w:w="0" w:type="dxa"/>
            <w:vAlign w:val="bottom"/>
          </w:tcPr>
          <w:p>
            <w:pPr>
              <w:spacing w:after="0"/>
              <w:rPr>
                <w:sz w:val="1"/>
                <w:szCs w:val="1"/>
                <w:color w:val="auto"/>
              </w:rPr>
            </w:pPr>
          </w:p>
        </w:tc>
      </w:tr>
      <w:tr>
        <w:trPr>
          <w:trHeight w:val="264"/>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Potential dilutive shares</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Dilutive weighted average common shares</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205,532</w:t>
            </w:r>
          </w:p>
        </w:tc>
        <w:tc>
          <w:tcPr>
            <w:tcW w:w="12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209,080</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206,242</w:t>
            </w:r>
          </w:p>
        </w:tc>
        <w:tc>
          <w:tcPr>
            <w:tcW w:w="10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208,693</w:t>
            </w:r>
          </w:p>
        </w:tc>
        <w:tc>
          <w:tcPr>
            <w:tcW w:w="0" w:type="dxa"/>
            <w:vAlign w:val="bottom"/>
          </w:tcPr>
          <w:p>
            <w:pPr>
              <w:spacing w:after="0"/>
              <w:rPr>
                <w:sz w:val="1"/>
                <w:szCs w:val="1"/>
                <w:color w:val="auto"/>
              </w:rPr>
            </w:pPr>
          </w:p>
        </w:tc>
      </w:tr>
      <w:tr>
        <w:trPr>
          <w:trHeight w:val="122"/>
        </w:trPr>
        <w:tc>
          <w:tcPr>
            <w:tcW w:w="5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6780" w:type="dxa"/>
            <w:vAlign w:val="bottom"/>
            <w:gridSpan w:val="5"/>
            <w:shd w:val="clear" w:color="auto" w:fill="CCEEFF"/>
          </w:tcPr>
          <w:p>
            <w:pPr>
              <w:ind w:left="40"/>
              <w:spacing w:after="0"/>
              <w:rPr>
                <w:sz w:val="20"/>
                <w:szCs w:val="20"/>
                <w:color w:val="auto"/>
              </w:rPr>
            </w:pPr>
            <w:r>
              <w:rPr>
                <w:rFonts w:ascii="Arial" w:cs="Arial" w:eastAsia="Arial" w:hAnsi="Arial"/>
                <w:sz w:val="16"/>
                <w:szCs w:val="16"/>
                <w:color w:val="auto"/>
              </w:rPr>
              <w:t>Loss per share from continuing operations attributable to common shareholders:</w:t>
            </w: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5160" w:type="dxa"/>
            <w:vAlign w:val="bottom"/>
            <w:gridSpan w:val="2"/>
          </w:tcPr>
          <w:p>
            <w:pPr>
              <w:ind w:left="180"/>
              <w:spacing w:after="0"/>
              <w:rPr>
                <w:sz w:val="20"/>
                <w:szCs w:val="20"/>
                <w:color w:val="auto"/>
              </w:rPr>
            </w:pPr>
            <w:r>
              <w:rPr>
                <w:rFonts w:ascii="Arial" w:cs="Arial" w:eastAsia="Arial" w:hAnsi="Arial"/>
                <w:sz w:val="16"/>
                <w:szCs w:val="16"/>
                <w:color w:val="auto"/>
              </w:rPr>
              <w:t>Basic</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(0.58)</w:t>
            </w:r>
          </w:p>
        </w:tc>
        <w:tc>
          <w:tcPr>
            <w:tcW w:w="120" w:type="dxa"/>
            <w:vAlign w:val="bottom"/>
          </w:tcPr>
          <w:p>
            <w:pPr>
              <w:spacing w:after="0"/>
              <w:rPr>
                <w:sz w:val="22"/>
                <w:szCs w:val="22"/>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(2.13)</w:t>
            </w:r>
          </w:p>
        </w:tc>
        <w:tc>
          <w:tcPr>
            <w:tcW w:w="100" w:type="dxa"/>
            <w:vAlign w:val="bottom"/>
          </w:tcPr>
          <w:p>
            <w:pPr>
              <w:spacing w:after="0"/>
              <w:rPr>
                <w:sz w:val="22"/>
                <w:szCs w:val="22"/>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80"/>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(0.58)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122"/>
        </w:trPr>
        <w:tc>
          <w:tcPr>
            <w:tcW w:w="5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weighted average shares outstanding for the three and nine months ended January 31, 2019 decreased to 205.5 million and 206.2 million, respectively, from 209.1 million and 208.7 million, respectively, for the three and nine months ended January 31, 2018. The decrease is due to share repurchases completed in the current year. During the nine months ended January 31, 2019, we purchased and immediately retired 4.7 million shares at an aggregate cost of $109.4 million (average price of $23.29 per share). We did not repurchase and retire any shares during the nine months ended January 31, 2018. The cost of shares retired during the current period was allocated to the components of stockholders’ equity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8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color w:val="auto"/>
              </w:rPr>
              <w:t>(in 000s)</w:t>
            </w:r>
          </w:p>
        </w:tc>
      </w:tr>
      <w:tr>
        <w:trPr>
          <w:trHeight w:val="121"/>
        </w:trPr>
        <w:tc>
          <w:tcPr>
            <w:tcW w:w="88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r>
      <w:tr>
        <w:trPr>
          <w:trHeight w:val="260"/>
        </w:trPr>
        <w:tc>
          <w:tcPr>
            <w:tcW w:w="8800" w:type="dxa"/>
            <w:vAlign w:val="bottom"/>
          </w:tcPr>
          <w:p>
            <w:pPr>
              <w:ind w:left="40"/>
              <w:spacing w:after="0"/>
              <w:rPr>
                <w:sz w:val="20"/>
                <w:szCs w:val="20"/>
                <w:color w:val="auto"/>
              </w:rPr>
            </w:pPr>
            <w:r>
              <w:rPr>
                <w:rFonts w:ascii="Arial" w:cs="Arial" w:eastAsia="Arial" w:hAnsi="Arial"/>
                <w:sz w:val="16"/>
                <w:szCs w:val="16"/>
                <w:color w:val="auto"/>
              </w:rPr>
              <w:t>Common stock</w:t>
            </w:r>
          </w:p>
        </w:tc>
        <w:tc>
          <w:tcPr>
            <w:tcW w:w="1020" w:type="dxa"/>
            <w:vAlign w:val="bottom"/>
          </w:tcPr>
          <w:p>
            <w:pPr>
              <w:jc w:val="right"/>
              <w:ind w:right="819"/>
              <w:spacing w:after="0"/>
              <w:rPr>
                <w:sz w:val="20"/>
                <w:szCs w:val="20"/>
                <w:color w:val="auto"/>
              </w:rPr>
            </w:pPr>
            <w:r>
              <w:rPr>
                <w:rFonts w:ascii="Arial" w:cs="Arial" w:eastAsia="Arial" w:hAnsi="Arial"/>
                <w:sz w:val="16"/>
                <w:szCs w:val="16"/>
                <w:b w:val="1"/>
                <w:bCs w:val="1"/>
                <w:color w:val="auto"/>
              </w:rPr>
              <w:t>$</w:t>
            </w:r>
          </w:p>
        </w:tc>
        <w:tc>
          <w:tcPr>
            <w:tcW w:w="1600" w:type="dxa"/>
            <w:vAlign w:val="bottom"/>
          </w:tcPr>
          <w:p>
            <w:pPr>
              <w:jc w:val="right"/>
              <w:ind w:right="21"/>
              <w:spacing w:after="0"/>
              <w:rPr>
                <w:sz w:val="20"/>
                <w:szCs w:val="20"/>
                <w:color w:val="auto"/>
              </w:rPr>
            </w:pPr>
            <w:r>
              <w:rPr>
                <w:rFonts w:ascii="Arial" w:cs="Arial" w:eastAsia="Arial" w:hAnsi="Arial"/>
                <w:sz w:val="16"/>
                <w:szCs w:val="16"/>
                <w:b w:val="1"/>
                <w:bCs w:val="1"/>
                <w:color w:val="auto"/>
              </w:rPr>
              <w:t>47</w:t>
            </w:r>
          </w:p>
        </w:tc>
      </w:tr>
      <w:tr>
        <w:trPr>
          <w:trHeight w:val="280"/>
        </w:trPr>
        <w:tc>
          <w:tcPr>
            <w:tcW w:w="8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Additional paid-in-capital</w:t>
            </w:r>
          </w:p>
        </w:tc>
        <w:tc>
          <w:tcPr>
            <w:tcW w:w="10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2,818</w:t>
            </w: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Retained earnings</w:t>
            </w:r>
          </w:p>
        </w:tc>
        <w:tc>
          <w:tcPr>
            <w:tcW w:w="10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106,541</w:t>
            </w:r>
          </w:p>
        </w:tc>
      </w:tr>
      <w:tr>
        <w:trPr>
          <w:trHeight w:val="250"/>
        </w:trPr>
        <w:tc>
          <w:tcPr>
            <w:tcW w:w="8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w:t>
            </w:r>
          </w:p>
        </w:tc>
        <w:tc>
          <w:tcPr>
            <w:tcW w:w="16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109,406</w:t>
            </w:r>
          </w:p>
        </w:tc>
      </w:tr>
      <w:tr>
        <w:trPr>
          <w:trHeight w:val="122"/>
        </w:trPr>
        <w:tc>
          <w:tcPr>
            <w:tcW w:w="88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r>
    </w:tbl>
    <w:p>
      <w:pPr>
        <w:spacing w:after="0" w:line="85"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 During the nine months ended January 31, 2019, we also acquired 0.2 million shares of our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at an aggregate cost of $5.0 million, which represent shares swapped or surrendered to us in connection with the vesting or exercise of stock-based awards. During the nine months ended January 31, 2018, we acquired 0.3 million shares at an aggregate cost of $7.7 million for similar purposes.</w:t>
      </w:r>
    </w:p>
    <w:p>
      <w:pPr>
        <w:spacing w:after="0" w:line="91" w:lineRule="exact"/>
        <w:rPr>
          <w:sz w:val="20"/>
          <w:szCs w:val="20"/>
          <w:color w:val="auto"/>
        </w:rPr>
      </w:pPr>
    </w:p>
    <w:p>
      <w:pPr>
        <w:jc w:val="both"/>
        <w:ind w:right="20" w:firstLine="243"/>
        <w:spacing w:after="0" w:line="262" w:lineRule="auto"/>
        <w:rPr>
          <w:sz w:val="20"/>
          <w:szCs w:val="20"/>
          <w:color w:val="auto"/>
        </w:rPr>
      </w:pPr>
      <w:r>
        <w:rPr>
          <w:rFonts w:ascii="Arial" w:cs="Arial" w:eastAsia="Arial" w:hAnsi="Arial"/>
          <w:sz w:val="18"/>
          <w:szCs w:val="18"/>
          <w:color w:val="auto"/>
        </w:rPr>
        <w:t>During the nine months ended January 31, 2019 and 2018, we issued 0.7 million and 2.2 million shares of common stock, respectively, due to the vesting or exercise of stock-based awards.</w:t>
      </w:r>
    </w:p>
    <w:p>
      <w:pPr>
        <w:spacing w:after="0" w:line="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During the nine months ended January 31, 2019, we granted equity awards equivalent to 1.0 million shares under our stock-based compensation plans, consisting primarily of nonvested units. Stock-based compensation expense of our continuing operations totaled $6.2 million and $18.0 million for the three and nine months ended January 31, 2019, respectively, and $5.4 million and $17.1 million for the three and nine months ended January 31, 2018, respectively. As of January 31, 2019, unrecognized compensation cost for stock options totaled $0.7 million, and for nonvested shares and units totaled $31.8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23177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1775" cy="13716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00" w:hanging="250"/>
        <w:spacing w:after="0"/>
        <w:tabs>
          <w:tab w:leader="none" w:pos="400" w:val="left"/>
        </w:tabs>
        <w:numPr>
          <w:ilvl w:val="0"/>
          <w:numId w:val="9"/>
        </w:numPr>
        <w:rPr>
          <w:rFonts w:ascii="Arial" w:cs="Arial" w:eastAsia="Arial" w:hAnsi="Arial"/>
          <w:sz w:val="14"/>
          <w:szCs w:val="14"/>
          <w:color w:val="FFFFFF"/>
          <w:highlight w:val="black"/>
        </w:rPr>
      </w:pPr>
      <w:r>
        <w:rPr>
          <w:rFonts w:ascii="Arial" w:cs="Arial" w:eastAsia="Arial" w:hAnsi="Arial"/>
          <w:sz w:val="14"/>
          <w:szCs w:val="14"/>
          <w:color w:val="auto"/>
        </w:rPr>
        <w:t xml:space="preserve">Q3 FY2019 Form 10-Q | </w:t>
      </w:r>
      <w:r>
        <w:rPr>
          <w:rFonts w:ascii="Arial" w:cs="Arial" w:eastAsia="Arial" w:hAnsi="Arial"/>
          <w:sz w:val="14"/>
          <w:szCs w:val="14"/>
          <w:b w:val="1"/>
          <w:bCs w:val="1"/>
          <w:color w:val="auto"/>
        </w:rPr>
        <w:t>H&amp;R Block, Inc.</w:t>
      </w:r>
    </w:p>
    <w:p>
      <w:pPr>
        <w:sectPr>
          <w:pgSz w:w="11900" w:h="16838" w:orient="portrait"/>
          <w:cols w:equalWidth="0" w:num="1">
            <w:col w:w="11420"/>
          </w:cols>
          <w:pgMar w:left="240" w:top="249"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RECEIVABLES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Receivables, net of their related allowance, consist of the following: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263"/>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As of</w:t>
            </w:r>
          </w:p>
        </w:tc>
        <w:tc>
          <w:tcPr>
            <w:tcW w:w="1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January 31, 2019</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6"/>
                <w:szCs w:val="16"/>
                <w:color w:val="auto"/>
              </w:rPr>
              <w:t>January 31, 2018</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6"/>
                <w:szCs w:val="16"/>
                <w:color w:val="auto"/>
              </w:rPr>
              <w:t>April 30, 2018</w:t>
            </w:r>
          </w:p>
        </w:tc>
        <w:tc>
          <w:tcPr>
            <w:tcW w:w="0" w:type="dxa"/>
            <w:vAlign w:val="bottom"/>
          </w:tcPr>
          <w:p>
            <w:pPr>
              <w:spacing w:after="0"/>
              <w:rPr>
                <w:sz w:val="1"/>
                <w:szCs w:val="1"/>
                <w:color w:val="auto"/>
              </w:rPr>
            </w:pPr>
          </w:p>
        </w:tc>
      </w:tr>
      <w:tr>
        <w:trPr>
          <w:trHeight w:val="264"/>
        </w:trPr>
        <w:tc>
          <w:tcPr>
            <w:tcW w:w="3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color w:val="auto"/>
              </w:rPr>
              <w:t>Short-term</w:t>
            </w:r>
          </w:p>
        </w:tc>
        <w:tc>
          <w:tcPr>
            <w:tcW w:w="200" w:type="dxa"/>
            <w:vAlign w:val="bottom"/>
          </w:tcPr>
          <w:p>
            <w:pPr>
              <w:spacing w:after="0"/>
              <w:rPr>
                <w:sz w:val="22"/>
                <w:szCs w:val="22"/>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color w:val="auto"/>
              </w:rPr>
              <w:t>Long-term</w:t>
            </w:r>
          </w:p>
        </w:tc>
        <w:tc>
          <w:tcPr>
            <w:tcW w:w="180" w:type="dxa"/>
            <w:vAlign w:val="bottom"/>
          </w:tcPr>
          <w:p>
            <w:pPr>
              <w:spacing w:after="0"/>
              <w:rPr>
                <w:sz w:val="22"/>
                <w:szCs w:val="22"/>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color w:val="auto"/>
              </w:rPr>
              <w:t>Short-term</w:t>
            </w:r>
          </w:p>
        </w:tc>
        <w:tc>
          <w:tcPr>
            <w:tcW w:w="180" w:type="dxa"/>
            <w:vAlign w:val="bottom"/>
          </w:tcPr>
          <w:p>
            <w:pPr>
              <w:spacing w:after="0"/>
              <w:rPr>
                <w:sz w:val="22"/>
                <w:szCs w:val="22"/>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color w:val="auto"/>
              </w:rPr>
              <w:t>Long-term</w:t>
            </w:r>
          </w:p>
        </w:tc>
        <w:tc>
          <w:tcPr>
            <w:tcW w:w="180" w:type="dxa"/>
            <w:vAlign w:val="bottom"/>
          </w:tcPr>
          <w:p>
            <w:pPr>
              <w:spacing w:after="0"/>
              <w:rPr>
                <w:sz w:val="22"/>
                <w:szCs w:val="22"/>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color w:val="auto"/>
              </w:rPr>
              <w:t>Short-term</w:t>
            </w:r>
          </w:p>
        </w:tc>
        <w:tc>
          <w:tcPr>
            <w:tcW w:w="200" w:type="dxa"/>
            <w:vAlign w:val="bottom"/>
          </w:tcPr>
          <w:p>
            <w:pPr>
              <w:spacing w:after="0"/>
              <w:rPr>
                <w:sz w:val="22"/>
                <w:szCs w:val="22"/>
                <w:color w:val="auto"/>
              </w:rPr>
            </w:pPr>
          </w:p>
        </w:tc>
        <w:tc>
          <w:tcPr>
            <w:tcW w:w="1060" w:type="dxa"/>
            <w:vAlign w:val="bottom"/>
          </w:tcPr>
          <w:p>
            <w:pPr>
              <w:jc w:val="right"/>
              <w:ind w:right="180"/>
              <w:spacing w:after="0"/>
              <w:rPr>
                <w:sz w:val="20"/>
                <w:szCs w:val="20"/>
                <w:color w:val="auto"/>
              </w:rPr>
            </w:pPr>
            <w:r>
              <w:rPr>
                <w:rFonts w:ascii="Arial" w:cs="Arial" w:eastAsia="Arial" w:hAnsi="Arial"/>
                <w:sz w:val="16"/>
                <w:szCs w:val="16"/>
                <w:color w:val="auto"/>
              </w:rPr>
              <w:t>Long-term</w:t>
            </w:r>
          </w:p>
        </w:tc>
        <w:tc>
          <w:tcPr>
            <w:tcW w:w="0" w:type="dxa"/>
            <w:vAlign w:val="bottom"/>
          </w:tcPr>
          <w:p>
            <w:pPr>
              <w:spacing w:after="0"/>
              <w:rPr>
                <w:sz w:val="1"/>
                <w:szCs w:val="1"/>
                <w:color w:val="auto"/>
              </w:rPr>
            </w:pPr>
          </w:p>
        </w:tc>
      </w:tr>
      <w:tr>
        <w:trPr>
          <w:trHeight w:val="257"/>
        </w:trPr>
        <w:tc>
          <w:tcPr>
            <w:tcW w:w="33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Loans to franchisees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28,941</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41,669</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41,062</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47,434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30,596</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35,212</w:t>
            </w:r>
          </w:p>
        </w:tc>
        <w:tc>
          <w:tcPr>
            <w:tcW w:w="0" w:type="dxa"/>
            <w:vAlign w:val="bottom"/>
          </w:tcPr>
          <w:p>
            <w:pPr>
              <w:spacing w:after="0"/>
              <w:rPr>
                <w:sz w:val="1"/>
                <w:szCs w:val="1"/>
                <w:color w:val="auto"/>
              </w:rPr>
            </w:pPr>
          </w:p>
        </w:tc>
      </w:tr>
      <w:tr>
        <w:trPr>
          <w:trHeight w:val="218"/>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Receivables for U.S. assisted and DIY tax</w:t>
            </w:r>
          </w:p>
        </w:tc>
        <w:tc>
          <w:tcPr>
            <w:tcW w:w="180" w:type="dxa"/>
            <w:vAlign w:val="bottom"/>
          </w:tcPr>
          <w:p>
            <w:pPr>
              <w:spacing w:after="0"/>
              <w:rPr>
                <w:sz w:val="18"/>
                <w:szCs w:val="18"/>
                <w:color w:val="auto"/>
              </w:rPr>
            </w:pPr>
          </w:p>
        </w:tc>
        <w:tc>
          <w:tcPr>
            <w:tcW w:w="108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281,266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5,503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340" w:type="dxa"/>
            <w:vAlign w:val="bottom"/>
            <w:gridSpan w:val="2"/>
          </w:tcPr>
          <w:p>
            <w:pPr>
              <w:ind w:left="200"/>
              <w:spacing w:after="0"/>
              <w:rPr>
                <w:sz w:val="20"/>
                <w:szCs w:val="20"/>
                <w:color w:val="auto"/>
              </w:rPr>
            </w:pPr>
            <w:r>
              <w:rPr>
                <w:rFonts w:ascii="Arial" w:cs="Arial" w:eastAsia="Arial" w:hAnsi="Arial"/>
                <w:sz w:val="16"/>
                <w:szCs w:val="16"/>
                <w:color w:val="auto"/>
              </w:rPr>
              <w:t>preparation and related fees</w:t>
            </w:r>
          </w:p>
        </w:tc>
        <w:tc>
          <w:tcPr>
            <w:tcW w:w="1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299,805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6,316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41,572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5,503</w:t>
            </w:r>
          </w:p>
        </w:tc>
        <w:tc>
          <w:tcPr>
            <w:tcW w:w="0" w:type="dxa"/>
            <w:vAlign w:val="bottom"/>
          </w:tcPr>
          <w:p>
            <w:pPr>
              <w:spacing w:after="0"/>
              <w:rPr>
                <w:sz w:val="1"/>
                <w:szCs w:val="1"/>
                <w:color w:val="auto"/>
              </w:rPr>
            </w:pPr>
          </w:p>
        </w:tc>
      </w:tr>
      <w:tr>
        <w:trPr>
          <w:trHeight w:val="280"/>
        </w:trPr>
        <w:tc>
          <w:tcPr>
            <w:tcW w:w="3340" w:type="dxa"/>
            <w:vAlign w:val="bottom"/>
            <w:gridSpan w:val="2"/>
            <w:shd w:val="clear" w:color="auto" w:fill="CCEEFF"/>
          </w:tcPr>
          <w:p>
            <w:pPr>
              <w:ind w:left="40"/>
              <w:spacing w:after="0" w:line="280" w:lineRule="exact"/>
              <w:rPr>
                <w:sz w:val="20"/>
                <w:szCs w:val="20"/>
                <w:color w:val="auto"/>
              </w:rPr>
            </w:pPr>
            <w:r>
              <w:rPr>
                <w:rFonts w:ascii="Arial" w:cs="Arial" w:eastAsia="Arial" w:hAnsi="Arial"/>
                <w:sz w:val="16"/>
                <w:szCs w:val="16"/>
                <w:color w:val="auto"/>
              </w:rPr>
              <w:t>H&amp;R Block Instant Refund</w:t>
            </w:r>
            <w:r>
              <w:rPr>
                <w:rFonts w:ascii="Arial" w:cs="Arial" w:eastAsia="Arial" w:hAnsi="Arial"/>
                <w:sz w:val="27"/>
                <w:szCs w:val="27"/>
                <w:color w:val="auto"/>
                <w:vertAlign w:val="superscript"/>
              </w:rPr>
              <w:t>TM</w:t>
            </w:r>
            <w:r>
              <w:rPr>
                <w:rFonts w:ascii="Arial" w:cs="Arial" w:eastAsia="Arial" w:hAnsi="Arial"/>
                <w:sz w:val="16"/>
                <w:szCs w:val="16"/>
                <w:color w:val="auto"/>
              </w:rPr>
              <w:t xml:space="preserve"> receivables</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5,822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247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6,848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27,192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2,057</w:t>
            </w:r>
          </w:p>
        </w:tc>
        <w:tc>
          <w:tcPr>
            <w:tcW w:w="0" w:type="dxa"/>
            <w:vAlign w:val="bottom"/>
          </w:tcPr>
          <w:p>
            <w:pPr>
              <w:spacing w:after="0"/>
              <w:rPr>
                <w:sz w:val="1"/>
                <w:szCs w:val="1"/>
                <w:color w:val="auto"/>
              </w:rPr>
            </w:pPr>
          </w:p>
        </w:tc>
      </w:tr>
      <w:tr>
        <w:trPr>
          <w:trHeight w:val="218"/>
        </w:trPr>
        <w:tc>
          <w:tcPr>
            <w:tcW w:w="3340" w:type="dxa"/>
            <w:vAlign w:val="bottom"/>
            <w:gridSpan w:val="2"/>
          </w:tcPr>
          <w:p>
            <w:pPr>
              <w:ind w:left="40"/>
              <w:spacing w:after="0" w:line="217" w:lineRule="exact"/>
              <w:rPr>
                <w:sz w:val="20"/>
                <w:szCs w:val="20"/>
                <w:color w:val="auto"/>
              </w:rPr>
            </w:pPr>
            <w:r>
              <w:rPr>
                <w:rFonts w:ascii="Arial" w:cs="Arial" w:eastAsia="Arial" w:hAnsi="Arial"/>
                <w:sz w:val="15"/>
                <w:szCs w:val="15"/>
                <w:color w:val="auto"/>
              </w:rPr>
              <w:t>H&amp;R Block Emerald Advance</w:t>
            </w:r>
            <w:r>
              <w:rPr>
                <w:rFonts w:ascii="Arial" w:cs="Arial" w:eastAsia="Arial" w:hAnsi="Arial"/>
                <w:sz w:val="25"/>
                <w:szCs w:val="25"/>
                <w:color w:val="auto"/>
                <w:vertAlign w:val="superscript"/>
              </w:rPr>
              <w:t>TM</w:t>
            </w:r>
            <w:r>
              <w:rPr>
                <w:rFonts w:ascii="Arial" w:cs="Arial" w:eastAsia="Arial" w:hAnsi="Arial"/>
                <w:sz w:val="15"/>
                <w:szCs w:val="15"/>
                <w:color w:val="auto"/>
              </w:rPr>
              <w:t xml:space="preserve"> lines of</w:t>
            </w:r>
          </w:p>
        </w:tc>
        <w:tc>
          <w:tcPr>
            <w:tcW w:w="180" w:type="dxa"/>
            <w:vAlign w:val="bottom"/>
          </w:tcPr>
          <w:p>
            <w:pPr>
              <w:spacing w:after="0"/>
              <w:rPr>
                <w:sz w:val="18"/>
                <w:szCs w:val="18"/>
                <w:color w:val="auto"/>
              </w:rPr>
            </w:pPr>
          </w:p>
        </w:tc>
        <w:tc>
          <w:tcPr>
            <w:tcW w:w="108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362,400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7,667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340" w:type="dxa"/>
            <w:vAlign w:val="bottom"/>
            <w:gridSpan w:val="2"/>
          </w:tcPr>
          <w:p>
            <w:pPr>
              <w:ind w:left="200"/>
              <w:spacing w:after="0"/>
              <w:rPr>
                <w:sz w:val="20"/>
                <w:szCs w:val="20"/>
                <w:color w:val="auto"/>
              </w:rPr>
            </w:pPr>
            <w:r>
              <w:rPr>
                <w:rFonts w:ascii="Arial" w:cs="Arial" w:eastAsia="Arial" w:hAnsi="Arial"/>
                <w:sz w:val="16"/>
                <w:szCs w:val="16"/>
                <w:color w:val="auto"/>
              </w:rPr>
              <w:t>credit</w:t>
            </w:r>
          </w:p>
        </w:tc>
        <w:tc>
          <w:tcPr>
            <w:tcW w:w="1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353,972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9,081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15,642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5,754</w:t>
            </w:r>
          </w:p>
        </w:tc>
        <w:tc>
          <w:tcPr>
            <w:tcW w:w="0" w:type="dxa"/>
            <w:vAlign w:val="bottom"/>
          </w:tcPr>
          <w:p>
            <w:pPr>
              <w:spacing w:after="0"/>
              <w:rPr>
                <w:sz w:val="1"/>
                <w:szCs w:val="1"/>
                <w:color w:val="auto"/>
              </w:rPr>
            </w:pPr>
          </w:p>
        </w:tc>
      </w:tr>
      <w:tr>
        <w:trPr>
          <w:trHeight w:val="280"/>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Software receivables from retailers</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8,396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7,744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6,769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Royalties and other receivables from</w:t>
            </w:r>
          </w:p>
        </w:tc>
        <w:tc>
          <w:tcPr>
            <w:tcW w:w="180" w:type="dxa"/>
            <w:vAlign w:val="bottom"/>
          </w:tcPr>
          <w:p>
            <w:pPr>
              <w:spacing w:after="0"/>
              <w:rPr>
                <w:sz w:val="18"/>
                <w:szCs w:val="18"/>
                <w:color w:val="auto"/>
              </w:rPr>
            </w:pPr>
          </w:p>
        </w:tc>
        <w:tc>
          <w:tcPr>
            <w:tcW w:w="108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54,907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733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340" w:type="dxa"/>
            <w:vAlign w:val="bottom"/>
            <w:gridSpan w:val="2"/>
          </w:tcPr>
          <w:p>
            <w:pPr>
              <w:ind w:left="200"/>
              <w:spacing w:after="0"/>
              <w:rPr>
                <w:sz w:val="20"/>
                <w:szCs w:val="20"/>
                <w:color w:val="auto"/>
              </w:rPr>
            </w:pPr>
            <w:r>
              <w:rPr>
                <w:rFonts w:ascii="Arial" w:cs="Arial" w:eastAsia="Arial" w:hAnsi="Arial"/>
                <w:sz w:val="16"/>
                <w:szCs w:val="16"/>
                <w:color w:val="auto"/>
              </w:rPr>
              <w:t>franchisees</w:t>
            </w:r>
          </w:p>
        </w:tc>
        <w:tc>
          <w:tcPr>
            <w:tcW w:w="1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56,149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788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9,239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761</w:t>
            </w:r>
          </w:p>
        </w:tc>
        <w:tc>
          <w:tcPr>
            <w:tcW w:w="0" w:type="dxa"/>
            <w:vAlign w:val="bottom"/>
          </w:tcPr>
          <w:p>
            <w:pPr>
              <w:spacing w:after="0"/>
              <w:rPr>
                <w:sz w:val="1"/>
                <w:szCs w:val="1"/>
                <w:color w:val="auto"/>
              </w:rPr>
            </w:pPr>
          </w:p>
        </w:tc>
      </w:tr>
      <w:tr>
        <w:trPr>
          <w:trHeight w:val="273"/>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16,485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2,698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26,038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3,608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15,764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3,147</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758,217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58,517</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791,618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67,227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146,774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52,434</w:t>
            </w:r>
          </w:p>
        </w:tc>
        <w:tc>
          <w:tcPr>
            <w:tcW w:w="0" w:type="dxa"/>
            <w:vAlign w:val="bottom"/>
          </w:tcPr>
          <w:p>
            <w:pPr>
              <w:spacing w:after="0"/>
              <w:rPr>
                <w:sz w:val="1"/>
                <w:szCs w:val="1"/>
                <w:color w:val="auto"/>
              </w:rPr>
            </w:pPr>
          </w:p>
        </w:tc>
      </w:tr>
      <w:tr>
        <w:trPr>
          <w:trHeight w:val="122"/>
        </w:trPr>
        <w:tc>
          <w:tcPr>
            <w:tcW w:w="320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106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106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106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Balances presented above as short-term are included in receivables, while the long-term portions are included in other noncurrent assets in the consolidated balance sheets.</w:t>
      </w:r>
    </w:p>
    <w:p>
      <w:pPr>
        <w:spacing w:after="0" w:line="66"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b w:val="1"/>
          <w:bCs w:val="1"/>
          <w:color w:val="auto"/>
        </w:rPr>
        <w:t xml:space="preserve">LOANS TO FRANCHISEES </w:t>
      </w:r>
      <w:r>
        <w:rPr>
          <w:rFonts w:ascii="Arial" w:cs="Arial" w:eastAsia="Arial" w:hAnsi="Arial"/>
          <w:sz w:val="18"/>
          <w:szCs w:val="18"/>
          <w:color w:val="auto"/>
        </w:rPr>
        <w:t>– Franchisee loan balances consist of term loans made primarily to finance the purchase of franchises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lines of credit primarily for the purpose of funding off-season working capital needs. As of January 31, 2019 and 2018, loans with a principal balance of $0.9 million and $1.3 million, respectively, were more than 90 days past due. We had no loans to franchisees on non-accrual status.</w:t>
      </w:r>
    </w:p>
    <w:p>
      <w:pPr>
        <w:spacing w:after="0" w:line="69" w:lineRule="exact"/>
        <w:rPr>
          <w:sz w:val="20"/>
          <w:szCs w:val="20"/>
          <w:color w:val="auto"/>
        </w:rPr>
      </w:pPr>
    </w:p>
    <w:p>
      <w:pPr>
        <w:jc w:val="both"/>
        <w:ind w:firstLine="216"/>
        <w:spacing w:after="0" w:line="228" w:lineRule="auto"/>
        <w:rPr>
          <w:sz w:val="20"/>
          <w:szCs w:val="20"/>
          <w:color w:val="auto"/>
        </w:rPr>
      </w:pPr>
      <w:r>
        <w:rPr>
          <w:rFonts w:ascii="Arial" w:cs="Arial" w:eastAsia="Arial" w:hAnsi="Arial"/>
          <w:sz w:val="18"/>
          <w:szCs w:val="18"/>
          <w:b w:val="1"/>
          <w:bCs w:val="1"/>
          <w:color w:val="auto"/>
        </w:rPr>
        <w:t>H&amp;R BLOCK INSTANT REFUND</w:t>
      </w:r>
      <w:r>
        <w:rPr>
          <w:rFonts w:ascii="Arial" w:cs="Arial" w:eastAsia="Arial" w:hAnsi="Arial"/>
          <w:sz w:val="27"/>
          <w:szCs w:val="27"/>
          <w:b w:val="1"/>
          <w:bCs w:val="1"/>
          <w:color w:val="auto"/>
          <w:vertAlign w:val="superscript"/>
        </w:rPr>
        <w:t>TM</w:t>
      </w:r>
      <w:r>
        <w:rPr>
          <w:rFonts w:ascii="Arial" w:cs="Arial" w:eastAsia="Arial" w:hAnsi="Arial"/>
          <w:sz w:val="18"/>
          <w:szCs w:val="18"/>
          <w:b w:val="1"/>
          <w:bCs w:val="1"/>
          <w:color w:val="auto"/>
        </w:rPr>
        <w:t xml:space="preserve"> PROGRAM </w:t>
      </w:r>
      <w:r>
        <w:rPr>
          <w:rFonts w:ascii="Arial" w:cs="Arial" w:eastAsia="Arial" w:hAnsi="Arial"/>
          <w:sz w:val="18"/>
          <w:szCs w:val="18"/>
          <w:color w:val="auto"/>
        </w:rPr>
        <w:t>– H&amp;R Block Instant Refund</w:t>
      </w:r>
      <w:r>
        <w:rPr>
          <w:rFonts w:ascii="Arial" w:cs="Arial" w:eastAsia="Arial" w:hAnsi="Arial"/>
          <w:sz w:val="27"/>
          <w:szCs w:val="27"/>
          <w:color w:val="auto"/>
          <w:vertAlign w:val="superscript"/>
        </w:rPr>
        <w:t>TM</w:t>
      </w:r>
      <w:r>
        <w:rPr>
          <w:rFonts w:ascii="Arial" w:cs="Arial" w:eastAsia="Arial" w:hAnsi="Arial"/>
          <w:sz w:val="18"/>
          <w:szCs w:val="18"/>
          <w:b w:val="1"/>
          <w:bCs w:val="1"/>
          <w:color w:val="auto"/>
        </w:rPr>
        <w:t xml:space="preserve"> </w:t>
      </w:r>
      <w:r>
        <w:rPr>
          <w:rFonts w:ascii="Arial" w:cs="Arial" w:eastAsia="Arial" w:hAnsi="Arial"/>
          <w:sz w:val="18"/>
          <w:szCs w:val="18"/>
          <w:color w:val="auto"/>
        </w:rPr>
        <w:t>(formerly Instant Cash Back®) amounts are generally</w:t>
      </w:r>
      <w:r>
        <w:rPr>
          <w:rFonts w:ascii="Arial" w:cs="Arial" w:eastAsia="Arial" w:hAnsi="Arial"/>
          <w:sz w:val="18"/>
          <w:szCs w:val="18"/>
          <w:b w:val="1"/>
          <w:bCs w:val="1"/>
          <w:color w:val="auto"/>
        </w:rPr>
        <w:t xml:space="preserve"> </w:t>
      </w:r>
      <w:r>
        <w:rPr>
          <w:rFonts w:ascii="Arial" w:cs="Arial" w:eastAsia="Arial" w:hAnsi="Arial"/>
          <w:sz w:val="18"/>
          <w:szCs w:val="18"/>
          <w:color w:val="auto"/>
        </w:rPr>
        <w:t>received from the Canada Revenue Agency (CRA) within 60 days of filing the client's return, with the remaining balance collectible from the client. As of January 31, 2019 and 2018, we had $19 thousand and $45 thousand, respectively, of Instant Refund balances more than 60 days old due from the CRA.</w:t>
      </w:r>
    </w:p>
    <w:p>
      <w:pPr>
        <w:spacing w:after="0" w:line="11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We review the credit quality of our Instant Refund receivables based on pools, which are segregated by the year of origination, with older years being deemed more unlikely to be repaid. As of January 31, 2019, gross balances of $5.2 million and $0.9 million, were related to tax returns for calendar year 2019 and 2018 and prior, respectively.</w:t>
      </w:r>
    </w:p>
    <w:p>
      <w:pPr>
        <w:spacing w:after="0" w:line="72" w:lineRule="exact"/>
        <w:rPr>
          <w:sz w:val="20"/>
          <w:szCs w:val="20"/>
          <w:color w:val="auto"/>
        </w:rPr>
      </w:pPr>
    </w:p>
    <w:p>
      <w:pPr>
        <w:jc w:val="both"/>
        <w:ind w:firstLine="243"/>
        <w:spacing w:after="0" w:line="228" w:lineRule="auto"/>
        <w:rPr>
          <w:sz w:val="20"/>
          <w:szCs w:val="20"/>
          <w:color w:val="auto"/>
        </w:rPr>
      </w:pPr>
      <w:r>
        <w:rPr>
          <w:rFonts w:ascii="Arial" w:cs="Arial" w:eastAsia="Arial" w:hAnsi="Arial"/>
          <w:sz w:val="18"/>
          <w:szCs w:val="18"/>
          <w:b w:val="1"/>
          <w:bCs w:val="1"/>
          <w:color w:val="auto"/>
        </w:rPr>
        <w:t>H&amp;R BLOCK EMERALD ADVANCE</w:t>
      </w:r>
      <w:r>
        <w:rPr>
          <w:rFonts w:ascii="Arial" w:cs="Arial" w:eastAsia="Arial" w:hAnsi="Arial"/>
          <w:sz w:val="27"/>
          <w:szCs w:val="27"/>
          <w:b w:val="1"/>
          <w:bCs w:val="1"/>
          <w:color w:val="auto"/>
          <w:vertAlign w:val="superscript"/>
        </w:rPr>
        <w:t>TM</w:t>
      </w:r>
      <w:r>
        <w:rPr>
          <w:rFonts w:ascii="Arial" w:cs="Arial" w:eastAsia="Arial" w:hAnsi="Arial"/>
          <w:sz w:val="18"/>
          <w:szCs w:val="18"/>
          <w:b w:val="1"/>
          <w:bCs w:val="1"/>
          <w:color w:val="auto"/>
        </w:rPr>
        <w:t xml:space="preserve"> LINES OF CREDIT </w:t>
      </w:r>
      <w:r>
        <w:rPr>
          <w:rFonts w:ascii="Arial" w:cs="Arial" w:eastAsia="Arial" w:hAnsi="Arial"/>
          <w:sz w:val="18"/>
          <w:szCs w:val="18"/>
          <w:color w:val="auto"/>
        </w:rPr>
        <w:t>– We review the credit quality of our purchased participation interests in EA</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receivables based on pools, which are segregated by the year of origination, with older years being deemed more unlikely to be repaid. Balances and amounts on non-accrual status and classified as impaired, or more than 60 days past due, as of January 31, 2019, by year of origination,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0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(in 000s)</w:t>
            </w:r>
          </w:p>
        </w:tc>
      </w:tr>
      <w:tr>
        <w:trPr>
          <w:trHeight w:val="263"/>
        </w:trPr>
        <w:tc>
          <w:tcPr>
            <w:tcW w:w="70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Year of origination:</w:t>
            </w:r>
          </w:p>
        </w:tc>
        <w:tc>
          <w:tcPr>
            <w:tcW w:w="7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Balance</w:t>
            </w: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Non-Accrual</w:t>
            </w:r>
          </w:p>
        </w:tc>
      </w:tr>
      <w:tr>
        <w:trPr>
          <w:trHeight w:val="260"/>
        </w:trPr>
        <w:tc>
          <w:tcPr>
            <w:tcW w:w="7000" w:type="dxa"/>
            <w:vAlign w:val="bottom"/>
          </w:tcPr>
          <w:p>
            <w:pPr>
              <w:ind w:left="180"/>
              <w:spacing w:after="0"/>
              <w:rPr>
                <w:sz w:val="20"/>
                <w:szCs w:val="20"/>
                <w:color w:val="auto"/>
              </w:rPr>
            </w:pPr>
            <w:r>
              <w:rPr>
                <w:rFonts w:ascii="Arial" w:cs="Arial" w:eastAsia="Arial" w:hAnsi="Arial"/>
                <w:sz w:val="16"/>
                <w:szCs w:val="16"/>
                <w:color w:val="auto"/>
              </w:rPr>
              <w:t>2019</w:t>
            </w:r>
          </w:p>
        </w:tc>
        <w:tc>
          <w:tcPr>
            <w:tcW w:w="780" w:type="dxa"/>
            <w:vAlign w:val="bottom"/>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Pr>
          <w:p>
            <w:pPr>
              <w:jc w:val="right"/>
              <w:ind w:right="39"/>
              <w:spacing w:after="0"/>
              <w:rPr>
                <w:sz w:val="20"/>
                <w:szCs w:val="20"/>
                <w:color w:val="auto"/>
              </w:rPr>
            </w:pPr>
            <w:r>
              <w:rPr>
                <w:rFonts w:ascii="Arial" w:cs="Arial" w:eastAsia="Arial" w:hAnsi="Arial"/>
                <w:sz w:val="16"/>
                <w:szCs w:val="16"/>
                <w:b w:val="1"/>
                <w:bCs w:val="1"/>
                <w:color w:val="auto"/>
              </w:rPr>
              <w:t>365,620</w:t>
            </w:r>
          </w:p>
        </w:tc>
        <w:tc>
          <w:tcPr>
            <w:tcW w:w="74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w:t>
            </w:r>
          </w:p>
        </w:tc>
        <w:tc>
          <w:tcPr>
            <w:tcW w:w="152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r>
      <w:tr>
        <w:trPr>
          <w:trHeight w:val="280"/>
        </w:trPr>
        <w:tc>
          <w:tcPr>
            <w:tcW w:w="7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2018 and prior</w:t>
            </w:r>
          </w:p>
        </w:tc>
        <w:tc>
          <w:tcPr>
            <w:tcW w:w="7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14,068</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14,068</w:t>
            </w:r>
          </w:p>
        </w:tc>
      </w:tr>
      <w:tr>
        <w:trPr>
          <w:trHeight w:val="264"/>
        </w:trPr>
        <w:tc>
          <w:tcPr>
            <w:tcW w:w="70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Revolving loans</w:t>
            </w:r>
          </w:p>
        </w:tc>
        <w:tc>
          <w:tcPr>
            <w:tcW w:w="7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18,896</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12,221</w:t>
            </w:r>
          </w:p>
        </w:tc>
      </w:tr>
      <w:tr>
        <w:trPr>
          <w:trHeight w:val="257"/>
        </w:trPr>
        <w:tc>
          <w:tcPr>
            <w:tcW w:w="70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398,584</w:t>
            </w:r>
          </w:p>
        </w:tc>
        <w:tc>
          <w:tcPr>
            <w:tcW w:w="7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b w:val="1"/>
                <w:bCs w:val="1"/>
                <w:color w:val="auto"/>
              </w:rPr>
              <w:t>$</w:t>
            </w:r>
          </w:p>
        </w:tc>
        <w:tc>
          <w:tcPr>
            <w:tcW w:w="152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26,289</w:t>
            </w:r>
          </w:p>
        </w:tc>
      </w:tr>
      <w:tr>
        <w:trPr>
          <w:trHeight w:val="257"/>
        </w:trPr>
        <w:tc>
          <w:tcPr>
            <w:tcW w:w="70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Allowance</w:t>
            </w:r>
          </w:p>
        </w:tc>
        <w:tc>
          <w:tcPr>
            <w:tcW w:w="7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(28,517)</w:t>
            </w:r>
          </w:p>
        </w:tc>
        <w:tc>
          <w:tcPr>
            <w:tcW w:w="100" w:type="dxa"/>
            <w:vAlign w:val="bottom"/>
            <w:tcBorders>
              <w:bottom w:val="single" w:sz="8" w:color="CCEEFF"/>
            </w:tcBorders>
          </w:tcPr>
          <w:p>
            <w:pPr>
              <w:spacing w:after="0"/>
              <w:rPr>
                <w:sz w:val="22"/>
                <w:szCs w:val="22"/>
                <w:color w:val="auto"/>
              </w:rPr>
            </w:pPr>
          </w:p>
        </w:tc>
        <w:tc>
          <w:tcPr>
            <w:tcW w:w="640" w:type="dxa"/>
            <w:vAlign w:val="bottom"/>
            <w:tcBorders>
              <w:top w:val="single" w:sz="8" w:color="auto"/>
              <w:bottom w:val="single" w:sz="8" w:color="CCEEFF"/>
            </w:tcBorders>
          </w:tcPr>
          <w:p>
            <w:pPr>
              <w:spacing w:after="0"/>
              <w:rPr>
                <w:sz w:val="22"/>
                <w:szCs w:val="22"/>
                <w:color w:val="auto"/>
              </w:rPr>
            </w:pPr>
          </w:p>
        </w:tc>
        <w:tc>
          <w:tcPr>
            <w:tcW w:w="1520" w:type="dxa"/>
            <w:vAlign w:val="bottom"/>
            <w:tcBorders>
              <w:top w:val="single" w:sz="8" w:color="auto"/>
              <w:bottom w:val="single" w:sz="8" w:color="CCEEFF"/>
            </w:tcBorders>
          </w:tcPr>
          <w:p>
            <w:pPr>
              <w:spacing w:after="0"/>
              <w:rPr>
                <w:sz w:val="22"/>
                <w:szCs w:val="22"/>
                <w:color w:val="auto"/>
              </w:rPr>
            </w:pPr>
          </w:p>
        </w:tc>
      </w:tr>
      <w:tr>
        <w:trPr>
          <w:trHeight w:val="250"/>
        </w:trPr>
        <w:tc>
          <w:tcPr>
            <w:tcW w:w="7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balance</w:t>
            </w: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370,067</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122"/>
        </w:trPr>
        <w:tc>
          <w:tcPr>
            <w:tcW w:w="70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308610</wp:posOffset>
            </wp:positionV>
            <wp:extent cx="22288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8380"/>
        <w:spacing w:after="0"/>
        <w:tabs>
          <w:tab w:leader="none" w:pos="1118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FY2019 Form 10-Q</w:t>
      </w:r>
      <w:r>
        <w:rPr>
          <w:sz w:val="20"/>
          <w:szCs w:val="20"/>
          <w:color w:val="auto"/>
        </w:rPr>
        <w:tab/>
      </w:r>
      <w:r>
        <w:rPr>
          <w:rFonts w:ascii="Arial" w:cs="Arial" w:eastAsia="Arial" w:hAnsi="Arial"/>
          <w:sz w:val="14"/>
          <w:szCs w:val="14"/>
          <w:color w:val="FFFFFF"/>
          <w:highlight w:val="black"/>
        </w:rPr>
        <w:t>9</w:t>
      </w:r>
    </w:p>
    <w:p>
      <w:pPr>
        <w:sectPr>
          <w:pgSz w:w="11900" w:h="16838" w:orient="portrait"/>
          <w:cols w:equalWidth="0" w:num="1">
            <w:col w:w="11420"/>
          </w:cols>
          <w:pgMar w:left="240" w:top="249"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ind w:right="20" w:firstLine="216"/>
        <w:spacing w:after="0" w:line="287" w:lineRule="auto"/>
        <w:rPr>
          <w:sz w:val="20"/>
          <w:szCs w:val="20"/>
          <w:color w:val="auto"/>
        </w:rPr>
      </w:pPr>
      <w:r>
        <w:rPr>
          <w:rFonts w:ascii="Arial" w:cs="Arial" w:eastAsia="Arial" w:hAnsi="Arial"/>
          <w:sz w:val="18"/>
          <w:szCs w:val="18"/>
          <w:b w:val="1"/>
          <w:bCs w:val="1"/>
          <w:color w:val="auto"/>
        </w:rPr>
        <w:t xml:space="preserve">ALLOWANCE FOR DOUBTFUL ACCOUNTS </w:t>
      </w:r>
      <w:r>
        <w:rPr>
          <w:rFonts w:ascii="Arial" w:cs="Arial" w:eastAsia="Arial" w:hAnsi="Arial"/>
          <w:sz w:val="18"/>
          <w:szCs w:val="18"/>
          <w:color w:val="auto"/>
        </w:rPr>
        <w:t>– Activity in the allowance for doubtful accounts for our EA and all other short-term and long-term receivables for the nine months ended January 31, 2019 and 2018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(in 000s)</w:t>
            </w:r>
          </w:p>
        </w:tc>
      </w:tr>
      <w:tr>
        <w:trPr>
          <w:trHeight w:val="263"/>
        </w:trPr>
        <w:tc>
          <w:tcPr>
            <w:tcW w:w="5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EAs</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All Other</w:t>
            </w: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Total</w:t>
            </w:r>
          </w:p>
        </w:tc>
      </w:tr>
      <w:tr>
        <w:trPr>
          <w:trHeight w:val="257"/>
        </w:trPr>
        <w:tc>
          <w:tcPr>
            <w:tcW w:w="5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Balances as of April 30, 2018</w:t>
            </w: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26,622</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55,191</w:t>
            </w: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81,813</w:t>
            </w:r>
          </w:p>
        </w:tc>
      </w:tr>
      <w:tr>
        <w:trPr>
          <w:trHeight w:val="260"/>
        </w:trPr>
        <w:tc>
          <w:tcPr>
            <w:tcW w:w="5740" w:type="dxa"/>
            <w:vAlign w:val="bottom"/>
            <w:gridSpan w:val="2"/>
          </w:tcPr>
          <w:p>
            <w:pPr>
              <w:ind w:left="40"/>
              <w:spacing w:after="0"/>
              <w:rPr>
                <w:sz w:val="20"/>
                <w:szCs w:val="20"/>
                <w:color w:val="auto"/>
              </w:rPr>
            </w:pPr>
            <w:r>
              <w:rPr>
                <w:rFonts w:ascii="Arial" w:cs="Arial" w:eastAsia="Arial" w:hAnsi="Arial"/>
                <w:sz w:val="16"/>
                <w:szCs w:val="16"/>
                <w:color w:val="auto"/>
              </w:rPr>
              <w:t>Provision</w:t>
            </w:r>
          </w:p>
        </w:tc>
        <w:tc>
          <w:tcPr>
            <w:tcW w:w="64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b w:val="1"/>
                <w:bCs w:val="1"/>
                <w:color w:val="auto"/>
              </w:rPr>
              <w:t>18,254</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16,755</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b w:val="1"/>
                <w:bCs w:val="1"/>
                <w:color w:val="auto"/>
              </w:rPr>
              <w:t>35,009</w:t>
            </w:r>
          </w:p>
        </w:tc>
      </w:tr>
      <w:tr>
        <w:trPr>
          <w:trHeight w:val="280"/>
        </w:trPr>
        <w:tc>
          <w:tcPr>
            <w:tcW w:w="5740" w:type="dxa"/>
            <w:vAlign w:val="bottom"/>
            <w:gridSpan w:val="2"/>
            <w:shd w:val="clear" w:color="auto" w:fill="CCEEFF"/>
          </w:tcPr>
          <w:p>
            <w:pPr>
              <w:ind w:left="40"/>
              <w:spacing w:after="0" w:line="280" w:lineRule="exact"/>
              <w:rPr>
                <w:sz w:val="20"/>
                <w:szCs w:val="20"/>
                <w:color w:val="auto"/>
              </w:rPr>
            </w:pPr>
            <w:r>
              <w:rPr>
                <w:rFonts w:ascii="Arial" w:cs="Arial" w:eastAsia="Arial" w:hAnsi="Arial"/>
                <w:sz w:val="16"/>
                <w:szCs w:val="16"/>
                <w:color w:val="auto"/>
              </w:rPr>
              <w:t xml:space="preserve">Charge-offs, recoveries and other </w:t>
            </w:r>
            <w:r>
              <w:rPr>
                <w:rFonts w:ascii="Arial" w:cs="Arial" w:eastAsia="Arial" w:hAnsi="Arial"/>
                <w:sz w:val="27"/>
                <w:szCs w:val="27"/>
                <w:color w:val="auto"/>
                <w:vertAlign w:val="superscript"/>
              </w:rPr>
              <w:t>(1)</w:t>
            </w:r>
          </w:p>
        </w:tc>
        <w:tc>
          <w:tcPr>
            <w:tcW w:w="6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(16,359)</w:t>
            </w:r>
          </w:p>
        </w:tc>
        <w:tc>
          <w:tcPr>
            <w:tcW w:w="100" w:type="dxa"/>
            <w:vAlign w:val="bottom"/>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(55,459)</w:t>
            </w:r>
          </w:p>
        </w:tc>
        <w:tc>
          <w:tcPr>
            <w:tcW w:w="120" w:type="dxa"/>
            <w:vAlign w:val="bottom"/>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(71,818)</w:t>
            </w:r>
          </w:p>
        </w:tc>
      </w:tr>
      <w:tr>
        <w:trPr>
          <w:trHeight w:val="244"/>
        </w:trPr>
        <w:tc>
          <w:tcPr>
            <w:tcW w:w="5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Balances as of January 31, 2019</w:t>
            </w:r>
          </w:p>
        </w:tc>
        <w:tc>
          <w:tcPr>
            <w:tcW w:w="6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28,517</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16,487</w:t>
            </w:r>
          </w:p>
        </w:tc>
        <w:tc>
          <w:tcPr>
            <w:tcW w:w="12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45,004</w:t>
            </w:r>
          </w:p>
        </w:tc>
      </w:tr>
      <w:tr>
        <w:trPr>
          <w:trHeight w:val="284"/>
        </w:trPr>
        <w:tc>
          <w:tcPr>
            <w:tcW w:w="5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60"/>
        </w:trPr>
        <w:tc>
          <w:tcPr>
            <w:tcW w:w="5740" w:type="dxa"/>
            <w:vAlign w:val="bottom"/>
            <w:gridSpan w:val="2"/>
          </w:tcPr>
          <w:p>
            <w:pPr>
              <w:ind w:left="40"/>
              <w:spacing w:after="0"/>
              <w:rPr>
                <w:sz w:val="20"/>
                <w:szCs w:val="20"/>
                <w:color w:val="auto"/>
              </w:rPr>
            </w:pPr>
            <w:r>
              <w:rPr>
                <w:rFonts w:ascii="Arial" w:cs="Arial" w:eastAsia="Arial" w:hAnsi="Arial"/>
                <w:sz w:val="16"/>
                <w:szCs w:val="16"/>
                <w:color w:val="auto"/>
              </w:rPr>
              <w:t>Balances as of April 30, 2017</w:t>
            </w: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10,123</w:t>
            </w:r>
          </w:p>
        </w:tc>
        <w:tc>
          <w:tcPr>
            <w:tcW w:w="100" w:type="dxa"/>
            <w:vAlign w:val="bottom"/>
          </w:tcPr>
          <w:p>
            <w:pPr>
              <w:spacing w:after="0"/>
              <w:rPr>
                <w:sz w:val="22"/>
                <w:szCs w:val="22"/>
                <w:color w:val="auto"/>
              </w:rPr>
            </w:pP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46,552</w:t>
            </w:r>
          </w:p>
        </w:tc>
        <w:tc>
          <w:tcPr>
            <w:tcW w:w="120" w:type="dxa"/>
            <w:vAlign w:val="bottom"/>
          </w:tcPr>
          <w:p>
            <w:pPr>
              <w:spacing w:after="0"/>
              <w:rPr>
                <w:sz w:val="22"/>
                <w:szCs w:val="22"/>
                <w:color w:val="auto"/>
              </w:rPr>
            </w:pP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56,675</w:t>
            </w:r>
          </w:p>
        </w:tc>
      </w:tr>
      <w:tr>
        <w:trPr>
          <w:trHeight w:val="280"/>
        </w:trPr>
        <w:tc>
          <w:tcPr>
            <w:tcW w:w="5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w:t>
            </w:r>
          </w:p>
        </w:tc>
        <w:tc>
          <w:tcPr>
            <w:tcW w:w="6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17,682</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15,747</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33,429</w:t>
            </w:r>
          </w:p>
        </w:tc>
      </w:tr>
      <w:tr>
        <w:trPr>
          <w:trHeight w:val="270"/>
        </w:trPr>
        <w:tc>
          <w:tcPr>
            <w:tcW w:w="5740" w:type="dxa"/>
            <w:vAlign w:val="bottom"/>
            <w:gridSpan w:val="2"/>
          </w:tcPr>
          <w:p>
            <w:pPr>
              <w:ind w:left="40"/>
              <w:spacing w:after="0" w:line="270" w:lineRule="exact"/>
              <w:rPr>
                <w:sz w:val="20"/>
                <w:szCs w:val="20"/>
                <w:color w:val="auto"/>
              </w:rPr>
            </w:pPr>
            <w:r>
              <w:rPr>
                <w:rFonts w:ascii="Arial" w:cs="Arial" w:eastAsia="Arial" w:hAnsi="Arial"/>
                <w:sz w:val="16"/>
                <w:szCs w:val="16"/>
                <w:color w:val="auto"/>
              </w:rPr>
              <w:t xml:space="preserve">Charge-offs, recoveries and other </w:t>
            </w:r>
            <w:r>
              <w:rPr>
                <w:rFonts w:ascii="Arial" w:cs="Arial" w:eastAsia="Arial" w:hAnsi="Arial"/>
                <w:sz w:val="27"/>
                <w:szCs w:val="27"/>
                <w:color w:val="auto"/>
                <w:vertAlign w:val="superscript"/>
              </w:rPr>
              <w:t>(1)</w:t>
            </w:r>
          </w:p>
        </w:tc>
        <w:tc>
          <w:tcPr>
            <w:tcW w:w="64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(44,889)</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(44,889)</w:t>
            </w:r>
          </w:p>
        </w:tc>
      </w:tr>
      <w:tr>
        <w:trPr>
          <w:trHeight w:val="244"/>
        </w:trPr>
        <w:tc>
          <w:tcPr>
            <w:tcW w:w="57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Balances as of January 31, 2018</w:t>
            </w:r>
          </w:p>
        </w:tc>
        <w:tc>
          <w:tcPr>
            <w:tcW w:w="640" w:type="dxa"/>
            <w:vAlign w:val="bottom"/>
            <w:tcBorders>
              <w:top w:val="single" w:sz="8" w:color="auto"/>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27,805</w:t>
            </w:r>
          </w:p>
        </w:tc>
        <w:tc>
          <w:tcPr>
            <w:tcW w:w="10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17,410</w:t>
            </w:r>
          </w:p>
        </w:tc>
        <w:tc>
          <w:tcPr>
            <w:tcW w:w="12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45,215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24"/>
          <w:szCs w:val="24"/>
          <w:color w:val="auto"/>
          <w:vertAlign w:val="superscript"/>
        </w:rPr>
      </w:pPr>
      <w:r>
        <w:rPr>
          <w:rFonts w:ascii="Arial" w:cs="Arial" w:eastAsia="Arial" w:hAnsi="Arial"/>
          <w:sz w:val="14"/>
          <w:szCs w:val="14"/>
          <w:color w:val="auto"/>
        </w:rPr>
        <w:t>In fiscal year 2019 we charged-off older EA balances in December while in prior years, these charge-offs happened in April.</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nine months ended January 31, 2019 and 2018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(in 000s)</w:t>
            </w:r>
          </w:p>
        </w:tc>
      </w:tr>
      <w:tr>
        <w:trPr>
          <w:trHeight w:val="217"/>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Accumulated</w:t>
            </w: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8"/>
        </w:trPr>
        <w:tc>
          <w:tcPr>
            <w:tcW w:w="5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Goodwill</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Impairment Losses</w:t>
            </w: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Net</w:t>
            </w:r>
          </w:p>
        </w:tc>
      </w:tr>
      <w:tr>
        <w:trPr>
          <w:trHeight w:val="257"/>
        </w:trPr>
        <w:tc>
          <w:tcPr>
            <w:tcW w:w="5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Balances as of April 30, 2018</w:t>
            </w: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540,168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(32,297)</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507,871</w:t>
            </w:r>
          </w:p>
        </w:tc>
      </w:tr>
      <w:tr>
        <w:trPr>
          <w:trHeight w:val="260"/>
        </w:trPr>
        <w:tc>
          <w:tcPr>
            <w:tcW w:w="5740" w:type="dxa"/>
            <w:vAlign w:val="bottom"/>
            <w:gridSpan w:val="2"/>
          </w:tcPr>
          <w:p>
            <w:pPr>
              <w:ind w:left="40"/>
              <w:spacing w:after="0"/>
              <w:rPr>
                <w:sz w:val="20"/>
                <w:szCs w:val="20"/>
                <w:color w:val="auto"/>
              </w:rPr>
            </w:pPr>
            <w:r>
              <w:rPr>
                <w:rFonts w:ascii="Arial" w:cs="Arial" w:eastAsia="Arial" w:hAnsi="Arial"/>
                <w:sz w:val="16"/>
                <w:szCs w:val="16"/>
                <w:color w:val="auto"/>
              </w:rPr>
              <w:t>Acquisitions</w:t>
            </w:r>
          </w:p>
        </w:tc>
        <w:tc>
          <w:tcPr>
            <w:tcW w:w="6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13,076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auto"/>
              </w:rPr>
              <w:t>13,076</w:t>
            </w:r>
          </w:p>
        </w:tc>
      </w:tr>
      <w:tr>
        <w:trPr>
          <w:trHeight w:val="280"/>
        </w:trPr>
        <w:tc>
          <w:tcPr>
            <w:tcW w:w="5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Disposals and foreign currency changes, net</w:t>
            </w:r>
          </w:p>
        </w:tc>
        <w:tc>
          <w:tcPr>
            <w:tcW w:w="6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(942)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(942)</w:t>
            </w:r>
          </w:p>
        </w:tc>
      </w:tr>
      <w:tr>
        <w:trPr>
          <w:trHeight w:val="264"/>
        </w:trPr>
        <w:tc>
          <w:tcPr>
            <w:tcW w:w="5740" w:type="dxa"/>
            <w:vAlign w:val="bottom"/>
            <w:gridSpan w:val="2"/>
          </w:tcPr>
          <w:p>
            <w:pPr>
              <w:ind w:left="40"/>
              <w:spacing w:after="0"/>
              <w:rPr>
                <w:sz w:val="20"/>
                <w:szCs w:val="20"/>
                <w:color w:val="auto"/>
              </w:rPr>
            </w:pPr>
            <w:r>
              <w:rPr>
                <w:rFonts w:ascii="Arial" w:cs="Arial" w:eastAsia="Arial" w:hAnsi="Arial"/>
                <w:sz w:val="16"/>
                <w:szCs w:val="16"/>
                <w:color w:val="auto"/>
              </w:rPr>
              <w:t>Impairments</w:t>
            </w:r>
          </w:p>
        </w:tc>
        <w:tc>
          <w:tcPr>
            <w:tcW w:w="60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2"/>
                <w:szCs w:val="22"/>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r>
      <w:tr>
        <w:trPr>
          <w:trHeight w:val="250"/>
        </w:trPr>
        <w:tc>
          <w:tcPr>
            <w:tcW w:w="57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Balances as of January 31, 2019</w:t>
            </w:r>
          </w:p>
        </w:tc>
        <w:tc>
          <w:tcPr>
            <w:tcW w:w="600" w:type="dxa"/>
            <w:vAlign w:val="bottom"/>
            <w:tcBorders>
              <w:top w:val="single" w:sz="8" w:color="auto"/>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552,302</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(32,297)</w:t>
            </w:r>
          </w:p>
        </w:tc>
        <w:tc>
          <w:tcPr>
            <w:tcW w:w="12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520,005</w:t>
            </w:r>
          </w:p>
        </w:tc>
      </w:tr>
      <w:tr>
        <w:trPr>
          <w:trHeight w:val="176"/>
        </w:trPr>
        <w:tc>
          <w:tcPr>
            <w:tcW w:w="5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70"/>
        </w:trPr>
        <w:tc>
          <w:tcPr>
            <w:tcW w:w="5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Balances as of April 30, 2017</w:t>
            </w: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523,504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(32,297)</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491,207</w:t>
            </w:r>
          </w:p>
        </w:tc>
      </w:tr>
      <w:tr>
        <w:trPr>
          <w:trHeight w:val="260"/>
        </w:trPr>
        <w:tc>
          <w:tcPr>
            <w:tcW w:w="5740" w:type="dxa"/>
            <w:vAlign w:val="bottom"/>
            <w:gridSpan w:val="2"/>
          </w:tcPr>
          <w:p>
            <w:pPr>
              <w:ind w:left="40"/>
              <w:spacing w:after="0"/>
              <w:rPr>
                <w:sz w:val="20"/>
                <w:szCs w:val="20"/>
                <w:color w:val="auto"/>
              </w:rPr>
            </w:pPr>
            <w:r>
              <w:rPr>
                <w:rFonts w:ascii="Arial" w:cs="Arial" w:eastAsia="Arial" w:hAnsi="Arial"/>
                <w:sz w:val="16"/>
                <w:szCs w:val="16"/>
                <w:color w:val="auto"/>
              </w:rPr>
              <w:t>Acquisitions</w:t>
            </w:r>
          </w:p>
        </w:tc>
        <w:tc>
          <w:tcPr>
            <w:tcW w:w="6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11,579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11,579</w:t>
            </w:r>
          </w:p>
        </w:tc>
      </w:tr>
      <w:tr>
        <w:trPr>
          <w:trHeight w:val="280"/>
        </w:trPr>
        <w:tc>
          <w:tcPr>
            <w:tcW w:w="5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Disposals and foreign currency changes, net</w:t>
            </w:r>
          </w:p>
        </w:tc>
        <w:tc>
          <w:tcPr>
            <w:tcW w:w="6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2,003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2,003</w:t>
            </w:r>
          </w:p>
        </w:tc>
      </w:tr>
      <w:tr>
        <w:trPr>
          <w:trHeight w:val="264"/>
        </w:trPr>
        <w:tc>
          <w:tcPr>
            <w:tcW w:w="5740" w:type="dxa"/>
            <w:vAlign w:val="bottom"/>
            <w:gridSpan w:val="2"/>
          </w:tcPr>
          <w:p>
            <w:pPr>
              <w:ind w:left="40"/>
              <w:spacing w:after="0"/>
              <w:rPr>
                <w:sz w:val="20"/>
                <w:szCs w:val="20"/>
                <w:color w:val="auto"/>
              </w:rPr>
            </w:pPr>
            <w:r>
              <w:rPr>
                <w:rFonts w:ascii="Arial" w:cs="Arial" w:eastAsia="Arial" w:hAnsi="Arial"/>
                <w:sz w:val="16"/>
                <w:szCs w:val="16"/>
                <w:color w:val="auto"/>
              </w:rPr>
              <w:t>Impairments</w:t>
            </w:r>
          </w:p>
        </w:tc>
        <w:tc>
          <w:tcPr>
            <w:tcW w:w="60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50"/>
        </w:trPr>
        <w:tc>
          <w:tcPr>
            <w:tcW w:w="57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Balances as of January 31, 2018</w:t>
            </w:r>
          </w:p>
        </w:tc>
        <w:tc>
          <w:tcPr>
            <w:tcW w:w="600" w:type="dxa"/>
            <w:vAlign w:val="bottom"/>
            <w:tcBorders>
              <w:top w:val="single" w:sz="8" w:color="auto"/>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537,086</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(32,297)</w:t>
            </w:r>
          </w:p>
        </w:tc>
        <w:tc>
          <w:tcPr>
            <w:tcW w:w="12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504,789</w:t>
            </w:r>
          </w:p>
        </w:tc>
      </w:tr>
      <w:tr>
        <w:trPr>
          <w:trHeight w:val="122"/>
        </w:trPr>
        <w:tc>
          <w:tcPr>
            <w:tcW w:w="56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r>
    </w:tbl>
    <w:p>
      <w:pPr>
        <w:spacing w:after="0" w:line="107"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We test goodwill for impairment annually in our fourth quarter, or more frequently if events occur or circumstances change which would, more likely than not, reduce the fair value of a reporting unit below its carrying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23177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1775" cy="1371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400" w:hanging="290"/>
        <w:spacing w:after="0"/>
        <w:tabs>
          <w:tab w:leader="none" w:pos="400" w:val="left"/>
        </w:tabs>
        <w:numPr>
          <w:ilvl w:val="0"/>
          <w:numId w:val="11"/>
        </w:numPr>
        <w:rPr>
          <w:rFonts w:ascii="Arial" w:cs="Arial" w:eastAsia="Arial" w:hAnsi="Arial"/>
          <w:sz w:val="14"/>
          <w:szCs w:val="14"/>
          <w:color w:val="FFFFFF"/>
          <w:highlight w:val="black"/>
        </w:rPr>
      </w:pPr>
      <w:r>
        <w:rPr>
          <w:rFonts w:ascii="Arial" w:cs="Arial" w:eastAsia="Arial" w:hAnsi="Arial"/>
          <w:sz w:val="14"/>
          <w:szCs w:val="14"/>
          <w:color w:val="auto"/>
        </w:rPr>
        <w:t xml:space="preserve">Q3 FY2019 Form 10-Q | </w:t>
      </w:r>
      <w:r>
        <w:rPr>
          <w:rFonts w:ascii="Arial" w:cs="Arial" w:eastAsia="Arial" w:hAnsi="Arial"/>
          <w:sz w:val="14"/>
          <w:szCs w:val="14"/>
          <w:b w:val="1"/>
          <w:bCs w:val="1"/>
          <w:color w:val="auto"/>
        </w:rPr>
        <w:t>H&amp;R Block, Inc.</w:t>
      </w:r>
    </w:p>
    <w:p>
      <w:pPr>
        <w:sectPr>
          <w:pgSz w:w="11900" w:h="16838" w:orient="portrait"/>
          <w:cols w:equalWidth="0" w:num="1">
            <w:col w:w="11420"/>
          </w:cols>
          <w:pgMar w:left="240" w:top="249"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Components of intangible assets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(in 000s)</w:t>
            </w:r>
          </w:p>
        </w:tc>
      </w:tr>
      <w:tr>
        <w:trPr>
          <w:trHeight w:val="217"/>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Gross</w:t>
            </w:r>
          </w:p>
        </w:tc>
        <w:tc>
          <w:tcPr>
            <w:tcW w:w="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89"/>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Carrying</w:t>
            </w:r>
          </w:p>
        </w:tc>
        <w:tc>
          <w:tcPr>
            <w:tcW w:w="520" w:type="dxa"/>
            <w:vAlign w:val="bottom"/>
          </w:tcPr>
          <w:p>
            <w:pPr>
              <w:spacing w:after="0"/>
              <w:rPr>
                <w:sz w:val="16"/>
                <w:szCs w:val="16"/>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Accumulated</w:t>
            </w:r>
          </w:p>
        </w:tc>
        <w:tc>
          <w:tcPr>
            <w:tcW w:w="6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8"/>
        </w:trPr>
        <w:tc>
          <w:tcPr>
            <w:tcW w:w="52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Amount</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Amortization</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Net</w:t>
            </w:r>
          </w:p>
        </w:tc>
      </w:tr>
      <w:tr>
        <w:trPr>
          <w:trHeight w:val="270"/>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 of January 31, 2019:</w:t>
            </w:r>
          </w:p>
        </w:tc>
        <w:tc>
          <w:tcPr>
            <w:tcW w:w="6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5380" w:type="dxa"/>
            <w:vAlign w:val="bottom"/>
            <w:gridSpan w:val="2"/>
          </w:tcPr>
          <w:p>
            <w:pPr>
              <w:ind w:left="180"/>
              <w:spacing w:after="0"/>
              <w:rPr>
                <w:sz w:val="20"/>
                <w:szCs w:val="20"/>
                <w:color w:val="auto"/>
              </w:rPr>
            </w:pPr>
            <w:r>
              <w:rPr>
                <w:rFonts w:ascii="Arial" w:cs="Arial" w:eastAsia="Arial" w:hAnsi="Arial"/>
                <w:sz w:val="16"/>
                <w:szCs w:val="16"/>
                <w:color w:val="auto"/>
              </w:rPr>
              <w:t>Reacquired franchise rights</w:t>
            </w:r>
          </w:p>
        </w:tc>
        <w:tc>
          <w:tcPr>
            <w:tcW w:w="680" w:type="dxa"/>
            <w:vAlign w:val="bottom"/>
          </w:tcPr>
          <w:p>
            <w:pPr>
              <w:jc w:val="right"/>
              <w:ind w:right="47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b w:val="1"/>
                <w:bCs w:val="1"/>
                <w:color w:val="auto"/>
              </w:rPr>
              <w:t>350,459</w:t>
            </w:r>
          </w:p>
        </w:tc>
        <w:tc>
          <w:tcPr>
            <w:tcW w:w="100" w:type="dxa"/>
            <w:vAlign w:val="bottom"/>
          </w:tcPr>
          <w:p>
            <w:pPr>
              <w:spacing w:after="0"/>
              <w:rPr>
                <w:sz w:val="22"/>
                <w:szCs w:val="22"/>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(130,618)</w:t>
            </w:r>
          </w:p>
        </w:tc>
        <w:tc>
          <w:tcPr>
            <w:tcW w:w="100" w:type="dxa"/>
            <w:vAlign w:val="bottom"/>
          </w:tcPr>
          <w:p>
            <w:pPr>
              <w:spacing w:after="0"/>
              <w:rPr>
                <w:sz w:val="22"/>
                <w:szCs w:val="22"/>
                <w:color w:val="auto"/>
              </w:rPr>
            </w:pPr>
          </w:p>
        </w:tc>
        <w:tc>
          <w:tcPr>
            <w:tcW w:w="680" w:type="dxa"/>
            <w:vAlign w:val="bottom"/>
          </w:tcPr>
          <w:p>
            <w:pPr>
              <w:jc w:val="right"/>
              <w:ind w:right="47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219,841</w:t>
            </w:r>
          </w:p>
        </w:tc>
      </w:tr>
      <w:tr>
        <w:trPr>
          <w:trHeight w:val="280"/>
        </w:trPr>
        <w:tc>
          <w:tcPr>
            <w:tcW w:w="5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Customer relationships</w:t>
            </w:r>
          </w:p>
        </w:tc>
        <w:tc>
          <w:tcPr>
            <w:tcW w:w="6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274,293</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(187,080)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87,213</w:t>
            </w:r>
          </w:p>
        </w:tc>
      </w:tr>
      <w:tr>
        <w:trPr>
          <w:trHeight w:val="260"/>
        </w:trPr>
        <w:tc>
          <w:tcPr>
            <w:tcW w:w="5380" w:type="dxa"/>
            <w:vAlign w:val="bottom"/>
            <w:gridSpan w:val="2"/>
          </w:tcPr>
          <w:p>
            <w:pPr>
              <w:ind w:left="180"/>
              <w:spacing w:after="0"/>
              <w:rPr>
                <w:sz w:val="20"/>
                <w:szCs w:val="20"/>
                <w:color w:val="auto"/>
              </w:rPr>
            </w:pPr>
            <w:r>
              <w:rPr>
                <w:rFonts w:ascii="Arial" w:cs="Arial" w:eastAsia="Arial" w:hAnsi="Arial"/>
                <w:sz w:val="16"/>
                <w:szCs w:val="16"/>
                <w:color w:val="auto"/>
              </w:rPr>
              <w:t>Internally-developed software</w:t>
            </w:r>
          </w:p>
        </w:tc>
        <w:tc>
          <w:tcPr>
            <w:tcW w:w="68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b w:val="1"/>
                <w:bCs w:val="1"/>
                <w:color w:val="auto"/>
              </w:rPr>
              <w:t>147,465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(119,664)</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27,801</w:t>
            </w:r>
          </w:p>
        </w:tc>
      </w:tr>
      <w:tr>
        <w:trPr>
          <w:trHeight w:val="280"/>
        </w:trPr>
        <w:tc>
          <w:tcPr>
            <w:tcW w:w="5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Noncompete agreements</w:t>
            </w:r>
          </w:p>
        </w:tc>
        <w:tc>
          <w:tcPr>
            <w:tcW w:w="6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33,369</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(31,040)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2,329</w:t>
            </w:r>
          </w:p>
        </w:tc>
      </w:tr>
      <w:tr>
        <w:trPr>
          <w:trHeight w:val="260"/>
        </w:trPr>
        <w:tc>
          <w:tcPr>
            <w:tcW w:w="5380" w:type="dxa"/>
            <w:vAlign w:val="bottom"/>
            <w:gridSpan w:val="2"/>
          </w:tcPr>
          <w:p>
            <w:pPr>
              <w:ind w:left="180"/>
              <w:spacing w:after="0"/>
              <w:rPr>
                <w:sz w:val="20"/>
                <w:szCs w:val="20"/>
                <w:color w:val="auto"/>
              </w:rPr>
            </w:pPr>
            <w:r>
              <w:rPr>
                <w:rFonts w:ascii="Arial" w:cs="Arial" w:eastAsia="Arial" w:hAnsi="Arial"/>
                <w:sz w:val="16"/>
                <w:szCs w:val="16"/>
                <w:color w:val="auto"/>
              </w:rPr>
              <w:t>Franchise agreements</w:t>
            </w:r>
          </w:p>
        </w:tc>
        <w:tc>
          <w:tcPr>
            <w:tcW w:w="68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b w:val="1"/>
                <w:bCs w:val="1"/>
                <w:color w:val="auto"/>
              </w:rPr>
              <w:t>19,201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(13,014)</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6,187</w:t>
            </w:r>
          </w:p>
        </w:tc>
      </w:tr>
      <w:tr>
        <w:trPr>
          <w:trHeight w:val="280"/>
        </w:trPr>
        <w:tc>
          <w:tcPr>
            <w:tcW w:w="5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Purchased technology</w:t>
            </w:r>
          </w:p>
        </w:tc>
        <w:tc>
          <w:tcPr>
            <w:tcW w:w="6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54,700</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(42,082)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12,618</w:t>
            </w:r>
          </w:p>
        </w:tc>
      </w:tr>
      <w:tr>
        <w:trPr>
          <w:trHeight w:val="270"/>
        </w:trPr>
        <w:tc>
          <w:tcPr>
            <w:tcW w:w="5380" w:type="dxa"/>
            <w:vAlign w:val="bottom"/>
            <w:gridSpan w:val="2"/>
          </w:tcPr>
          <w:p>
            <w:pPr>
              <w:ind w:left="180"/>
              <w:spacing w:after="0" w:line="270" w:lineRule="exact"/>
              <w:rPr>
                <w:sz w:val="20"/>
                <w:szCs w:val="20"/>
                <w:color w:val="auto"/>
              </w:rPr>
            </w:pPr>
            <w:r>
              <w:rPr>
                <w:rFonts w:ascii="Arial" w:cs="Arial" w:eastAsia="Arial" w:hAnsi="Arial"/>
                <w:sz w:val="16"/>
                <w:szCs w:val="16"/>
                <w:color w:val="auto"/>
              </w:rPr>
              <w:t xml:space="preserve">Acquired assets pending final allocation </w:t>
            </w:r>
            <w:r>
              <w:rPr>
                <w:rFonts w:ascii="Arial" w:cs="Arial" w:eastAsia="Arial" w:hAnsi="Arial"/>
                <w:sz w:val="27"/>
                <w:szCs w:val="27"/>
                <w:color w:val="auto"/>
                <w:vertAlign w:val="superscript"/>
              </w:rPr>
              <w:t>(1)</w:t>
            </w:r>
          </w:p>
        </w:tc>
        <w:tc>
          <w:tcPr>
            <w:tcW w:w="68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b w:val="1"/>
                <w:bCs w:val="1"/>
                <w:color w:val="auto"/>
              </w:rPr>
              <w:t>963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963</w:t>
            </w:r>
          </w:p>
        </w:tc>
      </w:tr>
      <w:tr>
        <w:trPr>
          <w:trHeight w:val="250"/>
        </w:trPr>
        <w:tc>
          <w:tcPr>
            <w:tcW w:w="52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880,450</w:t>
            </w:r>
          </w:p>
        </w:tc>
        <w:tc>
          <w:tcPr>
            <w:tcW w:w="10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(523,498)</w:t>
            </w:r>
          </w:p>
        </w:tc>
        <w:tc>
          <w:tcPr>
            <w:tcW w:w="10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356,952</w:t>
            </w:r>
          </w:p>
        </w:tc>
      </w:tr>
      <w:tr>
        <w:trPr>
          <w:trHeight w:val="254"/>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As of January 31, 2018:</w:t>
            </w:r>
          </w:p>
        </w:tc>
        <w:tc>
          <w:tcPr>
            <w:tcW w:w="6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0"/>
        </w:trPr>
        <w:tc>
          <w:tcPr>
            <w:tcW w:w="5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Reacquired franchise rights</w:t>
            </w:r>
          </w:p>
        </w:tc>
        <w:tc>
          <w:tcPr>
            <w:tcW w:w="6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339,544</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(108,063)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231,481</w:t>
            </w:r>
          </w:p>
        </w:tc>
      </w:tr>
      <w:tr>
        <w:trPr>
          <w:trHeight w:val="260"/>
        </w:trPr>
        <w:tc>
          <w:tcPr>
            <w:tcW w:w="5380" w:type="dxa"/>
            <w:vAlign w:val="bottom"/>
            <w:gridSpan w:val="2"/>
          </w:tcPr>
          <w:p>
            <w:pPr>
              <w:ind w:left="180"/>
              <w:spacing w:after="0"/>
              <w:rPr>
                <w:sz w:val="20"/>
                <w:szCs w:val="20"/>
                <w:color w:val="auto"/>
              </w:rPr>
            </w:pPr>
            <w:r>
              <w:rPr>
                <w:rFonts w:ascii="Arial" w:cs="Arial" w:eastAsia="Arial" w:hAnsi="Arial"/>
                <w:sz w:val="16"/>
                <w:szCs w:val="16"/>
                <w:color w:val="auto"/>
              </w:rPr>
              <w:t>Customer relationships</w:t>
            </w:r>
          </w:p>
        </w:tc>
        <w:tc>
          <w:tcPr>
            <w:tcW w:w="68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251,792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(156,234)</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95,558</w:t>
            </w:r>
          </w:p>
        </w:tc>
      </w:tr>
      <w:tr>
        <w:trPr>
          <w:trHeight w:val="280"/>
        </w:trPr>
        <w:tc>
          <w:tcPr>
            <w:tcW w:w="5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Internally-developed software</w:t>
            </w:r>
          </w:p>
        </w:tc>
        <w:tc>
          <w:tcPr>
            <w:tcW w:w="6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151,095</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(123,309)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27,786</w:t>
            </w:r>
          </w:p>
        </w:tc>
      </w:tr>
      <w:tr>
        <w:trPr>
          <w:trHeight w:val="260"/>
        </w:trPr>
        <w:tc>
          <w:tcPr>
            <w:tcW w:w="5380" w:type="dxa"/>
            <w:vAlign w:val="bottom"/>
            <w:gridSpan w:val="2"/>
          </w:tcPr>
          <w:p>
            <w:pPr>
              <w:ind w:left="180"/>
              <w:spacing w:after="0"/>
              <w:rPr>
                <w:sz w:val="20"/>
                <w:szCs w:val="20"/>
                <w:color w:val="auto"/>
              </w:rPr>
            </w:pPr>
            <w:r>
              <w:rPr>
                <w:rFonts w:ascii="Arial" w:cs="Arial" w:eastAsia="Arial" w:hAnsi="Arial"/>
                <w:sz w:val="16"/>
                <w:szCs w:val="16"/>
                <w:color w:val="auto"/>
              </w:rPr>
              <w:t>Noncompete agreements</w:t>
            </w:r>
          </w:p>
        </w:tc>
        <w:tc>
          <w:tcPr>
            <w:tcW w:w="68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32,853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(29,195)</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3,658</w:t>
            </w:r>
          </w:p>
        </w:tc>
      </w:tr>
      <w:tr>
        <w:trPr>
          <w:trHeight w:val="280"/>
        </w:trPr>
        <w:tc>
          <w:tcPr>
            <w:tcW w:w="5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Franchise agreements</w:t>
            </w:r>
          </w:p>
        </w:tc>
        <w:tc>
          <w:tcPr>
            <w:tcW w:w="6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19,201</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7,467</w:t>
            </w:r>
          </w:p>
        </w:tc>
      </w:tr>
      <w:tr>
        <w:trPr>
          <w:trHeight w:val="260"/>
        </w:trPr>
        <w:tc>
          <w:tcPr>
            <w:tcW w:w="5380" w:type="dxa"/>
            <w:vAlign w:val="bottom"/>
            <w:gridSpan w:val="2"/>
          </w:tcPr>
          <w:p>
            <w:pPr>
              <w:ind w:left="180"/>
              <w:spacing w:after="0"/>
              <w:rPr>
                <w:sz w:val="20"/>
                <w:szCs w:val="20"/>
                <w:color w:val="auto"/>
              </w:rPr>
            </w:pPr>
            <w:r>
              <w:rPr>
                <w:rFonts w:ascii="Arial" w:cs="Arial" w:eastAsia="Arial" w:hAnsi="Arial"/>
                <w:sz w:val="16"/>
                <w:szCs w:val="16"/>
                <w:color w:val="auto"/>
              </w:rPr>
              <w:t>Purchased technology</w:t>
            </w:r>
          </w:p>
        </w:tc>
        <w:tc>
          <w:tcPr>
            <w:tcW w:w="68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54,700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(36,329)</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18,371</w:t>
            </w:r>
          </w:p>
        </w:tc>
      </w:tr>
      <w:tr>
        <w:trPr>
          <w:trHeight w:val="280"/>
        </w:trPr>
        <w:tc>
          <w:tcPr>
            <w:tcW w:w="5380" w:type="dxa"/>
            <w:vAlign w:val="bottom"/>
            <w:gridSpan w:val="2"/>
            <w:shd w:val="clear" w:color="auto" w:fill="CCEEFF"/>
          </w:tcPr>
          <w:p>
            <w:pPr>
              <w:ind w:left="180"/>
              <w:spacing w:after="0" w:line="280" w:lineRule="exact"/>
              <w:rPr>
                <w:sz w:val="20"/>
                <w:szCs w:val="20"/>
                <w:color w:val="auto"/>
              </w:rPr>
            </w:pPr>
            <w:r>
              <w:rPr>
                <w:rFonts w:ascii="Arial" w:cs="Arial" w:eastAsia="Arial" w:hAnsi="Arial"/>
                <w:sz w:val="16"/>
                <w:szCs w:val="16"/>
                <w:color w:val="auto"/>
              </w:rPr>
              <w:t xml:space="preserve">Acquired assets pending final allocation </w:t>
            </w:r>
            <w:r>
              <w:rPr>
                <w:rFonts w:ascii="Arial" w:cs="Arial" w:eastAsia="Arial" w:hAnsi="Arial"/>
                <w:sz w:val="27"/>
                <w:szCs w:val="27"/>
                <w:color w:val="auto"/>
                <w:vertAlign w:val="superscript"/>
              </w:rPr>
              <w:t>(1)</w:t>
            </w:r>
          </w:p>
        </w:tc>
        <w:tc>
          <w:tcPr>
            <w:tcW w:w="6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6,672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6,672</w:t>
            </w:r>
          </w:p>
        </w:tc>
      </w:tr>
      <w:tr>
        <w:trPr>
          <w:trHeight w:val="244"/>
        </w:trPr>
        <w:tc>
          <w:tcPr>
            <w:tcW w:w="52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855,857</w:t>
            </w:r>
          </w:p>
        </w:tc>
        <w:tc>
          <w:tcPr>
            <w:tcW w:w="10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(464,864)</w:t>
            </w:r>
          </w:p>
        </w:tc>
        <w:tc>
          <w:tcPr>
            <w:tcW w:w="10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390,993</w:t>
            </w:r>
          </w:p>
        </w:tc>
      </w:tr>
      <w:tr>
        <w:trPr>
          <w:trHeight w:val="270"/>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 of April 30, 2018:</w:t>
            </w:r>
          </w:p>
        </w:tc>
        <w:tc>
          <w:tcPr>
            <w:tcW w:w="6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5380" w:type="dxa"/>
            <w:vAlign w:val="bottom"/>
            <w:gridSpan w:val="2"/>
          </w:tcPr>
          <w:p>
            <w:pPr>
              <w:ind w:left="180"/>
              <w:spacing w:after="0"/>
              <w:rPr>
                <w:sz w:val="20"/>
                <w:szCs w:val="20"/>
                <w:color w:val="auto"/>
              </w:rPr>
            </w:pPr>
            <w:r>
              <w:rPr>
                <w:rFonts w:ascii="Arial" w:cs="Arial" w:eastAsia="Arial" w:hAnsi="Arial"/>
                <w:sz w:val="16"/>
                <w:szCs w:val="16"/>
                <w:color w:val="auto"/>
              </w:rPr>
              <w:t>Reacquired franchise rights</w:t>
            </w:r>
          </w:p>
        </w:tc>
        <w:tc>
          <w:tcPr>
            <w:tcW w:w="68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339,779</w:t>
            </w:r>
          </w:p>
        </w:tc>
        <w:tc>
          <w:tcPr>
            <w:tcW w:w="100" w:type="dxa"/>
            <w:vAlign w:val="bottom"/>
          </w:tcPr>
          <w:p>
            <w:pPr>
              <w:spacing w:after="0"/>
              <w:rPr>
                <w:sz w:val="22"/>
                <w:szCs w:val="22"/>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(113,856)</w:t>
            </w:r>
          </w:p>
        </w:tc>
        <w:tc>
          <w:tcPr>
            <w:tcW w:w="100" w:type="dxa"/>
            <w:vAlign w:val="bottom"/>
          </w:tcPr>
          <w:p>
            <w:pPr>
              <w:spacing w:after="0"/>
              <w:rPr>
                <w:sz w:val="22"/>
                <w:szCs w:val="22"/>
                <w:color w:val="auto"/>
              </w:rPr>
            </w:pPr>
          </w:p>
        </w:tc>
        <w:tc>
          <w:tcPr>
            <w:tcW w:w="68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225,923</w:t>
            </w:r>
          </w:p>
        </w:tc>
      </w:tr>
      <w:tr>
        <w:trPr>
          <w:trHeight w:val="280"/>
        </w:trPr>
        <w:tc>
          <w:tcPr>
            <w:tcW w:w="5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Customer relationships</w:t>
            </w:r>
          </w:p>
        </w:tc>
        <w:tc>
          <w:tcPr>
            <w:tcW w:w="6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256,137</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(164,005)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92,132</w:t>
            </w:r>
          </w:p>
        </w:tc>
      </w:tr>
      <w:tr>
        <w:trPr>
          <w:trHeight w:val="260"/>
        </w:trPr>
        <w:tc>
          <w:tcPr>
            <w:tcW w:w="5380" w:type="dxa"/>
            <w:vAlign w:val="bottom"/>
            <w:gridSpan w:val="2"/>
          </w:tcPr>
          <w:p>
            <w:pPr>
              <w:ind w:left="180"/>
              <w:spacing w:after="0"/>
              <w:rPr>
                <w:sz w:val="20"/>
                <w:szCs w:val="20"/>
                <w:color w:val="auto"/>
              </w:rPr>
            </w:pPr>
            <w:r>
              <w:rPr>
                <w:rFonts w:ascii="Arial" w:cs="Arial" w:eastAsia="Arial" w:hAnsi="Arial"/>
                <w:sz w:val="16"/>
                <w:szCs w:val="16"/>
                <w:color w:val="auto"/>
              </w:rPr>
              <w:t>Internally-developed software</w:t>
            </w:r>
          </w:p>
        </w:tc>
        <w:tc>
          <w:tcPr>
            <w:tcW w:w="68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140,255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(111,734)</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28,521</w:t>
            </w:r>
          </w:p>
        </w:tc>
      </w:tr>
      <w:tr>
        <w:trPr>
          <w:trHeight w:val="280"/>
        </w:trPr>
        <w:tc>
          <w:tcPr>
            <w:tcW w:w="5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Noncompete agreements</w:t>
            </w:r>
          </w:p>
        </w:tc>
        <w:tc>
          <w:tcPr>
            <w:tcW w:w="6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32,899</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(29,673)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3,226</w:t>
            </w:r>
          </w:p>
        </w:tc>
      </w:tr>
      <w:tr>
        <w:trPr>
          <w:trHeight w:val="260"/>
        </w:trPr>
        <w:tc>
          <w:tcPr>
            <w:tcW w:w="5380" w:type="dxa"/>
            <w:vAlign w:val="bottom"/>
            <w:gridSpan w:val="2"/>
          </w:tcPr>
          <w:p>
            <w:pPr>
              <w:ind w:left="180"/>
              <w:spacing w:after="0"/>
              <w:rPr>
                <w:sz w:val="20"/>
                <w:szCs w:val="20"/>
                <w:color w:val="auto"/>
              </w:rPr>
            </w:pPr>
            <w:r>
              <w:rPr>
                <w:rFonts w:ascii="Arial" w:cs="Arial" w:eastAsia="Arial" w:hAnsi="Arial"/>
                <w:sz w:val="16"/>
                <w:szCs w:val="16"/>
                <w:color w:val="auto"/>
              </w:rPr>
              <w:t>Franchise agreements</w:t>
            </w:r>
          </w:p>
        </w:tc>
        <w:tc>
          <w:tcPr>
            <w:tcW w:w="68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19,201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(12,054)</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7,147</w:t>
            </w:r>
          </w:p>
        </w:tc>
      </w:tr>
      <w:tr>
        <w:trPr>
          <w:trHeight w:val="280"/>
        </w:trPr>
        <w:tc>
          <w:tcPr>
            <w:tcW w:w="5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Purchased technology</w:t>
            </w:r>
          </w:p>
        </w:tc>
        <w:tc>
          <w:tcPr>
            <w:tcW w:w="6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54,700</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(37,770)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16,930</w:t>
            </w:r>
          </w:p>
        </w:tc>
      </w:tr>
      <w:tr>
        <w:trPr>
          <w:trHeight w:val="270"/>
        </w:trPr>
        <w:tc>
          <w:tcPr>
            <w:tcW w:w="5380" w:type="dxa"/>
            <w:vAlign w:val="bottom"/>
            <w:gridSpan w:val="2"/>
          </w:tcPr>
          <w:p>
            <w:pPr>
              <w:ind w:left="180"/>
              <w:spacing w:after="0" w:line="270" w:lineRule="exact"/>
              <w:rPr>
                <w:sz w:val="20"/>
                <w:szCs w:val="20"/>
                <w:color w:val="auto"/>
              </w:rPr>
            </w:pPr>
            <w:r>
              <w:rPr>
                <w:rFonts w:ascii="Arial" w:cs="Arial" w:eastAsia="Arial" w:hAnsi="Arial"/>
                <w:sz w:val="16"/>
                <w:szCs w:val="16"/>
                <w:color w:val="auto"/>
              </w:rPr>
              <w:t xml:space="preserve">Acquired assets pending final allocation </w:t>
            </w:r>
            <w:r>
              <w:rPr>
                <w:rFonts w:ascii="Arial" w:cs="Arial" w:eastAsia="Arial" w:hAnsi="Arial"/>
                <w:sz w:val="27"/>
                <w:szCs w:val="27"/>
                <w:color w:val="auto"/>
                <w:vertAlign w:val="superscript"/>
              </w:rPr>
              <w:t>(1)</w:t>
            </w:r>
          </w:p>
        </w:tc>
        <w:tc>
          <w:tcPr>
            <w:tcW w:w="68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102</w:t>
            </w:r>
          </w:p>
        </w:tc>
      </w:tr>
      <w:tr>
        <w:trPr>
          <w:trHeight w:val="244"/>
        </w:trPr>
        <w:tc>
          <w:tcPr>
            <w:tcW w:w="52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843,073</w:t>
            </w:r>
          </w:p>
        </w:tc>
        <w:tc>
          <w:tcPr>
            <w:tcW w:w="10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(469,092)</w:t>
            </w:r>
          </w:p>
        </w:tc>
        <w:tc>
          <w:tcPr>
            <w:tcW w:w="10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373,981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24"/>
          <w:szCs w:val="24"/>
          <w:color w:val="auto"/>
          <w:vertAlign w:val="superscript"/>
        </w:rPr>
      </w:pPr>
      <w:r>
        <w:rPr>
          <w:rFonts w:ascii="Arial" w:cs="Arial" w:eastAsia="Arial" w:hAnsi="Arial"/>
          <w:sz w:val="14"/>
          <w:szCs w:val="14"/>
          <w:color w:val="auto"/>
        </w:rPr>
        <w:t>Represents business acquisitions for which final purchase price allocations have not yet been determined.</w:t>
      </w:r>
    </w:p>
    <w:p>
      <w:pPr>
        <w:spacing w:after="0" w:line="9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During the nine months ended January 31, 2019 and 2018, we made payments to acquire franchisee and competitor businesses totaling $42.4 million and $39.4 million, respectively.</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increase in the gross carrying amount of intangible assets resulted primarily from the acquisition of approximately 175 offices to our company-owned and franchise network. The amounts and weighted-average lives of intangible assets acquired or added during the nine months ended January 31, 2019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6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(dollars in 000s)</w:t>
            </w:r>
          </w:p>
        </w:tc>
      </w:tr>
      <w:tr>
        <w:trPr>
          <w:trHeight w:val="264"/>
        </w:trPr>
        <w:tc>
          <w:tcPr>
            <w:tcW w:w="66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Amount</w:t>
            </w: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Weighted-Average Life (in years)</w:t>
            </w:r>
          </w:p>
        </w:tc>
      </w:tr>
      <w:tr>
        <w:trPr>
          <w:trHeight w:val="264"/>
        </w:trPr>
        <w:tc>
          <w:tcPr>
            <w:tcW w:w="6640" w:type="dxa"/>
            <w:vAlign w:val="bottom"/>
          </w:tcPr>
          <w:p>
            <w:pPr>
              <w:ind w:left="40"/>
              <w:spacing w:after="0"/>
              <w:rPr>
                <w:sz w:val="20"/>
                <w:szCs w:val="20"/>
                <w:color w:val="auto"/>
              </w:rPr>
            </w:pPr>
            <w:r>
              <w:rPr>
                <w:rFonts w:ascii="Arial" w:cs="Arial" w:eastAsia="Arial" w:hAnsi="Arial"/>
                <w:sz w:val="16"/>
                <w:szCs w:val="16"/>
                <w:color w:val="auto"/>
              </w:rPr>
              <w:t>Reacquired franchise rights</w:t>
            </w:r>
          </w:p>
        </w:tc>
        <w:tc>
          <w:tcPr>
            <w:tcW w:w="720" w:type="dxa"/>
            <w:vAlign w:val="bottom"/>
          </w:tcPr>
          <w:p>
            <w:pPr>
              <w:jc w:val="right"/>
              <w:ind w:right="54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color w:val="auto"/>
              </w:rPr>
              <w:t>10,734</w:t>
            </w:r>
          </w:p>
        </w:tc>
        <w:tc>
          <w:tcPr>
            <w:tcW w:w="2840" w:type="dxa"/>
            <w:vAlign w:val="bottom"/>
          </w:tcPr>
          <w:p>
            <w:pPr>
              <w:jc w:val="right"/>
              <w:ind w:right="1248"/>
              <w:spacing w:after="0"/>
              <w:rPr>
                <w:sz w:val="20"/>
                <w:szCs w:val="20"/>
                <w:color w:val="auto"/>
              </w:rPr>
            </w:pPr>
            <w:r>
              <w:rPr>
                <w:rFonts w:ascii="Arial" w:cs="Arial" w:eastAsia="Arial" w:hAnsi="Arial"/>
                <w:sz w:val="14"/>
                <w:szCs w:val="14"/>
                <w:b w:val="1"/>
                <w:bCs w:val="1"/>
                <w:color w:val="auto"/>
              </w:rPr>
              <w:t>5</w:t>
            </w:r>
          </w:p>
        </w:tc>
      </w:tr>
      <w:tr>
        <w:trPr>
          <w:trHeight w:val="276"/>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Customer relationships</w:t>
            </w:r>
          </w:p>
        </w:tc>
        <w:tc>
          <w:tcPr>
            <w:tcW w:w="7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17,520</w:t>
            </w:r>
          </w:p>
        </w:tc>
        <w:tc>
          <w:tcPr>
            <w:tcW w:w="2840" w:type="dxa"/>
            <w:vAlign w:val="bottom"/>
            <w:shd w:val="clear" w:color="auto" w:fill="CCEEFF"/>
          </w:tcPr>
          <w:p>
            <w:pPr>
              <w:jc w:val="right"/>
              <w:ind w:right="1248"/>
              <w:spacing w:after="0"/>
              <w:rPr>
                <w:sz w:val="20"/>
                <w:szCs w:val="20"/>
                <w:color w:val="auto"/>
              </w:rPr>
            </w:pPr>
            <w:r>
              <w:rPr>
                <w:rFonts w:ascii="Arial" w:cs="Arial" w:eastAsia="Arial" w:hAnsi="Arial"/>
                <w:sz w:val="14"/>
                <w:szCs w:val="14"/>
                <w:b w:val="1"/>
                <w:bCs w:val="1"/>
                <w:color w:val="auto"/>
              </w:rPr>
              <w:t>5</w:t>
            </w:r>
          </w:p>
        </w:tc>
      </w:tr>
      <w:tr>
        <w:trPr>
          <w:trHeight w:val="264"/>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Noncompete agreements</w:t>
            </w:r>
          </w:p>
        </w:tc>
        <w:tc>
          <w:tcPr>
            <w:tcW w:w="7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488</w:t>
            </w:r>
          </w:p>
        </w:tc>
        <w:tc>
          <w:tcPr>
            <w:tcW w:w="2840" w:type="dxa"/>
            <w:vAlign w:val="bottom"/>
            <w:tcBorders>
              <w:bottom w:val="single" w:sz="8" w:color="CCEEFF"/>
            </w:tcBorders>
          </w:tcPr>
          <w:p>
            <w:pPr>
              <w:jc w:val="right"/>
              <w:ind w:right="1248"/>
              <w:spacing w:after="0"/>
              <w:rPr>
                <w:sz w:val="20"/>
                <w:szCs w:val="20"/>
                <w:color w:val="auto"/>
              </w:rPr>
            </w:pPr>
            <w:r>
              <w:rPr>
                <w:rFonts w:ascii="Arial" w:cs="Arial" w:eastAsia="Arial" w:hAnsi="Arial"/>
                <w:sz w:val="14"/>
                <w:szCs w:val="14"/>
                <w:b w:val="1"/>
                <w:bCs w:val="1"/>
                <w:color w:val="auto"/>
              </w:rPr>
              <w:t>5</w:t>
            </w:r>
          </w:p>
        </w:tc>
      </w:tr>
      <w:tr>
        <w:trPr>
          <w:trHeight w:val="250"/>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720" w:type="dxa"/>
            <w:vAlign w:val="bottom"/>
            <w:tcBorders>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28,742</w:t>
            </w:r>
          </w:p>
        </w:tc>
        <w:tc>
          <w:tcPr>
            <w:tcW w:w="2840" w:type="dxa"/>
            <w:vAlign w:val="bottom"/>
            <w:shd w:val="clear" w:color="auto" w:fill="CCEEFF"/>
          </w:tcPr>
          <w:p>
            <w:pPr>
              <w:jc w:val="right"/>
              <w:ind w:right="1248"/>
              <w:spacing w:after="0"/>
              <w:rPr>
                <w:sz w:val="20"/>
                <w:szCs w:val="20"/>
                <w:color w:val="auto"/>
              </w:rPr>
            </w:pPr>
            <w:r>
              <w:rPr>
                <w:rFonts w:ascii="Arial" w:cs="Arial" w:eastAsia="Arial" w:hAnsi="Arial"/>
                <w:sz w:val="14"/>
                <w:szCs w:val="14"/>
                <w:b w:val="1"/>
                <w:bCs w:val="1"/>
                <w:color w:val="auto"/>
              </w:rPr>
              <w:t>5</w:t>
            </w:r>
          </w:p>
        </w:tc>
      </w:tr>
      <w:tr>
        <w:trPr>
          <w:trHeight w:val="121"/>
        </w:trPr>
        <w:tc>
          <w:tcPr>
            <w:tcW w:w="66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84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514350</wp:posOffset>
            </wp:positionV>
            <wp:extent cx="22288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ectPr>
          <w:pgSz w:w="11900" w:h="16838" w:orient="portrait"/>
          <w:cols w:equalWidth="0" w:num="1">
            <w:col w:w="11420"/>
          </w:cols>
          <w:pgMar w:left="240" w:top="24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380"/>
        <w:spacing w:after="0"/>
        <w:tabs>
          <w:tab w:leader="none" w:pos="1114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FY2019 Form 10-Q</w:t>
      </w:r>
      <w:r>
        <w:rPr>
          <w:sz w:val="20"/>
          <w:szCs w:val="20"/>
          <w:color w:val="auto"/>
        </w:rPr>
        <w:tab/>
      </w:r>
      <w:r>
        <w:rPr>
          <w:rFonts w:ascii="Arial" w:cs="Arial" w:eastAsia="Arial" w:hAnsi="Arial"/>
          <w:sz w:val="14"/>
          <w:szCs w:val="14"/>
          <w:color w:val="FFFFFF"/>
          <w:highlight w:val="black"/>
        </w:rPr>
        <w:t>11</w:t>
      </w:r>
    </w:p>
    <w:p>
      <w:pPr>
        <w:sectPr>
          <w:pgSz w:w="11900" w:h="16838" w:orient="portrait"/>
          <w:cols w:equalWidth="0" w:num="1">
            <w:col w:w="11420"/>
          </w:cols>
          <w:pgMar w:left="240" w:top="249" w:right="239" w:bottom="1440" w:gutter="0" w:footer="0" w:header="0"/>
          <w:type w:val="continuous"/>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Amortization of intangible assets for the three and nine months ended January 31, 2019 was $18.7 million and $54.5 million, respectively. Amortization for the three and nine months ended January 31, 2018 was $20.8 million and $59.5 million, respectively. Estimated amortization of intangible assets for fiscal years 2019, 2020, 2021, 2022 and 2023 is $73.2 million, $60.7 million, $44.2 million, $31.4 million and $18.2 million,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LONG-TERM DEBT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long-term debt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(in 000s)</w:t>
            </w:r>
          </w:p>
        </w:tc>
      </w:tr>
      <w:tr>
        <w:trPr>
          <w:trHeight w:val="263"/>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As of</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January 31, 2019</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January 31, 2018</w:t>
            </w: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April 30, 2018</w:t>
            </w:r>
          </w:p>
        </w:tc>
      </w:tr>
      <w:tr>
        <w:trPr>
          <w:trHeight w:val="257"/>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Senior Notes, 4.125%, due October 2020</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17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650,000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650,000</w:t>
            </w: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650,000</w:t>
            </w:r>
          </w:p>
        </w:tc>
      </w:tr>
      <w:tr>
        <w:trPr>
          <w:trHeight w:val="260"/>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Senior Notes, 5.500%, due November 2022</w:t>
            </w:r>
          </w:p>
        </w:tc>
        <w:tc>
          <w:tcPr>
            <w:tcW w:w="440" w:type="dxa"/>
            <w:vAlign w:val="bottom"/>
          </w:tcPr>
          <w:p>
            <w:pPr>
              <w:spacing w:after="0"/>
              <w:rPr>
                <w:sz w:val="22"/>
                <w:szCs w:val="22"/>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b w:val="1"/>
                <w:bCs w:val="1"/>
                <w:color w:val="auto"/>
              </w:rPr>
              <w:t>500,000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500,000</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500,000</w:t>
            </w:r>
          </w:p>
        </w:tc>
      </w:tr>
      <w:tr>
        <w:trPr>
          <w:trHeight w:val="280"/>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Senior Notes, 5.250%, due October 2025</w:t>
            </w:r>
          </w:p>
        </w:tc>
        <w:tc>
          <w:tcPr>
            <w:tcW w:w="4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350,000</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350,000</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350,000</w:t>
            </w:r>
          </w:p>
        </w:tc>
      </w:tr>
      <w:tr>
        <w:trPr>
          <w:trHeight w:val="260"/>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Committed line of credit borrowings</w:t>
            </w:r>
          </w:p>
        </w:tc>
        <w:tc>
          <w:tcPr>
            <w:tcW w:w="440" w:type="dxa"/>
            <w:vAlign w:val="bottom"/>
          </w:tcPr>
          <w:p>
            <w:pPr>
              <w:spacing w:after="0"/>
              <w:rPr>
                <w:sz w:val="22"/>
                <w:szCs w:val="22"/>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b w:val="1"/>
                <w:bCs w:val="1"/>
                <w:color w:val="auto"/>
              </w:rPr>
              <w:t>385,000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790,000</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0"/>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Capital lease obligation</w:t>
            </w:r>
          </w:p>
        </w:tc>
        <w:tc>
          <w:tcPr>
            <w:tcW w:w="44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52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5,878</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5,628</w:t>
            </w:r>
          </w:p>
        </w:tc>
      </w:tr>
      <w:tr>
        <w:trPr>
          <w:trHeight w:val="264"/>
        </w:trPr>
        <w:tc>
          <w:tcPr>
            <w:tcW w:w="44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Debt issuance costs and discounts</w:t>
            </w:r>
          </w:p>
        </w:tc>
        <w:tc>
          <w:tcPr>
            <w:tcW w:w="4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(8,011)</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(10,632)</w:t>
            </w: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(9,993)</w:t>
            </w:r>
          </w:p>
        </w:tc>
      </w:tr>
      <w:tr>
        <w:trPr>
          <w:trHeight w:val="257"/>
        </w:trPr>
        <w:tc>
          <w:tcPr>
            <w:tcW w:w="4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1,876,989</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2,285,246</w:t>
            </w: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1,495,635</w:t>
            </w:r>
          </w:p>
        </w:tc>
      </w:tr>
      <w:tr>
        <w:trPr>
          <w:trHeight w:val="264"/>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Less: Current portion</w:t>
            </w:r>
          </w:p>
        </w:tc>
        <w:tc>
          <w:tcPr>
            <w:tcW w:w="440" w:type="dxa"/>
            <w:vAlign w:val="bottom"/>
          </w:tcPr>
          <w:p>
            <w:pPr>
              <w:spacing w:after="0"/>
              <w:rPr>
                <w:sz w:val="22"/>
                <w:szCs w:val="22"/>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(1,015)</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(1,026)</w:t>
            </w:r>
          </w:p>
        </w:tc>
      </w:tr>
      <w:tr>
        <w:trPr>
          <w:trHeight w:val="250"/>
        </w:trPr>
        <w:tc>
          <w:tcPr>
            <w:tcW w:w="43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17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1,876,989</w:t>
            </w:r>
          </w:p>
        </w:tc>
        <w:tc>
          <w:tcPr>
            <w:tcW w:w="10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2,284,231</w:t>
            </w:r>
          </w:p>
        </w:tc>
        <w:tc>
          <w:tcPr>
            <w:tcW w:w="12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1,494,609</w:t>
            </w:r>
          </w:p>
        </w:tc>
      </w:tr>
      <w:tr>
        <w:trPr>
          <w:trHeight w:val="122"/>
        </w:trPr>
        <w:tc>
          <w:tcPr>
            <w:tcW w:w="43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r>
    </w:tbl>
    <w:p>
      <w:pPr>
        <w:spacing w:after="0" w:line="8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b w:val="1"/>
          <w:bCs w:val="1"/>
          <w:color w:val="auto"/>
        </w:rPr>
        <w:t xml:space="preserve">UNSECURED COMMITTED LINE OF CREDIT </w:t>
      </w:r>
      <w:r>
        <w:rPr>
          <w:rFonts w:ascii="Arial" w:cs="Arial" w:eastAsia="Arial" w:hAnsi="Arial"/>
          <w:sz w:val="18"/>
          <w:szCs w:val="18"/>
          <w:color w:val="auto"/>
        </w:rPr>
        <w:t>– On September 21, 2018, we entered into a Third Amended and Restated Credit and</w:t>
      </w:r>
      <w:r>
        <w:rPr>
          <w:rFonts w:ascii="Arial" w:cs="Arial" w:eastAsia="Arial" w:hAnsi="Arial"/>
          <w:sz w:val="18"/>
          <w:szCs w:val="18"/>
          <w:b w:val="1"/>
          <w:bCs w:val="1"/>
          <w:color w:val="auto"/>
        </w:rPr>
        <w:t xml:space="preserve"> </w:t>
      </w:r>
      <w:r>
        <w:rPr>
          <w:rFonts w:ascii="Arial" w:cs="Arial" w:eastAsia="Arial" w:hAnsi="Arial"/>
          <w:sz w:val="18"/>
          <w:szCs w:val="18"/>
          <w:color w:val="auto"/>
        </w:rPr>
        <w:t>Guarantee Agreement (2018 CLOC), which amended and restated our Second Amended and Restated Credit and Guarantee Agreement (2017 CLOC), extending the scheduled maturity date from September 22, 2022 to September 21, 2023. Other material terms remain unchanged from our 2017 CLOC. The 2018 CLOC provides for an unsecured senior revolving credit facility in the aggregate principal amount of $2.0 billion, which includes a $200.0 million sublimit for swingline loans and a $50.0 million sublimit for standby letters of credit. We may request increases in the aggregate principal amount of the revolving credit facility of up to $500.0 million, subject to obtaining commitments from lenders and meeting certain other conditions. The 2018 CLOC will mature on September 21, 2023,</w:t>
      </w:r>
    </w:p>
    <w:p>
      <w:pPr>
        <w:spacing w:after="0" w:line="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unless extended pursuant to the terms of the 2018 CLOC, at which time all outstanding amounts thereunder will be due and payable. The 2018 CLOC includes an annual facility fee, which will vary depending on our then current credit ratings.</w:t>
      </w:r>
    </w:p>
    <w:p>
      <w:pPr>
        <w:spacing w:after="0" w:line="8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The 2018 CLOC is subject to various conditions, triggers, events or occurrences that could result in earlier termination and contains customary representations, warranties, covenants and events of default, including, without limitation: (1) a covenant requiring the Company to maintain a debt-to-EBITDA ratio calculated on a consolidated basis of no greater than (a) 3.50 to 1.00 as of the last day of each fiscal quarter ending on April 30, July 31, and October 31 of each year and (b) 4.50 to 1.00 as of the last day of each fiscal quarter ending on January 31 of each year; (2) a covenant requiring us to maintain an interest coverage ratio (EBITDA-to-interest expense) calculated on a consolidated basis of not less than 2.50 to 1.00 as of the last date of any fiscal quarter; and (3) covenants restricting our ability to incur certain additional debt, incur liens, merge or consolidate with other companies, sell or dispose of assets (including equity interests), liquidate or dissolve, engage in certain transactions with affiliates or enter into certain restrictive agreements. The 2018 CLOC includes provisions for an equity cure which could potentially allow us to independently cure certain defaults. Proceeds under the 2018 CLOC may be used for working capital needs or for other general corporate purposes. We were in compliance with these requirements as of January 31, 2019.</w:t>
      </w:r>
    </w:p>
    <w:p>
      <w:pPr>
        <w:spacing w:after="0" w:line="104" w:lineRule="exact"/>
        <w:rPr>
          <w:sz w:val="20"/>
          <w:szCs w:val="20"/>
          <w:color w:val="auto"/>
        </w:rPr>
      </w:pPr>
    </w:p>
    <w:p>
      <w:pPr>
        <w:jc w:val="both"/>
        <w:ind w:right="20" w:firstLine="243"/>
        <w:spacing w:after="0" w:line="262" w:lineRule="auto"/>
        <w:rPr>
          <w:sz w:val="20"/>
          <w:szCs w:val="20"/>
          <w:color w:val="auto"/>
        </w:rPr>
      </w:pPr>
      <w:r>
        <w:rPr>
          <w:rFonts w:ascii="Arial" w:cs="Arial" w:eastAsia="Arial" w:hAnsi="Arial"/>
          <w:sz w:val="18"/>
          <w:szCs w:val="18"/>
          <w:color w:val="auto"/>
        </w:rPr>
        <w:t>We had an outstanding balance of $385.0 million under the 2018 CLOC as of January 31, 2019, and may borrow up to the full capacity of $2.0 billion.</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October 2018, we exercised a purchase option to acquire an office building previously recorded as a capital lease.</w:t>
      </w:r>
    </w:p>
    <w:p>
      <w:pPr>
        <w:spacing w:after="0" w:line="11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estimated fair value of our long-term debt as of January 31, 2019 and 2018 and April 30, 2018 totaled $1.9 billion, $2.4 billion and $1.5 billion,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23177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1775" cy="1371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400" w:hanging="290"/>
        <w:spacing w:after="0"/>
        <w:tabs>
          <w:tab w:leader="none" w:pos="400" w:val="left"/>
        </w:tabs>
        <w:numPr>
          <w:ilvl w:val="0"/>
          <w:numId w:val="13"/>
        </w:numPr>
        <w:rPr>
          <w:rFonts w:ascii="Arial" w:cs="Arial" w:eastAsia="Arial" w:hAnsi="Arial"/>
          <w:sz w:val="14"/>
          <w:szCs w:val="14"/>
          <w:color w:val="FFFFFF"/>
          <w:highlight w:val="black"/>
        </w:rPr>
      </w:pPr>
      <w:r>
        <w:rPr>
          <w:rFonts w:ascii="Arial" w:cs="Arial" w:eastAsia="Arial" w:hAnsi="Arial"/>
          <w:sz w:val="14"/>
          <w:szCs w:val="14"/>
          <w:color w:val="auto"/>
        </w:rPr>
        <w:t xml:space="preserve">Q3 FY2019 Form 10-Q | </w:t>
      </w:r>
      <w:r>
        <w:rPr>
          <w:rFonts w:ascii="Arial" w:cs="Arial" w:eastAsia="Arial" w:hAnsi="Arial"/>
          <w:sz w:val="14"/>
          <w:szCs w:val="14"/>
          <w:b w:val="1"/>
          <w:bCs w:val="1"/>
          <w:color w:val="auto"/>
        </w:rPr>
        <w:t>H&amp;R Block, Inc.</w:t>
      </w:r>
    </w:p>
    <w:p>
      <w:pPr>
        <w:sectPr>
          <w:pgSz w:w="11900" w:h="16838" w:orient="portrait"/>
          <w:cols w:equalWidth="0" w:num="1">
            <w:col w:w="11420"/>
          </w:cols>
          <w:pgMar w:left="240" w:top="249"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file a consolidated federal income tax return in the U.S. with the IRS and file tax returns in various state, local, and foreign jurisdictions. Tax returns are typically examined and either settled upon completion of the examination or through the appeals process. The Company's U.S. federal income tax return for 2016 is currently under examination. Our U.S. federal income tax return for 2015 remains open for examination. Our U.S. federal income tax returns for 2014 and all prior periods are closed. With respect to state and local jurisdictions and countries outside of the U.S., we are typically subject to examination for three to six years after the income tax returns have been filed. Although the outcome of tax audits is always uncertain, we believe that adequate amounts of tax, interest, and penalties have been provided for in the accompanying consolidated financial statements for any adjustments that might be incurred due to federal, state, local or foreign audits.</w:t>
      </w:r>
    </w:p>
    <w:p>
      <w:pPr>
        <w:spacing w:after="0" w:line="99"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On December 22, 2017, the U.S. government enacted the legislation commonly referred to as the Tax Cuts and Jobs Act (Tax Legislation), which made broad and complex changes to the U.S. tax code that impacted our financial statements, the most significant being a reduction in the U.S. federal corporate income tax rate from 35% to 21% and the imposition of a one-time transition tax on certain earnings of foreign subsidiaries. In addition, the Securities and Exchange Commission staff issued Staff Accounting Bulletin 118 (SAB 118), which provided guidance on accounting for the tax effects of the Tax Legislation. SAB 118 provided a measurement period that should not extend beyond one year from the Tax Legislation’s enactment date for companies to complete their analysis and apply the provisions of the Tax Legislation to their financial statements. As of the third quarter of fiscal 2019, we have completed our accounting for all aspects of the Tax Legislation and our financial statements reflect the final effects of the Tax Legislation in computing our deferred taxes, the one-time transition tax, the tax on global intangible low taxed income (GILTI), unrecognized tax benefits, and the indirect impacts of the Tax Legislation on state and local taxes. The adjustments during the quarter were immaterial to the provisional amounts previously recorded. We have elected to account for GILTI as a period cost at the time it is incurred.</w:t>
      </w:r>
    </w:p>
    <w:p>
      <w:pPr>
        <w:spacing w:after="0" w:line="10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Consistent with prior years, our pretax loss for the nine months ended January 31, 2019 is expected to be offset by income in the fourth quarter due to the established pattern of seasonality in our primary business operations. As such, management has determined that it is at least more-likely-than-not that realization of tax benefits recorded in our financial statements will occur within our fiscal year. The amount of tax benefit recorded for the nine months ended January 31, 2019 reflects management’s estimate of the annual effective tax rate applied to the year-to-date loss from continuing operations adjusted for the tax impact of items discrete to the quarter.</w:t>
      </w:r>
    </w:p>
    <w:p>
      <w:pPr>
        <w:spacing w:after="0" w:line="97"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effective tax rate from continuing operations, including the effects of discrete income tax items, was 25.4% and 7.7% for the nine months ended January 31, 2019 and 2018, respectively. Rate reconciliations between the statutory U.S. federal corporate income rates and the effective tax rates for continuing operations are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294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Nine months ended January 31,</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2018</w:t>
            </w:r>
          </w:p>
        </w:tc>
      </w:tr>
      <w:tr>
        <w:trPr>
          <w:trHeight w:val="257"/>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U.S. statutory tax rate</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21.0 %</w:t>
            </w: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60"/>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Change in tax rate resulting from:</w:t>
            </w: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80"/>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State income taxes, net of federal income tax benefit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2.1 %</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r>
      <w:tr>
        <w:trPr>
          <w:trHeight w:val="260"/>
        </w:trPr>
        <w:tc>
          <w:tcPr>
            <w:tcW w:w="8360" w:type="dxa"/>
            <w:vAlign w:val="bottom"/>
            <w:gridSpan w:val="2"/>
          </w:tcPr>
          <w:p>
            <w:pPr>
              <w:ind w:left="180"/>
              <w:spacing w:after="0"/>
              <w:rPr>
                <w:sz w:val="20"/>
                <w:szCs w:val="20"/>
                <w:color w:val="auto"/>
              </w:rPr>
            </w:pPr>
            <w:r>
              <w:rPr>
                <w:rFonts w:ascii="Arial" w:cs="Arial" w:eastAsia="Arial" w:hAnsi="Arial"/>
                <w:sz w:val="16"/>
                <w:szCs w:val="16"/>
                <w:color w:val="auto"/>
              </w:rPr>
              <w:t>Earnings taxed in foreign jurisdictions</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(3.2)%</w:t>
            </w: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80"/>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Permanent differences</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0.3 %</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0.3 %</w:t>
            </w:r>
          </w:p>
        </w:tc>
      </w:tr>
      <w:tr>
        <w:trPr>
          <w:trHeight w:val="260"/>
        </w:trPr>
        <w:tc>
          <w:tcPr>
            <w:tcW w:w="8360" w:type="dxa"/>
            <w:vAlign w:val="bottom"/>
            <w:gridSpan w:val="2"/>
          </w:tcPr>
          <w:p>
            <w:pPr>
              <w:ind w:left="180"/>
              <w:spacing w:after="0"/>
              <w:rPr>
                <w:sz w:val="20"/>
                <w:szCs w:val="20"/>
                <w:color w:val="auto"/>
              </w:rPr>
            </w:pPr>
            <w:r>
              <w:rPr>
                <w:rFonts w:ascii="Arial" w:cs="Arial" w:eastAsia="Arial" w:hAnsi="Arial"/>
                <w:sz w:val="16"/>
                <w:szCs w:val="16"/>
                <w:color w:val="auto"/>
              </w:rPr>
              <w:t>Uncertain tax positions</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4.3 %</w:t>
            </w: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6.0 %</w:t>
            </w:r>
          </w:p>
        </w:tc>
      </w:tr>
      <w:tr>
        <w:trPr>
          <w:trHeight w:val="280"/>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Remeasurement of deferred tax assets and liabilities</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(0.1)%</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r>
      <w:tr>
        <w:trPr>
          <w:trHeight w:val="260"/>
        </w:trPr>
        <w:tc>
          <w:tcPr>
            <w:tcW w:w="8360" w:type="dxa"/>
            <w:vAlign w:val="bottom"/>
            <w:gridSpan w:val="2"/>
          </w:tcPr>
          <w:p>
            <w:pPr>
              <w:ind w:left="180"/>
              <w:spacing w:after="0"/>
              <w:rPr>
                <w:sz w:val="20"/>
                <w:szCs w:val="20"/>
                <w:color w:val="auto"/>
              </w:rPr>
            </w:pPr>
            <w:r>
              <w:rPr>
                <w:rFonts w:ascii="Arial" w:cs="Arial" w:eastAsia="Arial" w:hAnsi="Arial"/>
                <w:sz w:val="16"/>
                <w:szCs w:val="16"/>
                <w:color w:val="auto"/>
              </w:rPr>
              <w:t>Tax benefit due to effective date of statutory rate change</w:t>
            </w:r>
          </w:p>
        </w:tc>
        <w:tc>
          <w:tcPr>
            <w:tcW w:w="15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(16.4)%</w:t>
            </w:r>
          </w:p>
        </w:tc>
      </w:tr>
      <w:tr>
        <w:trPr>
          <w:trHeight w:val="280"/>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One-time transition tax</w:t>
            </w: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b w:val="1"/>
                <w:bCs w:val="1"/>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64"/>
        </w:trPr>
        <w:tc>
          <w:tcPr>
            <w:tcW w:w="836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Other</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1.0 %</w:t>
            </w: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25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Effective tax rate</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25.4 %</w:t>
            </w:r>
          </w:p>
        </w:tc>
        <w:tc>
          <w:tcPr>
            <w:tcW w:w="120" w:type="dxa"/>
            <w:vAlign w:val="bottom"/>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7.7 %</w:t>
            </w:r>
          </w:p>
        </w:tc>
      </w:tr>
      <w:tr>
        <w:trPr>
          <w:trHeight w:val="122"/>
        </w:trPr>
        <w:tc>
          <w:tcPr>
            <w:tcW w:w="8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r>
    </w:tbl>
    <w:p>
      <w:pPr>
        <w:spacing w:after="0" w:line="107"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increase in the effective tax rate compared to the prior year is due to the impact of lowering the U.S. federal corporate income tax rate from 35% to 21%, effective January 1, 2018, had in fiscal year 2018. The impact of the rate decrease was exaggerated in fiscal year 2018 due to the seasonality of our business and our differing year ends for corporate income tax filing and financial reporting purposes, which is included as “tax benefit due to effective date of statutory rate change” in the table above. Our tax returns for the U.S. are filed on a calendar year-end basis. Therefore, pretax losses for the eight months ended December 31, 2017 resulted in income tax benefits based on the statutory rate of 35%, while the pretax income we generated in the four months ending April 30, 2018 was taxed at the statutory rate of 21%.</w:t>
      </w:r>
    </w:p>
    <w:p>
      <w:pPr>
        <w:spacing w:after="0" w:line="101"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had gross unrecognized tax benefits of $178.1 million, $163.1 million and $186.1 million as of January 31, 2019 and 2018 and April 30, 2018, respectively. The gross unrecognized tax benefits decreased $8.0 million and increased $13.1 million during the nine months ended January 31, 2019 and 2018, respectively. We believe it is reasonably possible that the balance of unrecognized tax benefits could decrease by approximately $46.7 million within the next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301625</wp:posOffset>
            </wp:positionV>
            <wp:extent cx="22288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ectPr>
          <w:pgSz w:w="11900" w:h="16838" w:orient="portrait"/>
          <w:cols w:equalWidth="0" w:num="1">
            <w:col w:w="11420"/>
          </w:cols>
          <w:pgMar w:left="240" w:top="249" w:right="23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8380"/>
        <w:spacing w:after="0"/>
        <w:tabs>
          <w:tab w:leader="none" w:pos="1114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FY2019 Form 10-Q</w:t>
      </w:r>
      <w:r>
        <w:rPr>
          <w:sz w:val="20"/>
          <w:szCs w:val="20"/>
          <w:color w:val="auto"/>
        </w:rPr>
        <w:tab/>
      </w:r>
      <w:r>
        <w:rPr>
          <w:rFonts w:ascii="Arial" w:cs="Arial" w:eastAsia="Arial" w:hAnsi="Arial"/>
          <w:sz w:val="14"/>
          <w:szCs w:val="14"/>
          <w:color w:val="FFFFFF"/>
          <w:highlight w:val="black"/>
        </w:rPr>
        <w:t>13</w:t>
      </w:r>
    </w:p>
    <w:p>
      <w:pPr>
        <w:sectPr>
          <w:pgSz w:w="11900" w:h="16838" w:orient="portrait"/>
          <w:cols w:equalWidth="0" w:num="1">
            <w:col w:w="11420"/>
          </w:cols>
          <w:pgMar w:left="240" w:top="249" w:right="239" w:bottom="1440" w:gutter="0" w:footer="0" w:header="0"/>
          <w:type w:val="continuous"/>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anticipated decrease is due to the expiration of statutes of limitations, anticipated closure of various tax matters currently under examination, and settlements with tax authorities. For such matters where a change in the balance of unrecognized tax benefits is not yet deemed reasonably possible, no estimate has been included.</w:t>
      </w:r>
    </w:p>
    <w:p>
      <w:pPr>
        <w:spacing w:after="0" w:line="94"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increase in noncurrent deferred tax assets and income taxes receivable of $107.3 million from April 30, 2018 is primarily due to the adoption of ASU 2016-16. See note 1 for additional information.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OTHER INCOME AND OTHER EXPENSES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 net: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(in 000s)</w:t>
            </w:r>
          </w:p>
        </w:tc>
      </w:tr>
      <w:tr>
        <w:trPr>
          <w:trHeight w:val="263"/>
        </w:trPr>
        <w:tc>
          <w:tcPr>
            <w:tcW w:w="4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Three months ended January 31,</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314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6"/>
                <w:szCs w:val="16"/>
                <w:color w:val="auto"/>
              </w:rPr>
              <w:t>Nine months ended January 31,</w:t>
            </w:r>
          </w:p>
        </w:tc>
      </w:tr>
      <w:tr>
        <w:trPr>
          <w:trHeight w:val="264"/>
        </w:trPr>
        <w:tc>
          <w:tcPr>
            <w:tcW w:w="4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2018</w:t>
            </w:r>
          </w:p>
        </w:tc>
      </w:tr>
      <w:tr>
        <w:trPr>
          <w:trHeight w:val="257"/>
        </w:trPr>
        <w:tc>
          <w:tcPr>
            <w:tcW w:w="460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Interest income</w:t>
            </w:r>
          </w:p>
        </w:tc>
        <w:tc>
          <w:tcPr>
            <w:tcW w:w="14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2,258</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11,260</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3,454</w:t>
            </w:r>
          </w:p>
        </w:tc>
      </w:tr>
      <w:tr>
        <w:trPr>
          <w:trHeight w:val="260"/>
        </w:trPr>
        <w:tc>
          <w:tcPr>
            <w:tcW w:w="4600" w:type="dxa"/>
            <w:vAlign w:val="bottom"/>
            <w:gridSpan w:val="3"/>
          </w:tcPr>
          <w:p>
            <w:pPr>
              <w:ind w:left="180"/>
              <w:spacing w:after="0"/>
              <w:rPr>
                <w:sz w:val="20"/>
                <w:szCs w:val="20"/>
                <w:color w:val="auto"/>
              </w:rPr>
            </w:pPr>
            <w:r>
              <w:rPr>
                <w:rFonts w:ascii="Arial" w:cs="Arial" w:eastAsia="Arial" w:hAnsi="Arial"/>
                <w:sz w:val="16"/>
                <w:szCs w:val="16"/>
                <w:color w:val="auto"/>
              </w:rPr>
              <w:t>Foreign currency gains (losses), net</w:t>
            </w:r>
          </w:p>
        </w:tc>
        <w:tc>
          <w:tcPr>
            <w:tcW w:w="1400" w:type="dxa"/>
            <w:vAlign w:val="bottom"/>
          </w:tcPr>
          <w:p>
            <w:pPr>
              <w:jc w:val="right"/>
              <w:ind w:right="59"/>
              <w:spacing w:after="0"/>
              <w:rPr>
                <w:sz w:val="20"/>
                <w:szCs w:val="20"/>
                <w:color w:val="auto"/>
              </w:rPr>
            </w:pPr>
            <w:r>
              <w:rPr>
                <w:rFonts w:ascii="Arial" w:cs="Arial" w:eastAsia="Arial" w:hAnsi="Arial"/>
                <w:sz w:val="16"/>
                <w:szCs w:val="16"/>
                <w:b w:val="1"/>
                <w:bCs w:val="1"/>
                <w:color w:val="auto"/>
              </w:rPr>
              <w:t>33</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(94)</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35</w:t>
            </w:r>
          </w:p>
        </w:tc>
      </w:tr>
      <w:tr>
        <w:trPr>
          <w:trHeight w:val="273"/>
        </w:trPr>
        <w:tc>
          <w:tcPr>
            <w:tcW w:w="42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36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w:t>
            </w:r>
          </w:p>
        </w:tc>
        <w:tc>
          <w:tcPr>
            <w:tcW w:w="100" w:type="dxa"/>
            <w:vAlign w:val="bottom"/>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109</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r>
      <w:tr>
        <w:trPr>
          <w:trHeight w:val="250"/>
        </w:trPr>
        <w:tc>
          <w:tcPr>
            <w:tcW w:w="460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0" w:type="dxa"/>
            <w:vAlign w:val="bottom"/>
          </w:tcPr>
          <w:p>
            <w:pPr>
              <w:jc w:val="right"/>
              <w:ind w:right="59"/>
              <w:spacing w:after="0"/>
              <w:rPr>
                <w:sz w:val="20"/>
                <w:szCs w:val="20"/>
                <w:color w:val="auto"/>
              </w:rPr>
            </w:pPr>
            <w:r>
              <w:rPr>
                <w:rFonts w:ascii="Arial" w:cs="Arial" w:eastAsia="Arial" w:hAnsi="Arial"/>
                <w:sz w:val="16"/>
                <w:szCs w:val="16"/>
                <w:b w:val="1"/>
                <w:bCs w:val="1"/>
                <w:color w:val="auto"/>
              </w:rPr>
              <w:t>2,269</w:t>
            </w:r>
          </w:p>
        </w:tc>
        <w:tc>
          <w:tcPr>
            <w:tcW w:w="100" w:type="dxa"/>
            <w:vAlign w:val="bottom"/>
          </w:tcPr>
          <w:p>
            <w:pPr>
              <w:spacing w:after="0"/>
              <w:rPr>
                <w:sz w:val="21"/>
                <w:szCs w:val="21"/>
                <w:color w:val="auto"/>
              </w:rPr>
            </w:pPr>
          </w:p>
        </w:tc>
        <w:tc>
          <w:tcPr>
            <w:tcW w:w="1160" w:type="dxa"/>
            <w:vAlign w:val="bottom"/>
          </w:tcPr>
          <w:p>
            <w:pPr>
              <w:jc w:val="right"/>
              <w:ind w:right="95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1,028</w:t>
            </w:r>
          </w:p>
        </w:tc>
        <w:tc>
          <w:tcPr>
            <w:tcW w:w="100" w:type="dxa"/>
            <w:vAlign w:val="bottom"/>
          </w:tcPr>
          <w:p>
            <w:pPr>
              <w:spacing w:after="0"/>
              <w:rPr>
                <w:sz w:val="21"/>
                <w:szCs w:val="21"/>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b w:val="1"/>
                <w:bCs w:val="1"/>
                <w:color w:val="auto"/>
              </w:rPr>
              <w:t>11,275</w:t>
            </w:r>
          </w:p>
        </w:tc>
        <w:tc>
          <w:tcPr>
            <w:tcW w:w="100" w:type="dxa"/>
            <w:vAlign w:val="bottom"/>
          </w:tcPr>
          <w:p>
            <w:pPr>
              <w:spacing w:after="0"/>
              <w:rPr>
                <w:sz w:val="21"/>
                <w:szCs w:val="21"/>
                <w:color w:val="auto"/>
              </w:rPr>
            </w:pP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3,259</w:t>
            </w:r>
          </w:p>
        </w:tc>
      </w:tr>
      <w:tr>
        <w:trPr>
          <w:trHeight w:val="122"/>
        </w:trPr>
        <w:tc>
          <w:tcPr>
            <w:tcW w:w="4120" w:type="dxa"/>
            <w:vAlign w:val="bottom"/>
            <w:tcBorders>
              <w:top w:val="single" w:sz="8" w:color="CCEEFF"/>
              <w:bottom w:val="single" w:sz="8" w:color="auto"/>
            </w:tcBorders>
            <w:shd w:val="clear" w:color="auto" w:fill="CCEEFF"/>
          </w:tcPr>
          <w:p>
            <w:pPr>
              <w:spacing w:after="0"/>
              <w:rPr>
                <w:sz w:val="10"/>
                <w:szCs w:val="10"/>
                <w:color w:val="auto"/>
              </w:rPr>
            </w:pPr>
          </w:p>
        </w:tc>
        <w:tc>
          <w:tcPr>
            <w:tcW w:w="120" w:type="dxa"/>
            <w:vAlign w:val="bottom"/>
            <w:tcBorders>
              <w:top w:val="single" w:sz="8" w:color="CCEEFF"/>
              <w:bottom w:val="single" w:sz="8" w:color="auto"/>
            </w:tcBorders>
            <w:shd w:val="clear" w:color="auto" w:fill="CCEEFF"/>
          </w:tcPr>
          <w:p>
            <w:pPr>
              <w:spacing w:after="0"/>
              <w:rPr>
                <w:sz w:val="10"/>
                <w:szCs w:val="10"/>
                <w:color w:val="auto"/>
              </w:rPr>
            </w:pPr>
          </w:p>
        </w:tc>
        <w:tc>
          <w:tcPr>
            <w:tcW w:w="360" w:type="dxa"/>
            <w:vAlign w:val="bottom"/>
            <w:tcBorders>
              <w:top w:val="single" w:sz="8" w:color="auto"/>
              <w:bottom w:val="single" w:sz="8" w:color="auto"/>
            </w:tcBorders>
            <w:shd w:val="clear" w:color="auto" w:fill="CCEEFF"/>
          </w:tcPr>
          <w:p>
            <w:pPr>
              <w:spacing w:after="0"/>
              <w:rPr>
                <w:sz w:val="10"/>
                <w:szCs w:val="10"/>
                <w:color w:val="auto"/>
              </w:rPr>
            </w:pPr>
          </w:p>
        </w:tc>
        <w:tc>
          <w:tcPr>
            <w:tcW w:w="140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bottom w:val="single" w:sz="8" w:color="auto"/>
            </w:tcBorders>
            <w:shd w:val="clear" w:color="auto" w:fill="CCEEFF"/>
          </w:tcPr>
          <w:p>
            <w:pPr>
              <w:spacing w:after="0"/>
              <w:rPr>
                <w:sz w:val="10"/>
                <w:szCs w:val="10"/>
                <w:color w:val="auto"/>
              </w:rPr>
            </w:pPr>
          </w:p>
        </w:tc>
        <w:tc>
          <w:tcPr>
            <w:tcW w:w="1160" w:type="dxa"/>
            <w:vAlign w:val="bottom"/>
            <w:tcBorders>
              <w:top w:val="single" w:sz="8" w:color="auto"/>
              <w:bottom w:val="single" w:sz="8" w:color="auto"/>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bottom w:val="single" w:sz="8" w:color="auto"/>
            </w:tcBorders>
            <w:shd w:val="clear" w:color="auto" w:fill="CCEEFF"/>
          </w:tcPr>
          <w:p>
            <w:pPr>
              <w:spacing w:after="0"/>
              <w:rPr>
                <w:sz w:val="10"/>
                <w:szCs w:val="10"/>
                <w:color w:val="auto"/>
              </w:rPr>
            </w:pPr>
          </w:p>
        </w:tc>
        <w:tc>
          <w:tcPr>
            <w:tcW w:w="380" w:type="dxa"/>
            <w:vAlign w:val="bottom"/>
            <w:tcBorders>
              <w:top w:val="single" w:sz="8" w:color="auto"/>
              <w:bottom w:val="single" w:sz="8" w:color="auto"/>
            </w:tcBorders>
            <w:shd w:val="clear" w:color="auto" w:fill="CCEEFF"/>
          </w:tcPr>
          <w:p>
            <w:pPr>
              <w:spacing w:after="0"/>
              <w:rPr>
                <w:sz w:val="10"/>
                <w:szCs w:val="10"/>
                <w:color w:val="auto"/>
              </w:rPr>
            </w:pPr>
          </w:p>
        </w:tc>
        <w:tc>
          <w:tcPr>
            <w:tcW w:w="134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bottom w:val="single" w:sz="8" w:color="auto"/>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spacing w:after="0"/>
              <w:rPr>
                <w:sz w:val="10"/>
                <w:szCs w:val="10"/>
                <w:color w:val="auto"/>
              </w:rPr>
            </w:pPr>
          </w:p>
        </w:tc>
        <w:tc>
          <w:tcPr>
            <w:tcW w:w="1120" w:type="dxa"/>
            <w:vAlign w:val="bottom"/>
            <w:tcBorders>
              <w:top w:val="single" w:sz="8" w:color="auto"/>
              <w:bottom w:val="single" w:sz="8" w:color="auto"/>
            </w:tcBorders>
            <w:shd w:val="clear" w:color="auto" w:fill="CCEEFF"/>
          </w:tcPr>
          <w:p>
            <w:pPr>
              <w:spacing w:after="0"/>
              <w:rPr>
                <w:sz w:val="10"/>
                <w:szCs w:val="10"/>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Assisted tax returns are covered by our 100% accuracy guarantee, whereby we will reimburse a client for penalties and interest attributable to an H&amp;R Block error on a return. DIY tax returns are covered by our 100% accuracy guarantee, whereby we will reimburse a client up to a maximum of $ 10,000 if our software makes an arithmetic error that results in payment of penalties and/or interest to the IRS that a client would otherwise not have been required to pay. Our liability related to estimated losses under the 100% accuracy guarantee was $7.0 million, $3.3 million and $ 9.4 million as of January 31, 2019 and 2018 and April 30, 2018, respectively. The short-term and long-term portions of this liability are included in deferred revenue and other liabilities in the consolidated balance sheets.</w:t>
      </w:r>
    </w:p>
    <w:p>
      <w:pPr>
        <w:spacing w:after="0" w:line="10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Our liability related to acquisitions for estimated contingent consideration was $11.3 million, $11.9 million and $12.1 million as of January 31, 2019 and 2018 and April 30, 2018, respectively, with amounts recorded in deferred revenue and other liabilities. Estimates of contingent payments are typically based on expected financial performance of the acquired business and economic conditions at the time of acquisition. Should actual results differ from our assumptions, future payments made will differ from the above estimate and any differences will be recorded in results from continuing operations.</w:t>
      </w:r>
    </w:p>
    <w:p>
      <w:pPr>
        <w:spacing w:after="0" w:line="97" w:lineRule="exact"/>
        <w:rPr>
          <w:sz w:val="20"/>
          <w:szCs w:val="20"/>
          <w:color w:val="auto"/>
        </w:rPr>
      </w:pPr>
    </w:p>
    <w:p>
      <w:pPr>
        <w:jc w:val="both"/>
        <w:ind w:right="20" w:firstLine="216"/>
        <w:spacing w:after="0" w:line="256" w:lineRule="auto"/>
        <w:rPr>
          <w:sz w:val="20"/>
          <w:szCs w:val="20"/>
          <w:color w:val="auto"/>
        </w:rPr>
      </w:pPr>
      <w:r>
        <w:rPr>
          <w:rFonts w:ascii="Arial" w:cs="Arial" w:eastAsia="Arial" w:hAnsi="Arial"/>
          <w:sz w:val="18"/>
          <w:szCs w:val="18"/>
          <w:color w:val="auto"/>
        </w:rPr>
        <w:t>We have contractual commitments to fund certain franchises with approved revolving lines of credit. Our total obligation under these lines of credit was $30.8 million at January 31, 2019, and net of amounts drawn and outstanding, our remaining commitment to fund totaled $9.3 million.</w:t>
      </w:r>
    </w:p>
    <w:p>
      <w:pPr>
        <w:spacing w:after="0" w:line="9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Emerald Advance</w:t>
      </w:r>
      <w:r>
        <w:rPr>
          <w:rFonts w:ascii="Arial" w:cs="Arial" w:eastAsia="Arial" w:hAnsi="Arial"/>
          <w:sz w:val="15"/>
          <w:szCs w:val="15"/>
          <w:color w:val="auto"/>
        </w:rPr>
        <w:t>TM</w:t>
      </w:r>
      <w:r>
        <w:rPr>
          <w:rFonts w:ascii="Arial" w:cs="Arial" w:eastAsia="Arial" w:hAnsi="Arial"/>
          <w:sz w:val="18"/>
          <w:szCs w:val="18"/>
          <w:color w:val="auto"/>
        </w:rPr>
        <w:t xml:space="preserve"> lines of credit (EAs) are originated by Axos. We purchase a 90% participation interest, at par, in all EAs originated by Axos in accordance with our participation agreement. At January 31, 2019, the principal balance of purchased participation interests for the current year totaled $360.6 million.</w:t>
      </w:r>
    </w:p>
    <w:p>
      <w:pPr>
        <w:spacing w:after="0" w:line="94"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On July 26, 2018, we entered into a Refund Advance Program Agreement and certain ancillary agreements with Axos, pursuant to which they originate and fund Refund Advance loans, and provide technology, software, and underwriting support services related to such loans during the 2019 tax season. Refund Advance loans are offered to certain assisted U.S. tax preparation clients, based on client eligibility as determined by the loan originator. We pay loan origination fees based on volume and customer type. The loan origination fees are intended to cover expected loan losses and payments to capital providers, among other items. We have provided two limited guarantees related to this agreement. We have provided a limited guarantee up to $ 7.5 million related to loans to clients prior to the IRS accepting electronic filing. At January 31, 2019 we accrued an estimated liability of $ 1.4 million related to this guarantee, compared to $ 1.6 million at January 31, 2018. We paid $ 1.5 million related to this guarantee for the fiscal year 2018 tax season. Additionally, we provided a limited guarantee for the remaining loans, up to $57 million in the aggregate, which would cover certain incremental loan losses. We were not required to make a payment in connection with this guarantee for the fiscal year 2018 tax season, and we do not expect that a material amount will be paid for this guarantee under anticipated loss scenarios related to the fiscal year 2019 tax season.</w:t>
      </w:r>
    </w:p>
    <w:p>
      <w:pPr>
        <w:spacing w:after="0" w:line="82"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b w:val="1"/>
          <w:bCs w:val="1"/>
          <w:color w:val="auto"/>
        </w:rPr>
        <w:t xml:space="preserve">LOSS CONTINGENCIES PERTAINING TO DISCONTINUED MORTGAGE OPERATIONS </w:t>
      </w:r>
      <w:r>
        <w:rPr>
          <w:rFonts w:ascii="Arial" w:cs="Arial" w:eastAsia="Arial" w:hAnsi="Arial"/>
          <w:sz w:val="18"/>
          <w:szCs w:val="18"/>
          <w:color w:val="auto"/>
        </w:rPr>
        <w:t>– SCC ceased originating mortgage loans in</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2007 and, in April 2008, sold its servicing assets and discontinued its remaining operations. Mortgage loans originated by SCC were sold either as whole loans to single third-party buyers, who generally securitized such loans, or in the form of residential mortgage-backed securities (RMBSs). In connection with the sale of loans and/or RMBSs, SCC made certain representations and warranties. Claims under these representations and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23177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1775" cy="137160"/>
                    </a:xfrm>
                    <a:prstGeom prst="rect">
                      <a:avLst/>
                    </a:prstGeom>
                    <a:noFill/>
                  </pic:spPr>
                </pic:pic>
              </a:graphicData>
            </a:graphic>
          </wp:anchor>
        </w:drawing>
      </w:r>
    </w:p>
    <w:p>
      <w:pPr>
        <w:sectPr>
          <w:pgSz w:w="11900" w:h="16838" w:orient="portrait"/>
          <w:cols w:equalWidth="0" w:num="1">
            <w:col w:w="11420"/>
          </w:cols>
          <w:pgMar w:left="240" w:top="249" w:right="2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400" w:hanging="290"/>
        <w:spacing w:after="0"/>
        <w:tabs>
          <w:tab w:leader="none" w:pos="400" w:val="left"/>
        </w:tabs>
        <w:numPr>
          <w:ilvl w:val="0"/>
          <w:numId w:val="14"/>
        </w:numPr>
        <w:rPr>
          <w:rFonts w:ascii="Arial" w:cs="Arial" w:eastAsia="Arial" w:hAnsi="Arial"/>
          <w:sz w:val="14"/>
          <w:szCs w:val="14"/>
          <w:color w:val="FFFFFF"/>
          <w:highlight w:val="black"/>
        </w:rPr>
      </w:pPr>
      <w:r>
        <w:rPr>
          <w:rFonts w:ascii="Arial" w:cs="Arial" w:eastAsia="Arial" w:hAnsi="Arial"/>
          <w:sz w:val="14"/>
          <w:szCs w:val="14"/>
          <w:color w:val="auto"/>
        </w:rPr>
        <w:t xml:space="preserve">Q3 FY2019 Form 10-Q | </w:t>
      </w:r>
      <w:r>
        <w:rPr>
          <w:rFonts w:ascii="Arial" w:cs="Arial" w:eastAsia="Arial" w:hAnsi="Arial"/>
          <w:sz w:val="14"/>
          <w:szCs w:val="14"/>
          <w:b w:val="1"/>
          <w:bCs w:val="1"/>
          <w:color w:val="auto"/>
        </w:rPr>
        <w:t>H&amp;R Block, Inc.</w:t>
      </w:r>
    </w:p>
    <w:p>
      <w:pPr>
        <w:sectPr>
          <w:pgSz w:w="11900" w:h="16838" w:orient="portrait"/>
          <w:cols w:equalWidth="0" w:num="1">
            <w:col w:w="11420"/>
          </w:cols>
          <w:pgMar w:left="240" w:top="249" w:right="239" w:bottom="1440" w:gutter="0" w:footer="0" w:header="0"/>
          <w:type w:val="continuous"/>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together with any settlement arrangements related to these losses are collectively referred to as "representation and warranty claims."</w:t>
      </w:r>
    </w:p>
    <w:p>
      <w:pPr>
        <w:spacing w:after="0" w:line="117"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SCC accrues a liability for losses related to representation and warranty claims when those losses are believed to be both probable and reasonably estimable. SCC’s loss estimate is based on the best information currently available, management judgment, developments in relevant case law, and the terms of bulk settlements. In periods when a liability is accrued for such loss contingencies, the liability is included in deferred revenue and other current liabilities on the consolidated balance sheets. SCC had no liability accrued for these losses as of January 31, 2019 and 2018 or April 30, 2018.</w:t>
      </w:r>
    </w:p>
    <w:p>
      <w:pPr>
        <w:spacing w:after="0" w:line="97" w:lineRule="exact"/>
        <w:rPr>
          <w:sz w:val="20"/>
          <w:szCs w:val="20"/>
          <w:color w:val="auto"/>
        </w:rPr>
      </w:pPr>
    </w:p>
    <w:p>
      <w:pPr>
        <w:jc w:val="both"/>
        <w:ind w:firstLine="230"/>
        <w:spacing w:after="0" w:line="262" w:lineRule="auto"/>
        <w:rPr>
          <w:sz w:val="20"/>
          <w:szCs w:val="20"/>
          <w:color w:val="auto"/>
        </w:rPr>
      </w:pPr>
      <w:r>
        <w:rPr>
          <w:rFonts w:ascii="Arial" w:cs="Arial" w:eastAsia="Arial" w:hAnsi="Arial"/>
          <w:sz w:val="18"/>
          <w:szCs w:val="18"/>
          <w:color w:val="auto"/>
        </w:rPr>
        <w:t>See note 10, which addresses contingent losses that may be incurred with respect to various indemnification or contribution claims by underwriters, depositors, and securitization trustees in securitization transactions in which SCC participated.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LITIGATION AND OTHER RELATED CONTINGENCIES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 defendant in numerous litigation matters, arising both in the ordinary course of business and otherwise, including as described below. The matters described below are not all of the lawsuits to which we are subject. In some of the matters, very large or indeterminate amounts, including punitive damages, are sought. U.S. jurisdictions permit considerable variation in the assertion of monetary damages or other relief. Jurisdictions may permit claimants not to specify the monetary damages sought or may permit claimants to state only that the amount sought is sufficient to invoke the jurisdiction of the court. In addition, jurisdictions may permit plaintiffs to allege monetary damages in amounts well exceeding reasonably possible verdicts in the jurisdiction for similar matters. We believe that the monetary relief which may be specified in a lawsuit or a claim bears little relevance to its merits or disposition value due to this variability in pleadings and our experience in litigating or resolving through settlement of numerous claims over an extended period of time.</w:t>
      </w:r>
    </w:p>
    <w:p>
      <w:pPr>
        <w:spacing w:after="0" w:line="9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outcome of a litigation matter and the amount or range of potential loss at particular points in time may be difficult to ascertain. Among other things, uncertainties can include how fact finders will evaluate documentary evidence and the credibility and effectiveness of witness testimony, and how trial and appellate courts will apply the law. Disposition valuations are also subject to the uncertainty of how opposing parties and their counsel will themselves view the relevant evidence and applicable law.</w:t>
      </w:r>
    </w:p>
    <w:p>
      <w:pPr>
        <w:spacing w:after="0" w:line="96"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In addition to litigation matters, we are also subject to claims and other loss contingencies arising out of our business activities, including as described below.</w:t>
      </w:r>
    </w:p>
    <w:p>
      <w:pPr>
        <w:spacing w:after="0" w:line="8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accrue liabilities for litigation, claims, including indemnification and contribution claims, and other related loss contingencies and any related settlements (each referred to, individually, as a "matter" and, collectively, as "matters") when it is probable that a loss has been incurred and the amount of the loss can be reasonably estimated. If a range of loss is estimated, and some amount within that range appears to be a better estimate than any other amount within that range, then that amount is accrued. If no amount within the range can be identified as a better estimate than any other amount, we accrue the minimum amount in the range.</w:t>
      </w:r>
    </w:p>
    <w:p>
      <w:pPr>
        <w:spacing w:after="0" w:line="97"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For such matters where a loss is believed to be reasonably possible, but not probable, or the loss cannot be reasonably estimated, no accrual has been made. It is possible that such matters could require us to pay damages or make other expenditures or accrue liabilities in amounts that could not be reasonably estimated as of January 31, 2019. While the potential future liabilities could be material in the particular quarterly or annual periods in which they are recorded, based on information currently known, we do not believe any such liabilities are likely to have a material adverse effect on our business and our consolidated financial position, results of operations, and cash flows. As of January 31, 2019 and 2018 and April 30, 2018, our total accrued liabilities were $3.1 million, $2.5 million and $2.7 million, respectively.</w:t>
      </w:r>
    </w:p>
    <w:p>
      <w:pPr>
        <w:spacing w:after="0" w:line="101"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Our aggregate range of reasonably possible losses includes (1) matters where a liability has been accrued and there is a reasonably possible loss in excess of the amount accrued for that liability, and (2) matters where a loss is believed to be reasonably possible, but a liability has not been accrued. This aggregate range only represents those losses as to which we are currently able to estimate a reasonably possible loss or range of loss. It does not represent our maximum loss exposure. The estimated range of reasonably possible loss is based upon currently available information and is subject to significant judgment and a variety of assumptions, as well as known and unknown uncertainties.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304800</wp:posOffset>
            </wp:positionV>
            <wp:extent cx="22288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8380"/>
        <w:spacing w:after="0"/>
        <w:tabs>
          <w:tab w:leader="none" w:pos="1114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FY2019 Form 10-Q</w:t>
      </w:r>
      <w:r>
        <w:rPr>
          <w:sz w:val="20"/>
          <w:szCs w:val="20"/>
          <w:color w:val="auto"/>
        </w:rPr>
        <w:tab/>
      </w:r>
      <w:r>
        <w:rPr>
          <w:rFonts w:ascii="Arial" w:cs="Arial" w:eastAsia="Arial" w:hAnsi="Arial"/>
          <w:sz w:val="14"/>
          <w:szCs w:val="14"/>
          <w:color w:val="FFFFFF"/>
          <w:highlight w:val="black"/>
        </w:rPr>
        <w:t>15</w:t>
      </w:r>
    </w:p>
    <w:p>
      <w:pPr>
        <w:sectPr>
          <w:pgSz w:w="11900" w:h="16838" w:orient="portrait"/>
          <w:cols w:equalWidth="0" w:num="1">
            <w:col w:w="11420"/>
          </w:cols>
          <w:pgMar w:left="240" w:top="249"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matters underlying the estimated range will change from time to time, and actual results may vary significantly from the current estimate. As of January 31, 2019, we believe the aggregate range of reasonably possible losses in excess of amounts accrued is not material.</w:t>
      </w:r>
    </w:p>
    <w:p>
      <w:pPr>
        <w:spacing w:after="0" w:line="8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For other matters, we are not currently able to estimate the reasonably possible loss or range of loss. We are often unable to estimate the possible loss or range of loss until developments in such matters have provided sufficient information to support an assessment of the reasonably possible loss or range of loss, such as precise information about the amount of damages or other remedies being asserted, the defenses to the claims being asserted, discovery from other parties and investigation of factual allegations, rulings by courts on motions or appeals, analysis by experts, or the status or terms of any settlement negotiations.</w:t>
      </w:r>
    </w:p>
    <w:p>
      <w:pPr>
        <w:spacing w:after="0" w:line="97"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On a quarterly and annual basis, we review relevant information with respect to litigation and other loss contingencies and update our accruals, disclosures, and estimates of reasonably possible loss or range of loss based on such reviews. Costs incurred with defending matters are expensed as incurred. Any receivable for insurance recoveries is recorded separately from the corresponding liability, and only if recovery is determined to be probable and reasonably estimable.</w:t>
      </w:r>
    </w:p>
    <w:p>
      <w:pPr>
        <w:spacing w:after="0" w:line="96"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believe we have meritorious defenses to the claims asserted in the various matters described in this note, and we intend to defend them vigorously, but there can be no assurances as to their outcomes. In the event of unfavorable outcomes, it could require modifications to our operations; in addition, the amounts that may be required to be paid to discharge or settle the matters could be substantial and could have a material adverse impact on our business and our consolidated financial position, results of operations, and cash flows.</w:t>
      </w:r>
    </w:p>
    <w:p>
      <w:pPr>
        <w:spacing w:after="0" w:line="74"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b w:val="1"/>
          <w:bCs w:val="1"/>
          <w:color w:val="auto"/>
        </w:rPr>
        <w:t xml:space="preserve">LITIGATION, CLAIMS, INCLUDING INDEMNIFICATION AND CONTRIBUTION CLAIMS, OR OTHER LOSS CONTINGENCIES PERTAINING TO DISCONTINUED MORTGAGE OPERATIONS </w:t>
      </w:r>
      <w:r>
        <w:rPr>
          <w:rFonts w:ascii="Arial" w:cs="Arial" w:eastAsia="Arial" w:hAnsi="Arial"/>
          <w:sz w:val="18"/>
          <w:szCs w:val="18"/>
          <w:color w:val="auto"/>
        </w:rPr>
        <w:t>– Although SCC ceased its mortgage loan origination activities in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2007 and sold its loan servicing business in April 2008, SCC or the Company has been, remains, and may in the future be, subject to litigation, claims, including indemnification and contribution claims, and other loss contingencies pertaining to SCC's mortgage business activities that occurred prior to such termination and sale. These lawsuits, claims, and other loss contingencies include actions by regulators, third parties seeking indemnification or contribution, including depositors, underwriters, and securitization trustees, individual plaintiffs, and cases in which plaintiffs seek to represent a class of others alleged to be similarly situated. Among other things, these lawsuits, claims, and other loss contingencies allege or may allege discriminatory or unfair and deceptive loan origination and servicing (including debt collection, foreclosure, and eviction) practices, other common law torts, rights to indemnification or contribution, breach of contract, violations of securities laws, and violations of a variety of federal statutes, including the Truth in Lending Act (TILA), Equal Credit Opportunity Act, Fair Housing Act, Real Estate Settlement Procedures Act (RESPA), Home Ownership &amp; Equity Protection Act (HOEPA), as well as similar state statutes. It is difficult to predict either the likelihood of new matters being initiated or the outcome of existing matters. In many of these matters it is not possible to estimate a reasonably possible loss or range of loss due to, among other things, the inherent uncertainties involved in these matters, some of which are beyond the Company's control, and the indeterminate damages sought in some of these matters.</w:t>
      </w:r>
    </w:p>
    <w:p>
      <w:pPr>
        <w:spacing w:after="0" w:line="100" w:lineRule="exact"/>
        <w:rPr>
          <w:sz w:val="20"/>
          <w:szCs w:val="20"/>
          <w:color w:val="auto"/>
        </w:rPr>
      </w:pPr>
    </w:p>
    <w:p>
      <w:pPr>
        <w:jc w:val="both"/>
        <w:ind w:firstLine="230"/>
        <w:spacing w:after="0" w:line="251" w:lineRule="auto"/>
        <w:rPr>
          <w:sz w:val="20"/>
          <w:szCs w:val="20"/>
          <w:color w:val="auto"/>
        </w:rPr>
      </w:pPr>
      <w:r>
        <w:rPr>
          <w:rFonts w:ascii="Arial" w:cs="Arial" w:eastAsia="Arial" w:hAnsi="Arial"/>
          <w:sz w:val="18"/>
          <w:szCs w:val="18"/>
          <w:color w:val="auto"/>
        </w:rPr>
        <w:t xml:space="preserve">Mortgage loans originated by SCC were sold either as whole loans to single third-party buyers, who generally securitized such loans, or in the form of RMBSs. In connection with the sale of loans and/or RMBSs, SCC made certain representations and warranties. The statute of limitations for a contractual claim to enforce a representation and warranty obligation is generally six years or such shorter limitations period that may apply under the law of a state where the economic injury occurred. On June 11, 2015, the New York Court of Appeals, New York’s highest court, held in </w:t>
      </w:r>
      <w:r>
        <w:rPr>
          <w:rFonts w:ascii="Arial" w:cs="Arial" w:eastAsia="Arial" w:hAnsi="Arial"/>
          <w:sz w:val="18"/>
          <w:szCs w:val="18"/>
          <w:i w:val="1"/>
          <w:iCs w:val="1"/>
          <w:color w:val="auto"/>
        </w:rPr>
        <w:t>ACE Securities Corp. v. DB Structured Products, Inc.</w:t>
      </w:r>
      <w:r>
        <w:rPr>
          <w:rFonts w:ascii="Arial" w:cs="Arial" w:eastAsia="Arial" w:hAnsi="Arial"/>
          <w:sz w:val="18"/>
          <w:szCs w:val="18"/>
          <w:color w:val="auto"/>
        </w:rPr>
        <w:t>, that the six-year statute of limitations under New York law starts to run at the time the representations and warranties are made, not the date when the repurchase demand was denied. This decision applies to claims and lawsuits brought against SCC where New York law governs. New York law governs many, though not all, of the RMBS transactions into which SCC entered. However, this decision would not affect representation and warranty claims and lawsuits SCC has received or may receive, for example, where the statute of limitations has been tolled by agreement or a suit was timely filed.</w:t>
      </w:r>
    </w:p>
    <w:p>
      <w:pPr>
        <w:spacing w:after="0" w:line="195" w:lineRule="exact"/>
        <w:rPr>
          <w:sz w:val="20"/>
          <w:szCs w:val="20"/>
          <w:color w:val="auto"/>
        </w:rPr>
      </w:pPr>
    </w:p>
    <w:p>
      <w:pPr>
        <w:jc w:val="both"/>
        <w:ind w:firstLine="230"/>
        <w:spacing w:after="0" w:line="261" w:lineRule="auto"/>
        <w:rPr>
          <w:sz w:val="20"/>
          <w:szCs w:val="20"/>
          <w:color w:val="auto"/>
        </w:rPr>
      </w:pPr>
      <w:r>
        <w:rPr>
          <w:rFonts w:ascii="Arial" w:cs="Arial" w:eastAsia="Arial" w:hAnsi="Arial"/>
          <w:sz w:val="18"/>
          <w:szCs w:val="18"/>
          <w:color w:val="auto"/>
        </w:rPr>
        <w:t xml:space="preserve">In response to the statute of limitations rulings in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case and similar rulings in other state and federal courts, parties seeking to pursue representation and warranty claims or lawsuits have sought, and may in the future seek, to distinguish certain aspects of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decision, pursue alternate legal theories of recovery, or assert claims against other contractual parties such as securitization trustees. For example, a 2016 ruling by a New York intermediate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23177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1775" cy="13716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400" w:hanging="290"/>
        <w:spacing w:after="0"/>
        <w:tabs>
          <w:tab w:leader="none" w:pos="400" w:val="left"/>
        </w:tabs>
        <w:numPr>
          <w:ilvl w:val="0"/>
          <w:numId w:val="15"/>
        </w:numPr>
        <w:rPr>
          <w:rFonts w:ascii="Arial" w:cs="Arial" w:eastAsia="Arial" w:hAnsi="Arial"/>
          <w:sz w:val="14"/>
          <w:szCs w:val="14"/>
          <w:color w:val="FFFFFF"/>
          <w:highlight w:val="black"/>
        </w:rPr>
      </w:pPr>
      <w:r>
        <w:rPr>
          <w:rFonts w:ascii="Arial" w:cs="Arial" w:eastAsia="Arial" w:hAnsi="Arial"/>
          <w:sz w:val="14"/>
          <w:szCs w:val="14"/>
          <w:color w:val="auto"/>
        </w:rPr>
        <w:t xml:space="preserve">Q3 FY2019 Form 10-Q | </w:t>
      </w:r>
      <w:r>
        <w:rPr>
          <w:rFonts w:ascii="Arial" w:cs="Arial" w:eastAsia="Arial" w:hAnsi="Arial"/>
          <w:sz w:val="14"/>
          <w:szCs w:val="14"/>
          <w:b w:val="1"/>
          <w:bCs w:val="1"/>
          <w:color w:val="auto"/>
        </w:rPr>
        <w:t>H&amp;R Block, Inc.</w:t>
      </w:r>
    </w:p>
    <w:p>
      <w:pPr>
        <w:sectPr>
          <w:pgSz w:w="11900" w:h="16838" w:orient="portrait"/>
          <w:cols w:equalWidth="0" w:num="1">
            <w:col w:w="11420"/>
          </w:cols>
          <w:pgMar w:left="240" w:top="249"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appellate court, followed by the federal district court in the second Homeward case described below, allowed a counterparty to pursue litigation on additional loans in the same trust even though only some of the loans complied with the condition precedent of timely pre-suit notice and opportunity to cure or repurchase. Additionally, plaintiffs in litigation to which SCC is not party have alleged breaches of an independent contractual duty to provide notice of material breaches of representations and warranties and pursued separate claims to which, they argue, the statute of limitations ruling in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case does not apply. The impact on SCC from alternative legal theories seeking to avoid or distinguish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decision, or judicial limitations on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decision, is unclear. SCC has not accrued liabilities for claims not subject to a tolling arrangement or not relating back to timely filed litigation.</w:t>
      </w:r>
    </w:p>
    <w:p>
      <w:pPr>
        <w:spacing w:after="0" w:line="207"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 xml:space="preserve">On May 31, 2012, a lawsuit was filed by Homeward Residential, Inc. (Homeward) in the Supreme Court of the State of New York, County of New York, against SCC styled </w:t>
      </w:r>
      <w:r>
        <w:rPr>
          <w:rFonts w:ascii="Arial" w:cs="Arial" w:eastAsia="Arial" w:hAnsi="Arial"/>
          <w:sz w:val="18"/>
          <w:szCs w:val="18"/>
          <w:i w:val="1"/>
          <w:iCs w:val="1"/>
          <w:color w:val="auto"/>
        </w:rPr>
        <w:t>Homeward Residential, Inc. v. Sand Canyon Corporation</w:t>
      </w:r>
      <w:r>
        <w:rPr>
          <w:rFonts w:ascii="Arial" w:cs="Arial" w:eastAsia="Arial" w:hAnsi="Arial"/>
          <w:sz w:val="18"/>
          <w:szCs w:val="18"/>
          <w:color w:val="auto"/>
        </w:rPr>
        <w:t xml:space="preserve"> (Index No. 651885/2012). SCC removed the case to the United States District Court for the Southern District of New York on June 28, 2012 (Case No. 12-cv-5067). The plaintiff, in its capacity as the master servicer for Option One Mortgage Loan Trust 2006-2 and for the benefit of the trustee and the certificate holders of such trust, asserts claims for breach of contract, anticipatory breach, indemnity, and declaratory judgment in connection with alleged losses incurred as a result of the breach of representations and warranties relating to SCC and to loans sold to the trust. The plaintiff seeks specific performance of alleged repurchase obligations or damages to compensate the trust and its certificate holders for alleged actual and anticipated losses, as well as a repurchase of all loans due to alleged misrepresentations by SCC as to itself and as to the loans' compliance with its underwriting standards and the value of underlying real estate. In response to a motion filed by SCC, the court dismissed the plaintiff's claims for breach of the duty to cure or repurchase, anticipatory breach, indemnity, and declaratory judgment. The case is proceeding on the remaining claims. Representatives of a holder of certificates in the trust filed a motion to intervene to add H&amp;R Block, Inc. to the lawsuit and assert claims against H&amp;R Block, Inc. based on alter ego, corporate veil-piercing, and agency law. On February 12, 2018, the court denied the motion to intervene. We have not concluded that a loss related to this matter is probable, nor have we accrued a liability related to this matter.</w:t>
      </w:r>
    </w:p>
    <w:p>
      <w:pPr>
        <w:spacing w:after="0" w:line="103"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 xml:space="preserve">On September 28, 2012, a second lawsuit was filed by Homeward in the United States District Court for the Southern District of New York against SCC styled </w:t>
      </w:r>
      <w:r>
        <w:rPr>
          <w:rFonts w:ascii="Arial" w:cs="Arial" w:eastAsia="Arial" w:hAnsi="Arial"/>
          <w:sz w:val="18"/>
          <w:szCs w:val="18"/>
          <w:i w:val="1"/>
          <w:iCs w:val="1"/>
          <w:color w:val="auto"/>
        </w:rPr>
        <w:t>Homeward Residential, Inc. v. Sand Canyon Corporation</w:t>
      </w:r>
      <w:r>
        <w:rPr>
          <w:rFonts w:ascii="Arial" w:cs="Arial" w:eastAsia="Arial" w:hAnsi="Arial"/>
          <w:sz w:val="18"/>
          <w:szCs w:val="18"/>
          <w:color w:val="auto"/>
        </w:rPr>
        <w:t xml:space="preserve"> (Case No. 12-cv-7319). The plaintiff, in its capacity as the master servicer for Option One Mortgage Loan Trust 2006-3 and for the benefit of the trustee and the certificate holders of such trust, asserts claims for breach of contract and indemnity in connection with losses allegedly incurred as a result of the breach of representations and warranties relating to 96 loans sold to the trust. The plaintiff seeks specific performance of alleged repurchase obligations or damages to compensate the trust and its certificate holders for alleged actual and anticipated losses. In response to a motion filed by SCC, the court dismissed the plaintiff's claims for breach of the duty to cure or repurchase and for indemnification of its costs associated with the litigation. On September 30, 2016, the court granted a motion allowing the plaintiff to file a second amended complaint to include breach of contract claims with respect to 649 additional loans in the trust and to allow such claims with respect to other loans in the trust proven to be in material breach of SCC’s representations and warranties. SCC filed a motion for reconsideration, followed by a motion for leave to appeal the ruling, both of which were denied. On October 6, 2016, the plaintiff filed its second amended complaint. In response to a motion filed by SCC, the court dismissed the plaintiff's claim for breach of one of the representations. The case is proceeding on the remaining claims. Representatives of a holder of certificates in the trust filed a motion to intervene to add H&amp;R Block, Inc. to the lawsuit and assert claims against H&amp;R Block, Inc. based on alter ego, corporate veil-piercing, and agency law. On February 12, 2018, the court denied the motion to intervene. Settlement payments that were made in fiscal year 2018 for representation and warranty claims are related to some of the loans in this case. We have not concluded that a loss related to this lawsuit is probable, nor have we accrued a liability related to this lawsuit.</w:t>
      </w:r>
    </w:p>
    <w:p>
      <w:pPr>
        <w:spacing w:after="0" w:line="10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Underwriters and depositors are, or have been, involved in multiple lawsuits related to securitization transactions in which SCC participated. These lawsuits allege or alleged a variety of claims, including violations of federal and state securities laws and common law fraud, based on alleged materially inaccurate or misleading disclosures. SCC has received notices of claims for indemnification relating to lawsuits to which underwriters or depositors are party. Based on information currently available to SCC, it believes that the 21 lawsuits in which notice of a claim has been made involve 39 securitization transactions with original investments of approximately $14 billion (of which the outstanding principal amount is approximately $3.1 billion). Additional lawsuits against the underwriters or depositors may be filed in the future, and SCC may receive additional notices of claims for indemnification or contribution from underwriters or depositors with respect to existing or new lawsuits or settlements of such lawsuits. Certain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302895</wp:posOffset>
            </wp:positionV>
            <wp:extent cx="22288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8380"/>
        <w:spacing w:after="0"/>
        <w:tabs>
          <w:tab w:leader="none" w:pos="1114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FY2019 Form 10-Q</w:t>
      </w:r>
      <w:r>
        <w:rPr>
          <w:sz w:val="20"/>
          <w:szCs w:val="20"/>
          <w:color w:val="auto"/>
        </w:rPr>
        <w:tab/>
      </w:r>
      <w:r>
        <w:rPr>
          <w:rFonts w:ascii="Arial" w:cs="Arial" w:eastAsia="Arial" w:hAnsi="Arial"/>
          <w:sz w:val="14"/>
          <w:szCs w:val="14"/>
          <w:color w:val="FFFFFF"/>
          <w:highlight w:val="black"/>
        </w:rPr>
        <w:t>17</w:t>
      </w:r>
    </w:p>
    <w:p>
      <w:pPr>
        <w:sectPr>
          <w:pgSz w:w="11900" w:h="16838" w:orient="portrait"/>
          <w:cols w:equalWidth="0" w:num="1">
            <w:col w:w="11420"/>
          </w:cols>
          <w:pgMar w:left="240" w:top="249"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notices received included, and future notices may include, a reservation of rights to assert claims for contribution, which are referred to herein as "contribution claims." Contribution claims may become operative if indemnification is unavailable or insufficient to cover all of the losses and expenses involved. We have not concluded that a loss related to any of these indemnification or contribution claims is probable, nor have we accrued a liability related to any of these claims.</w:t>
      </w:r>
    </w:p>
    <w:p>
      <w:pPr>
        <w:spacing w:after="0" w:line="96"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Securitization trustees also are, or have been, involved in lawsuits related to securitization transactions in which SCC participated. Plaintiffs in these lawsuits allege, among other things, that originators, depositors, servicers, or other parties breached their representations and warranties or otherwise failed to fulfill their obligations, including that securitization trustees breached their contractual obligations, breached their fiduciary duties, or violated statutory requirements by failing to properly protect the certificate holders’ interests. SCC has received notices from securitization trustees of potential indemnification obligations, and may receive additional notices with respect to existing or new lawsuits or settlements of such lawsuits, in its capacity as originator, depositor, or servicer. We have not concluded that a loss related to any of these indemnification claims is probable, nor have we accrued a liability related to any of these claims.</w:t>
      </w:r>
    </w:p>
    <w:p>
      <w:pPr>
        <w:spacing w:after="0" w:line="99" w:lineRule="exact"/>
        <w:rPr>
          <w:sz w:val="20"/>
          <w:szCs w:val="20"/>
          <w:color w:val="auto"/>
        </w:rPr>
      </w:pPr>
    </w:p>
    <w:p>
      <w:pPr>
        <w:jc w:val="both"/>
        <w:ind w:firstLine="230"/>
        <w:spacing w:after="0" w:line="252" w:lineRule="auto"/>
        <w:rPr>
          <w:sz w:val="20"/>
          <w:szCs w:val="20"/>
          <w:color w:val="auto"/>
        </w:rPr>
      </w:pPr>
      <w:r>
        <w:rPr>
          <w:rFonts w:ascii="Arial" w:cs="Arial" w:eastAsia="Arial" w:hAnsi="Arial"/>
          <w:sz w:val="18"/>
          <w:szCs w:val="18"/>
          <w:color w:val="auto"/>
        </w:rPr>
        <w:t>If the amount that SCC is ultimately required to pay with respect to claims and litigation related to its past sales and securitizations of mortgage loans, together with payment of SCC's related administration and legal expense, exceeds SCC's net assets, the creditors of SCC, other potential claimants, or a bankruptcy trustee if SCC were to file or be forced into bankruptcy, may attempt to assert claims against us for payment of SCC's obligations. Claimants may also attempt to assert claims against or seek payment directly from the Company even if SCC's assets exceed its liabilities. SCC's principal assets, as of January 31, 2019, total approximately $293 million and consist of an intercompany note receivable. We believe our legal position is strong on any potential corporate veil-piercing arguments; however, if this position is challenged and not upheld, it could have a material adverse effect on our business and our consolidated financial position, results of operations, and cash flows.</w:t>
      </w:r>
    </w:p>
    <w:p>
      <w:pPr>
        <w:spacing w:after="0" w:line="7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LITIGATION, CLAIMS AND OTHER LOSS CONTINGENCIES PERTAINING TO OTHER DISCONTINUED OPERATIONS </w:t>
      </w:r>
      <w:r>
        <w:rPr>
          <w:rFonts w:ascii="Arial" w:cs="Arial" w:eastAsia="Arial" w:hAnsi="Arial"/>
          <w:sz w:val="18"/>
          <w:szCs w:val="18"/>
          <w:color w:val="auto"/>
        </w:rPr>
        <w:t>–</w:t>
      </w:r>
    </w:p>
    <w:p>
      <w:pPr>
        <w:spacing w:after="0" w:line="117"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b w:val="1"/>
          <w:bCs w:val="1"/>
          <w:color w:val="auto"/>
        </w:rPr>
        <w:t xml:space="preserve">Express IRA Litigation. </w:t>
      </w:r>
      <w:r>
        <w:rPr>
          <w:rFonts w:ascii="Arial" w:cs="Arial" w:eastAsia="Arial" w:hAnsi="Arial"/>
          <w:sz w:val="18"/>
          <w:szCs w:val="18"/>
          <w:color w:val="auto"/>
        </w:rPr>
        <w:t>On January 2, 2008, the Mississippi Attorney General in the Chancery Court of Hinds County, Mississippi First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Judicial District (Case No. G 2008 6 S 2) filed a lawsuit regarding our former Express IRA product that is styled </w:t>
      </w:r>
      <w:r>
        <w:rPr>
          <w:rFonts w:ascii="Arial" w:cs="Arial" w:eastAsia="Arial" w:hAnsi="Arial"/>
          <w:sz w:val="18"/>
          <w:szCs w:val="18"/>
          <w:i w:val="1"/>
          <w:iCs w:val="1"/>
          <w:color w:val="auto"/>
        </w:rPr>
        <w:t>Jim Hood, Attorney for the</w:t>
      </w:r>
      <w:r>
        <w:rPr>
          <w:rFonts w:ascii="Arial" w:cs="Arial" w:eastAsia="Arial" w:hAnsi="Arial"/>
          <w:sz w:val="18"/>
          <w:szCs w:val="18"/>
          <w:color w:val="auto"/>
        </w:rPr>
        <w:t xml:space="preserve"> </w:t>
      </w:r>
      <w:r>
        <w:rPr>
          <w:rFonts w:ascii="Arial" w:cs="Arial" w:eastAsia="Arial" w:hAnsi="Arial"/>
          <w:sz w:val="18"/>
          <w:szCs w:val="18"/>
          <w:i w:val="1"/>
          <w:iCs w:val="1"/>
          <w:color w:val="auto"/>
        </w:rPr>
        <w:t>State of Mississippi v. H&amp;R Block, Inc., H&amp;R Block Financial Advisors, Inc</w:t>
      </w:r>
      <w:r>
        <w:rPr>
          <w:rFonts w:ascii="Arial" w:cs="Arial" w:eastAsia="Arial" w:hAnsi="Arial"/>
          <w:sz w:val="18"/>
          <w:szCs w:val="18"/>
          <w:color w:val="auto"/>
        </w:rPr>
        <w:t>.,</w:t>
      </w:r>
      <w:r>
        <w:rPr>
          <w:rFonts w:ascii="Arial" w:cs="Arial" w:eastAsia="Arial" w:hAnsi="Arial"/>
          <w:sz w:val="18"/>
          <w:szCs w:val="18"/>
          <w:i w:val="1"/>
          <w:iCs w:val="1"/>
          <w:color w:val="auto"/>
        </w:rPr>
        <w:t xml:space="preserve"> et al. </w:t>
      </w:r>
      <w:r>
        <w:rPr>
          <w:rFonts w:ascii="Arial" w:cs="Arial" w:eastAsia="Arial" w:hAnsi="Arial"/>
          <w:sz w:val="18"/>
          <w:szCs w:val="18"/>
          <w:color w:val="auto"/>
        </w:rPr>
        <w:t>The complaint alleges fraudulent business practices,</w:t>
      </w:r>
      <w:r>
        <w:rPr>
          <w:rFonts w:ascii="Arial" w:cs="Arial" w:eastAsia="Arial" w:hAnsi="Arial"/>
          <w:sz w:val="18"/>
          <w:szCs w:val="18"/>
          <w:i w:val="1"/>
          <w:iCs w:val="1"/>
          <w:color w:val="auto"/>
        </w:rPr>
        <w:t xml:space="preserve"> </w:t>
      </w:r>
      <w:r>
        <w:rPr>
          <w:rFonts w:ascii="Arial" w:cs="Arial" w:eastAsia="Arial" w:hAnsi="Arial"/>
          <w:sz w:val="18"/>
          <w:szCs w:val="18"/>
          <w:color w:val="auto"/>
        </w:rPr>
        <w:t>deceptive acts and practices, common law fraud and breach of fiduciary duty with respect to the sale of the product in Mississippi and seeks equitable relief, disgorgement of profits, damages and restitution, civil penalties and punitive damages. We have not concluded that a loss related to this matter is probable, nor have we accrued a loss contingency related to this matter.</w:t>
      </w:r>
    </w:p>
    <w:p>
      <w:pPr>
        <w:spacing w:after="0" w:line="97"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Although we sold H&amp;R Block Financial Advisors, Inc. effective November 1, 2008, we remain responsible for any liabilities relating to the Express IRA litigation through an indemnification agreement.</w:t>
      </w:r>
    </w:p>
    <w:p>
      <w:pPr>
        <w:spacing w:after="0" w:line="66" w:lineRule="exact"/>
        <w:rPr>
          <w:sz w:val="20"/>
          <w:szCs w:val="20"/>
          <w:color w:val="auto"/>
        </w:rPr>
      </w:pPr>
    </w:p>
    <w:p>
      <w:pPr>
        <w:jc w:val="both"/>
        <w:ind w:right="20" w:firstLine="216"/>
        <w:spacing w:after="0" w:line="269"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 We are from time to time a party to litigation, claims and other loss contingencies not discussed herein arising out of our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These matters may include actions by state attorneys general, other state regulators, federal regulators, individual plaintiffs, and cases in which plaintiffs seek to represent others who may be similarly situated.</w:t>
      </w:r>
    </w:p>
    <w:p>
      <w:pPr>
        <w:spacing w:after="0" w:line="8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While we cannot provide assurance that we will ultimately prevail in each instance, we believe the amount, if any, we are required to pay to discharge or settle these other matters will not have a material adverse impact on our business and our consolidated financial position, results of operations, and cash flows.</w:t>
      </w:r>
    </w:p>
    <w:p>
      <w:pPr>
        <w:spacing w:after="0" w:line="94"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believe we have meritorious defenses to the claims asserted in the various matters described in this note, and we intend to defend them vigorously. The amounts claimed in the matters are substantial, however, and there can be no assurances as to their outcomes. In the event of unfavorable outcomes, it could require modifications to our operations; in addition, the amounts that may be required to be paid to discharge or settle the matters could be substantial and could have a material adverse impact on our business and our consolidated financial position, results of operations, and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23177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1775" cy="13716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00" w:hanging="290"/>
        <w:spacing w:after="0"/>
        <w:tabs>
          <w:tab w:leader="none" w:pos="400" w:val="left"/>
        </w:tabs>
        <w:numPr>
          <w:ilvl w:val="0"/>
          <w:numId w:val="16"/>
        </w:numPr>
        <w:rPr>
          <w:rFonts w:ascii="Arial" w:cs="Arial" w:eastAsia="Arial" w:hAnsi="Arial"/>
          <w:sz w:val="14"/>
          <w:szCs w:val="14"/>
          <w:color w:val="FFFFFF"/>
          <w:highlight w:val="black"/>
        </w:rPr>
      </w:pPr>
      <w:r>
        <w:rPr>
          <w:rFonts w:ascii="Arial" w:cs="Arial" w:eastAsia="Arial" w:hAnsi="Arial"/>
          <w:sz w:val="14"/>
          <w:szCs w:val="14"/>
          <w:color w:val="auto"/>
        </w:rPr>
        <w:t xml:space="preserve">Q3 FY2019 Form 10-Q | </w:t>
      </w:r>
      <w:r>
        <w:rPr>
          <w:rFonts w:ascii="Arial" w:cs="Arial" w:eastAsia="Arial" w:hAnsi="Arial"/>
          <w:sz w:val="14"/>
          <w:szCs w:val="14"/>
          <w:b w:val="1"/>
          <w:bCs w:val="1"/>
          <w:color w:val="auto"/>
        </w:rPr>
        <w:t>H&amp;R Block, Inc.</w:t>
      </w:r>
    </w:p>
    <w:p>
      <w:pPr>
        <w:sectPr>
          <w:pgSz w:w="11900" w:h="16838" w:orient="portrait"/>
          <w:cols w:equalWidth="0" w:num="1">
            <w:col w:w="11420"/>
          </w:cols>
          <w:pgMar w:left="240" w:top="249"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CONDENSED CONSOLIDATING FINANCIAL STATEMENTS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Block Financial LLC (Block Financial) is a 100% owned subsidiary of the Company. Block Financial is the Issuer and the Company is the full and unconditional Guarantor of the Senior Notes, our 2018 CLOC and other indebtedness issued from time to time. These condensed consolidating financial statements have been prepared using the equity method of accounting. Earnings of subsidiaries are, therefore, reflected in the Company's investment in subsidiaries account. The elimination entries eliminate investments in subsidiaries, related stockholders' equity and other intercompany balances and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540" w:type="dxa"/>
            <w:vAlign w:val="bottom"/>
            <w:tcBorders>
              <w:bottom w:val="single" w:sz="8" w:color="auto"/>
            </w:tcBorders>
            <w:gridSpan w:val="6"/>
          </w:tcPr>
          <w:p>
            <w:pPr>
              <w:ind w:left="40"/>
              <w:spacing w:after="0"/>
              <w:rPr>
                <w:sz w:val="20"/>
                <w:szCs w:val="20"/>
                <w:color w:val="auto"/>
              </w:rPr>
            </w:pPr>
            <w:r>
              <w:rPr>
                <w:rFonts w:ascii="Arial" w:cs="Arial" w:eastAsia="Arial" w:hAnsi="Arial"/>
                <w:sz w:val="18"/>
                <w:szCs w:val="18"/>
                <w:b w:val="1"/>
                <w:bCs w:val="1"/>
                <w:color w:val="auto"/>
                <w:w w:val="99"/>
              </w:rPr>
              <w:t>CONDENSED CONSOLIDATING STATEMENTS OF OPERATIONS</w:t>
            </w:r>
          </w:p>
        </w:tc>
        <w:tc>
          <w:tcPr>
            <w:tcW w:w="1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193"/>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H&amp;R Block, Inc.</w:t>
            </w:r>
          </w:p>
        </w:tc>
        <w:tc>
          <w:tcPr>
            <w:tcW w:w="36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Block Financial</w:t>
            </w:r>
          </w:p>
        </w:tc>
        <w:tc>
          <w:tcPr>
            <w:tcW w:w="36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Other</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78"/>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Three months ended January 31, 2019</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(Guarantor)</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(Issuer)</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Subsidiaries</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H&amp;R Block</w:t>
            </w:r>
          </w:p>
        </w:tc>
        <w:tc>
          <w:tcPr>
            <w:tcW w:w="0" w:type="dxa"/>
            <w:vAlign w:val="bottom"/>
          </w:tcPr>
          <w:p>
            <w:pPr>
              <w:spacing w:after="0"/>
              <w:rPr>
                <w:sz w:val="1"/>
                <w:szCs w:val="1"/>
                <w:color w:val="auto"/>
              </w:rPr>
            </w:pPr>
          </w:p>
        </w:tc>
      </w:tr>
      <w:tr>
        <w:trPr>
          <w:trHeight w:val="25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53,461</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433,144</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(18,221)</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468,384</w:t>
            </w:r>
          </w:p>
        </w:tc>
        <w:tc>
          <w:tcPr>
            <w:tcW w:w="0" w:type="dxa"/>
            <w:vAlign w:val="bottom"/>
          </w:tcPr>
          <w:p>
            <w:pPr>
              <w:spacing w:after="0"/>
              <w:rPr>
                <w:sz w:val="1"/>
                <w:szCs w:val="1"/>
                <w:color w:val="auto"/>
              </w:rPr>
            </w:pPr>
          </w:p>
        </w:tc>
      </w:tr>
      <w:tr>
        <w:trPr>
          <w:trHeight w:val="250"/>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Cost of revenues</w:t>
            </w:r>
          </w:p>
        </w:tc>
        <w:tc>
          <w:tcPr>
            <w:tcW w:w="2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34,533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396,672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(10,179)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421,026</w:t>
            </w:r>
          </w:p>
        </w:tc>
        <w:tc>
          <w:tcPr>
            <w:tcW w:w="0" w:type="dxa"/>
            <w:vAlign w:val="bottom"/>
          </w:tcPr>
          <w:p>
            <w:pPr>
              <w:spacing w:after="0"/>
              <w:rPr>
                <w:sz w:val="1"/>
                <w:szCs w:val="1"/>
                <w:color w:val="auto"/>
              </w:rPr>
            </w:pPr>
          </w:p>
        </w:tc>
      </w:tr>
      <w:tr>
        <w:trPr>
          <w:trHeight w:val="27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Selling, general and administrative</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10,347</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183,153</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(8,042)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185,458</w:t>
            </w:r>
          </w:p>
        </w:tc>
        <w:tc>
          <w:tcPr>
            <w:tcW w:w="0" w:type="dxa"/>
            <w:vAlign w:val="bottom"/>
          </w:tcPr>
          <w:p>
            <w:pPr>
              <w:spacing w:after="0"/>
              <w:rPr>
                <w:sz w:val="1"/>
                <w:szCs w:val="1"/>
                <w:color w:val="auto"/>
              </w:rPr>
            </w:pPr>
          </w:p>
        </w:tc>
      </w:tr>
      <w:tr>
        <w:trPr>
          <w:trHeight w:val="250"/>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Total operating expenses</w:t>
            </w:r>
          </w:p>
        </w:tc>
        <w:tc>
          <w:tcPr>
            <w:tcW w:w="2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44,880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579,825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(18,221)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606,484</w:t>
            </w:r>
          </w:p>
        </w:tc>
        <w:tc>
          <w:tcPr>
            <w:tcW w:w="0" w:type="dxa"/>
            <w:vAlign w:val="bottom"/>
          </w:tcPr>
          <w:p>
            <w:pPr>
              <w:spacing w:after="0"/>
              <w:rPr>
                <w:sz w:val="1"/>
                <w:szCs w:val="1"/>
                <w:color w:val="auto"/>
              </w:rPr>
            </w:pPr>
          </w:p>
        </w:tc>
      </w:tr>
      <w:tr>
        <w:trPr>
          <w:trHeight w:val="27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income (expense), net</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(134,984)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8,903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348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128,002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2,269</w:t>
            </w: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Interest expense on external borrowings</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(22,833)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(22,833)</w:t>
            </w:r>
          </w:p>
        </w:tc>
        <w:tc>
          <w:tcPr>
            <w:tcW w:w="0" w:type="dxa"/>
            <w:vAlign w:val="bottom"/>
          </w:tcPr>
          <w:p>
            <w:pPr>
              <w:spacing w:after="0"/>
              <w:rPr>
                <w:sz w:val="1"/>
                <w:szCs w:val="1"/>
                <w:color w:val="auto"/>
              </w:rPr>
            </w:pPr>
          </w:p>
        </w:tc>
      </w:tr>
      <w:tr>
        <w:trPr>
          <w:trHeight w:val="180"/>
        </w:trPr>
        <w:tc>
          <w:tcPr>
            <w:tcW w:w="35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Loss from continuing operations before income taxes</w:t>
            </w:r>
          </w:p>
        </w:tc>
        <w:tc>
          <w:tcPr>
            <w:tcW w:w="24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(134,984)</w:t>
            </w: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(5,349)</w:t>
            </w: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(146,333)</w:t>
            </w: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128,002</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(158,664)</w:t>
            </w:r>
          </w:p>
        </w:tc>
        <w:tc>
          <w:tcPr>
            <w:tcW w:w="0" w:type="dxa"/>
            <w:vAlign w:val="bottom"/>
          </w:tcPr>
          <w:p>
            <w:pPr>
              <w:spacing w:after="0"/>
              <w:rPr>
                <w:sz w:val="1"/>
                <w:szCs w:val="1"/>
                <w:color w:val="auto"/>
              </w:rPr>
            </w:pPr>
          </w:p>
        </w:tc>
      </w:tr>
      <w:tr>
        <w:trPr>
          <w:trHeight w:val="184"/>
        </w:trPr>
        <w:tc>
          <w:tcPr>
            <w:tcW w:w="35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(benefit)</w:t>
            </w:r>
          </w:p>
        </w:tc>
        <w:tc>
          <w:tcPr>
            <w:tcW w:w="24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Income taxes (benefit)</w:t>
            </w:r>
          </w:p>
        </w:tc>
        <w:tc>
          <w:tcPr>
            <w:tcW w:w="240" w:type="dxa"/>
            <w:vAlign w:val="bottom"/>
          </w:tcPr>
          <w:p>
            <w:pPr>
              <w:spacing w:after="0"/>
              <w:rPr>
                <w:sz w:val="22"/>
                <w:szCs w:val="22"/>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(8,530)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75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(30,430)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(38,885)</w:t>
            </w:r>
          </w:p>
        </w:tc>
        <w:tc>
          <w:tcPr>
            <w:tcW w:w="0" w:type="dxa"/>
            <w:vAlign w:val="bottom"/>
          </w:tcPr>
          <w:p>
            <w:pPr>
              <w:spacing w:after="0"/>
              <w:rPr>
                <w:sz w:val="1"/>
                <w:szCs w:val="1"/>
                <w:color w:val="auto"/>
              </w:rPr>
            </w:pPr>
          </w:p>
        </w:tc>
      </w:tr>
      <w:tr>
        <w:trPr>
          <w:trHeight w:val="256"/>
        </w:trPr>
        <w:tc>
          <w:tcPr>
            <w:tcW w:w="35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loss from continuing operations</w:t>
            </w:r>
          </w:p>
        </w:tc>
        <w:tc>
          <w:tcPr>
            <w:tcW w:w="24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(126,454)</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(5,424)</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(115,903)</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128,002</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(119,779)</w:t>
            </w: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Net loss from discontinued operations</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(6,675)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(6,675)</w:t>
            </w:r>
          </w:p>
        </w:tc>
        <w:tc>
          <w:tcPr>
            <w:tcW w:w="0" w:type="dxa"/>
            <w:vAlign w:val="bottom"/>
          </w:tcPr>
          <w:p>
            <w:pPr>
              <w:spacing w:after="0"/>
              <w:rPr>
                <w:sz w:val="1"/>
                <w:szCs w:val="1"/>
                <w:color w:val="auto"/>
              </w:rPr>
            </w:pPr>
          </w:p>
        </w:tc>
      </w:tr>
      <w:tr>
        <w:trPr>
          <w:trHeight w:val="256"/>
        </w:trPr>
        <w:tc>
          <w:tcPr>
            <w:tcW w:w="35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24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(126,454)</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(12,099)</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(115,903)</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128,002</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(126,454)</w:t>
            </w: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Other comprehensive income</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b w:val="1"/>
                <w:bCs w:val="1"/>
                <w:color w:val="auto"/>
              </w:rPr>
              <w:t>1,238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1,238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(1,238)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1,238</w:t>
            </w:r>
          </w:p>
        </w:tc>
        <w:tc>
          <w:tcPr>
            <w:tcW w:w="0" w:type="dxa"/>
            <w:vAlign w:val="bottom"/>
          </w:tcPr>
          <w:p>
            <w:pPr>
              <w:spacing w:after="0"/>
              <w:rPr>
                <w:sz w:val="1"/>
                <w:szCs w:val="1"/>
                <w:color w:val="auto"/>
              </w:rPr>
            </w:pPr>
          </w:p>
        </w:tc>
      </w:tr>
      <w:tr>
        <w:trPr>
          <w:trHeight w:val="250"/>
        </w:trPr>
        <w:tc>
          <w:tcPr>
            <w:tcW w:w="35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Comprehensive loss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(125,216)</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(12,099)</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(114,665)</w:t>
            </w: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126,764</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(125,216)</w:t>
            </w:r>
          </w:p>
        </w:tc>
        <w:tc>
          <w:tcPr>
            <w:tcW w:w="0" w:type="dxa"/>
            <w:vAlign w:val="bottom"/>
          </w:tcPr>
          <w:p>
            <w:pPr>
              <w:spacing w:after="0"/>
              <w:rPr>
                <w:sz w:val="1"/>
                <w:szCs w:val="1"/>
                <w:color w:val="auto"/>
              </w:rPr>
            </w:pPr>
          </w:p>
        </w:tc>
      </w:tr>
      <w:tr>
        <w:trPr>
          <w:trHeight w:val="121"/>
        </w:trPr>
        <w:tc>
          <w:tcPr>
            <w:tcW w:w="34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01"/>
        </w:trPr>
        <w:tc>
          <w:tcPr>
            <w:tcW w:w="3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193"/>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H&amp;R Block, Inc.</w:t>
            </w:r>
          </w:p>
        </w:tc>
        <w:tc>
          <w:tcPr>
            <w:tcW w:w="36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Block Financial</w:t>
            </w:r>
          </w:p>
        </w:tc>
        <w:tc>
          <w:tcPr>
            <w:tcW w:w="36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Other</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78"/>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Three months ended January 31, 2018</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(Guarantor)</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(Issuer)</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Subsidiaries</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H&amp;R Block</w:t>
            </w:r>
          </w:p>
        </w:tc>
        <w:tc>
          <w:tcPr>
            <w:tcW w:w="0" w:type="dxa"/>
            <w:vAlign w:val="bottom"/>
          </w:tcPr>
          <w:p>
            <w:pPr>
              <w:spacing w:after="0"/>
              <w:rPr>
                <w:sz w:val="1"/>
                <w:szCs w:val="1"/>
                <w:color w:val="auto"/>
              </w:rPr>
            </w:pPr>
          </w:p>
        </w:tc>
      </w:tr>
      <w:tr>
        <w:trPr>
          <w:trHeight w:val="25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55,795</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449,608</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(16,977)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488,426</w:t>
            </w:r>
          </w:p>
        </w:tc>
        <w:tc>
          <w:tcPr>
            <w:tcW w:w="0" w:type="dxa"/>
            <w:vAlign w:val="bottom"/>
          </w:tcPr>
          <w:p>
            <w:pPr>
              <w:spacing w:after="0"/>
              <w:rPr>
                <w:sz w:val="1"/>
                <w:szCs w:val="1"/>
                <w:color w:val="auto"/>
              </w:rPr>
            </w:pPr>
          </w:p>
        </w:tc>
      </w:tr>
      <w:tr>
        <w:trPr>
          <w:trHeight w:val="250"/>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Cost of revenues</w:t>
            </w:r>
          </w:p>
        </w:tc>
        <w:tc>
          <w:tcPr>
            <w:tcW w:w="2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33,805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391,772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(8,976)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416,601</w:t>
            </w:r>
          </w:p>
        </w:tc>
        <w:tc>
          <w:tcPr>
            <w:tcW w:w="0" w:type="dxa"/>
            <w:vAlign w:val="bottom"/>
          </w:tcPr>
          <w:p>
            <w:pPr>
              <w:spacing w:after="0"/>
              <w:rPr>
                <w:sz w:val="1"/>
                <w:szCs w:val="1"/>
                <w:color w:val="auto"/>
              </w:rPr>
            </w:pPr>
          </w:p>
        </w:tc>
      </w:tr>
      <w:tr>
        <w:trPr>
          <w:trHeight w:val="27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Selling, general and administrative</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10,823</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166,276</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(8,001)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169,098</w:t>
            </w:r>
          </w:p>
        </w:tc>
        <w:tc>
          <w:tcPr>
            <w:tcW w:w="0" w:type="dxa"/>
            <w:vAlign w:val="bottom"/>
          </w:tcPr>
          <w:p>
            <w:pPr>
              <w:spacing w:after="0"/>
              <w:rPr>
                <w:sz w:val="1"/>
                <w:szCs w:val="1"/>
                <w:color w:val="auto"/>
              </w:rPr>
            </w:pPr>
          </w:p>
        </w:tc>
      </w:tr>
      <w:tr>
        <w:trPr>
          <w:trHeight w:val="250"/>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Total operating expenses</w:t>
            </w:r>
          </w:p>
        </w:tc>
        <w:tc>
          <w:tcPr>
            <w:tcW w:w="2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44,628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558,048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(16,977)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585,699</w:t>
            </w:r>
          </w:p>
        </w:tc>
        <w:tc>
          <w:tcPr>
            <w:tcW w:w="0" w:type="dxa"/>
            <w:vAlign w:val="bottom"/>
          </w:tcPr>
          <w:p>
            <w:pPr>
              <w:spacing w:after="0"/>
              <w:rPr>
                <w:sz w:val="1"/>
                <w:szCs w:val="1"/>
                <w:color w:val="auto"/>
              </w:rPr>
            </w:pPr>
          </w:p>
        </w:tc>
      </w:tr>
      <w:tr>
        <w:trPr>
          <w:trHeight w:val="27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income (expense), net</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(250,732)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7,819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(20,071)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264,012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1,028</w:t>
            </w: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Interest expense on external borrowings</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(24,491)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(24,560)</w:t>
            </w:r>
          </w:p>
        </w:tc>
        <w:tc>
          <w:tcPr>
            <w:tcW w:w="0" w:type="dxa"/>
            <w:vAlign w:val="bottom"/>
          </w:tcPr>
          <w:p>
            <w:pPr>
              <w:spacing w:after="0"/>
              <w:rPr>
                <w:sz w:val="1"/>
                <w:szCs w:val="1"/>
                <w:color w:val="auto"/>
              </w:rPr>
            </w:pPr>
          </w:p>
        </w:tc>
      </w:tr>
      <w:tr>
        <w:trPr>
          <w:trHeight w:val="180"/>
        </w:trPr>
        <w:tc>
          <w:tcPr>
            <w:tcW w:w="35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Loss from continuing operations before income taxes</w:t>
            </w:r>
          </w:p>
        </w:tc>
        <w:tc>
          <w:tcPr>
            <w:tcW w:w="24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5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(benefit)</w:t>
            </w: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(250,732)</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(5,505)</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(128,580)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264,012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(120,805)</w:t>
            </w: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Income taxes (benefit)</w:t>
            </w:r>
          </w:p>
        </w:tc>
        <w:tc>
          <w:tcPr>
            <w:tcW w:w="240" w:type="dxa"/>
            <w:vAlign w:val="bottom"/>
          </w:tcPr>
          <w:p>
            <w:pPr>
              <w:spacing w:after="0"/>
              <w:rPr>
                <w:sz w:val="22"/>
                <w:szCs w:val="22"/>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(5,087)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15,600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111,607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122,120</w:t>
            </w:r>
          </w:p>
        </w:tc>
        <w:tc>
          <w:tcPr>
            <w:tcW w:w="0" w:type="dxa"/>
            <w:vAlign w:val="bottom"/>
          </w:tcPr>
          <w:p>
            <w:pPr>
              <w:spacing w:after="0"/>
              <w:rPr>
                <w:sz w:val="1"/>
                <w:szCs w:val="1"/>
                <w:color w:val="auto"/>
              </w:rPr>
            </w:pPr>
          </w:p>
        </w:tc>
      </w:tr>
      <w:tr>
        <w:trPr>
          <w:trHeight w:val="256"/>
        </w:trPr>
        <w:tc>
          <w:tcPr>
            <w:tcW w:w="35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loss from continuing operations</w:t>
            </w:r>
          </w:p>
        </w:tc>
        <w:tc>
          <w:tcPr>
            <w:tcW w:w="24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(245,645)</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(21,105)</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(240,187)</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264,012</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(242,925)</w:t>
            </w: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Net loss from discontinued operations</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(2,720)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(2,720)</w:t>
            </w:r>
          </w:p>
        </w:tc>
        <w:tc>
          <w:tcPr>
            <w:tcW w:w="0" w:type="dxa"/>
            <w:vAlign w:val="bottom"/>
          </w:tcPr>
          <w:p>
            <w:pPr>
              <w:spacing w:after="0"/>
              <w:rPr>
                <w:sz w:val="1"/>
                <w:szCs w:val="1"/>
                <w:color w:val="auto"/>
              </w:rPr>
            </w:pPr>
          </w:p>
        </w:tc>
      </w:tr>
      <w:tr>
        <w:trPr>
          <w:trHeight w:val="256"/>
        </w:trPr>
        <w:tc>
          <w:tcPr>
            <w:tcW w:w="35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24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(245,645)</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(23,825)</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(240,187)</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264,012</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(245,645)</w:t>
            </w: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Other comprehensive income</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4,848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4,848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(4,848)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4,848</w:t>
            </w:r>
          </w:p>
        </w:tc>
        <w:tc>
          <w:tcPr>
            <w:tcW w:w="0" w:type="dxa"/>
            <w:vAlign w:val="bottom"/>
          </w:tcPr>
          <w:p>
            <w:pPr>
              <w:spacing w:after="0"/>
              <w:rPr>
                <w:sz w:val="1"/>
                <w:szCs w:val="1"/>
                <w:color w:val="auto"/>
              </w:rPr>
            </w:pPr>
          </w:p>
        </w:tc>
      </w:tr>
      <w:tr>
        <w:trPr>
          <w:trHeight w:val="250"/>
        </w:trPr>
        <w:tc>
          <w:tcPr>
            <w:tcW w:w="35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Comprehensive loss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(240,797)</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(23,825)</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(235,339)</w:t>
            </w: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259,164</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(240,797)</w:t>
            </w:r>
          </w:p>
        </w:tc>
        <w:tc>
          <w:tcPr>
            <w:tcW w:w="0" w:type="dxa"/>
            <w:vAlign w:val="bottom"/>
          </w:tcPr>
          <w:p>
            <w:pPr>
              <w:spacing w:after="0"/>
              <w:rPr>
                <w:sz w:val="1"/>
                <w:szCs w:val="1"/>
                <w:color w:val="auto"/>
              </w:rPr>
            </w:pPr>
          </w:p>
        </w:tc>
      </w:tr>
      <w:tr>
        <w:trPr>
          <w:trHeight w:val="121"/>
        </w:trPr>
        <w:tc>
          <w:tcPr>
            <w:tcW w:w="34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857885</wp:posOffset>
            </wp:positionV>
            <wp:extent cx="22288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8380"/>
        <w:spacing w:after="0"/>
        <w:tabs>
          <w:tab w:leader="none" w:pos="1114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FY2019 Form 10-Q</w:t>
      </w:r>
      <w:r>
        <w:rPr>
          <w:sz w:val="20"/>
          <w:szCs w:val="20"/>
          <w:color w:val="auto"/>
        </w:rPr>
        <w:tab/>
      </w:r>
      <w:r>
        <w:rPr>
          <w:rFonts w:ascii="Arial" w:cs="Arial" w:eastAsia="Arial" w:hAnsi="Arial"/>
          <w:sz w:val="14"/>
          <w:szCs w:val="14"/>
          <w:color w:val="FFFFFF"/>
          <w:highlight w:val="black"/>
        </w:rPr>
        <w:t>19</w:t>
      </w:r>
    </w:p>
    <w:p>
      <w:pPr>
        <w:sectPr>
          <w:pgSz w:w="11900" w:h="16838" w:orient="portrait"/>
          <w:cols w:equalWidth="0" w:num="1">
            <w:col w:w="11420"/>
          </w:cols>
          <w:pgMar w:left="240" w:top="249"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540" w:type="dxa"/>
            <w:vAlign w:val="bottom"/>
            <w:tcBorders>
              <w:bottom w:val="single" w:sz="8" w:color="auto"/>
            </w:tcBorders>
            <w:gridSpan w:val="6"/>
          </w:tcPr>
          <w:p>
            <w:pPr>
              <w:ind w:left="40"/>
              <w:spacing w:after="0"/>
              <w:rPr>
                <w:sz w:val="20"/>
                <w:szCs w:val="20"/>
                <w:color w:val="auto"/>
              </w:rPr>
            </w:pPr>
            <w:r>
              <w:rPr>
                <w:rFonts w:ascii="Arial" w:cs="Arial" w:eastAsia="Arial" w:hAnsi="Arial"/>
                <w:sz w:val="18"/>
                <w:szCs w:val="18"/>
                <w:b w:val="1"/>
                <w:bCs w:val="1"/>
                <w:color w:val="auto"/>
                <w:w w:val="99"/>
              </w:rPr>
              <w:t>CONDENSED CONSOLIDATING STATEMENTS OF OPERATIONS</w:t>
            </w:r>
          </w:p>
        </w:tc>
        <w:tc>
          <w:tcPr>
            <w:tcW w:w="1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193"/>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H&amp;R Block, Inc.</w:t>
            </w:r>
          </w:p>
        </w:tc>
        <w:tc>
          <w:tcPr>
            <w:tcW w:w="36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Block Financial</w:t>
            </w:r>
          </w:p>
        </w:tc>
        <w:tc>
          <w:tcPr>
            <w:tcW w:w="36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Other</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78"/>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Nine months ended January 31, 2019</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(Guarantor)</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(Issuer)</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Subsidiaries</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H&amp;R Block</w:t>
            </w:r>
          </w:p>
        </w:tc>
        <w:tc>
          <w:tcPr>
            <w:tcW w:w="0" w:type="dxa"/>
            <w:vAlign w:val="bottom"/>
          </w:tcPr>
          <w:p>
            <w:pPr>
              <w:spacing w:after="0"/>
              <w:rPr>
                <w:sz w:val="1"/>
                <w:szCs w:val="1"/>
                <w:color w:val="auto"/>
              </w:rPr>
            </w:pPr>
          </w:p>
        </w:tc>
      </w:tr>
      <w:tr>
        <w:trPr>
          <w:trHeight w:val="25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81,751</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706,775</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(26,088)</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762,438</w:t>
            </w:r>
          </w:p>
        </w:tc>
        <w:tc>
          <w:tcPr>
            <w:tcW w:w="0" w:type="dxa"/>
            <w:vAlign w:val="bottom"/>
          </w:tcPr>
          <w:p>
            <w:pPr>
              <w:spacing w:after="0"/>
              <w:rPr>
                <w:sz w:val="1"/>
                <w:szCs w:val="1"/>
                <w:color w:val="auto"/>
              </w:rPr>
            </w:pPr>
          </w:p>
        </w:tc>
      </w:tr>
      <w:tr>
        <w:trPr>
          <w:trHeight w:val="250"/>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Cost of revenues</w:t>
            </w:r>
          </w:p>
        </w:tc>
        <w:tc>
          <w:tcPr>
            <w:tcW w:w="2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46,580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859,759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(12,938)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893,401</w:t>
            </w:r>
          </w:p>
        </w:tc>
        <w:tc>
          <w:tcPr>
            <w:tcW w:w="0" w:type="dxa"/>
            <w:vAlign w:val="bottom"/>
          </w:tcPr>
          <w:p>
            <w:pPr>
              <w:spacing w:after="0"/>
              <w:rPr>
                <w:sz w:val="1"/>
                <w:szCs w:val="1"/>
                <w:color w:val="auto"/>
              </w:rPr>
            </w:pPr>
          </w:p>
        </w:tc>
      </w:tr>
      <w:tr>
        <w:trPr>
          <w:trHeight w:val="27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Selling, general and administrative</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1,476</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16,444</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399,747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(13,150)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404,517</w:t>
            </w:r>
          </w:p>
        </w:tc>
        <w:tc>
          <w:tcPr>
            <w:tcW w:w="0" w:type="dxa"/>
            <w:vAlign w:val="bottom"/>
          </w:tcPr>
          <w:p>
            <w:pPr>
              <w:spacing w:after="0"/>
              <w:rPr>
                <w:sz w:val="1"/>
                <w:szCs w:val="1"/>
                <w:color w:val="auto"/>
              </w:rPr>
            </w:pPr>
          </w:p>
        </w:tc>
      </w:tr>
      <w:tr>
        <w:trPr>
          <w:trHeight w:val="250"/>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Total operating expenses</w:t>
            </w:r>
          </w:p>
        </w:tc>
        <w:tc>
          <w:tcPr>
            <w:tcW w:w="240" w:type="dxa"/>
            <w:vAlign w:val="bottom"/>
          </w:tcPr>
          <w:p>
            <w:pPr>
              <w:spacing w:after="0"/>
              <w:rPr>
                <w:sz w:val="21"/>
                <w:szCs w:val="21"/>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b w:val="1"/>
                <w:bCs w:val="1"/>
                <w:color w:val="auto"/>
              </w:rPr>
              <w:t>1,476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63,024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1,259,506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(26,088)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1,297,918</w:t>
            </w:r>
          </w:p>
        </w:tc>
        <w:tc>
          <w:tcPr>
            <w:tcW w:w="0" w:type="dxa"/>
            <w:vAlign w:val="bottom"/>
          </w:tcPr>
          <w:p>
            <w:pPr>
              <w:spacing w:after="0"/>
              <w:rPr>
                <w:sz w:val="1"/>
                <w:szCs w:val="1"/>
                <w:color w:val="auto"/>
              </w:rPr>
            </w:pPr>
          </w:p>
        </w:tc>
      </w:tr>
      <w:tr>
        <w:trPr>
          <w:trHeight w:val="27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income (expense), net</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(465,085)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27,748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6,498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442,114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11,275</w:t>
            </w: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Interest expense on external borrowings</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(65,082)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(132)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(65,214)</w:t>
            </w:r>
          </w:p>
        </w:tc>
        <w:tc>
          <w:tcPr>
            <w:tcW w:w="0" w:type="dxa"/>
            <w:vAlign w:val="bottom"/>
          </w:tcPr>
          <w:p>
            <w:pPr>
              <w:spacing w:after="0"/>
              <w:rPr>
                <w:sz w:val="1"/>
                <w:szCs w:val="1"/>
                <w:color w:val="auto"/>
              </w:rPr>
            </w:pPr>
          </w:p>
        </w:tc>
      </w:tr>
      <w:tr>
        <w:trPr>
          <w:trHeight w:val="180"/>
        </w:trPr>
        <w:tc>
          <w:tcPr>
            <w:tcW w:w="35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Loss from continuing operations before income tax</w:t>
            </w:r>
          </w:p>
        </w:tc>
        <w:tc>
          <w:tcPr>
            <w:tcW w:w="24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(466,561)</w:t>
            </w: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(18,607)</w:t>
            </w: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(546,365)</w:t>
            </w: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442,114</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(589,419)</w:t>
            </w:r>
          </w:p>
        </w:tc>
        <w:tc>
          <w:tcPr>
            <w:tcW w:w="0" w:type="dxa"/>
            <w:vAlign w:val="bottom"/>
          </w:tcPr>
          <w:p>
            <w:pPr>
              <w:spacing w:after="0"/>
              <w:rPr>
                <w:sz w:val="1"/>
                <w:szCs w:val="1"/>
                <w:color w:val="auto"/>
              </w:rPr>
            </w:pPr>
          </w:p>
        </w:tc>
      </w:tr>
      <w:tr>
        <w:trPr>
          <w:trHeight w:val="184"/>
        </w:trPr>
        <w:tc>
          <w:tcPr>
            <w:tcW w:w="35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benefit</w:t>
            </w:r>
          </w:p>
        </w:tc>
        <w:tc>
          <w:tcPr>
            <w:tcW w:w="24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Income tax benefit</w:t>
            </w:r>
          </w:p>
        </w:tc>
        <w:tc>
          <w:tcPr>
            <w:tcW w:w="240" w:type="dxa"/>
            <w:vAlign w:val="bottom"/>
          </w:tcPr>
          <w:p>
            <w:pPr>
              <w:spacing w:after="0"/>
              <w:rPr>
                <w:sz w:val="22"/>
                <w:szCs w:val="22"/>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(11,161)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(5,942)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(132,803)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(149,906)</w:t>
            </w:r>
          </w:p>
        </w:tc>
        <w:tc>
          <w:tcPr>
            <w:tcW w:w="0" w:type="dxa"/>
            <w:vAlign w:val="bottom"/>
          </w:tcPr>
          <w:p>
            <w:pPr>
              <w:spacing w:after="0"/>
              <w:rPr>
                <w:sz w:val="1"/>
                <w:szCs w:val="1"/>
                <w:color w:val="auto"/>
              </w:rPr>
            </w:pPr>
          </w:p>
        </w:tc>
      </w:tr>
      <w:tr>
        <w:trPr>
          <w:trHeight w:val="256"/>
        </w:trPr>
        <w:tc>
          <w:tcPr>
            <w:tcW w:w="35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loss from continuing operations</w:t>
            </w:r>
          </w:p>
        </w:tc>
        <w:tc>
          <w:tcPr>
            <w:tcW w:w="24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(455,400)</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(12,665)</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(413,562)</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442,114</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(439,513)</w:t>
            </w: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Net loss from discontinued operations</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(15,887)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(15,887)</w:t>
            </w:r>
          </w:p>
        </w:tc>
        <w:tc>
          <w:tcPr>
            <w:tcW w:w="0" w:type="dxa"/>
            <w:vAlign w:val="bottom"/>
          </w:tcPr>
          <w:p>
            <w:pPr>
              <w:spacing w:after="0"/>
              <w:rPr>
                <w:sz w:val="1"/>
                <w:szCs w:val="1"/>
                <w:color w:val="auto"/>
              </w:rPr>
            </w:pPr>
          </w:p>
        </w:tc>
      </w:tr>
      <w:tr>
        <w:trPr>
          <w:trHeight w:val="256"/>
        </w:trPr>
        <w:tc>
          <w:tcPr>
            <w:tcW w:w="35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24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(455,400)</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(28,552)</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(413,562)</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442,114</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(455,400)</w:t>
            </w: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Other comprehensive loss</w:t>
            </w:r>
          </w:p>
        </w:tc>
        <w:tc>
          <w:tcPr>
            <w:tcW w:w="240" w:type="dxa"/>
            <w:vAlign w:val="bottom"/>
          </w:tcPr>
          <w:p>
            <w:pPr>
              <w:spacing w:after="0"/>
              <w:rPr>
                <w:sz w:val="22"/>
                <w:szCs w:val="22"/>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(3,339)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(3,339)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3,339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(3,339)</w:t>
            </w:r>
          </w:p>
        </w:tc>
        <w:tc>
          <w:tcPr>
            <w:tcW w:w="0" w:type="dxa"/>
            <w:vAlign w:val="bottom"/>
          </w:tcPr>
          <w:p>
            <w:pPr>
              <w:spacing w:after="0"/>
              <w:rPr>
                <w:sz w:val="1"/>
                <w:szCs w:val="1"/>
                <w:color w:val="auto"/>
              </w:rPr>
            </w:pPr>
          </w:p>
        </w:tc>
      </w:tr>
      <w:tr>
        <w:trPr>
          <w:trHeight w:val="250"/>
        </w:trPr>
        <w:tc>
          <w:tcPr>
            <w:tcW w:w="35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Comprehensive loss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(458,739)</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(28,552)</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(416,901)</w:t>
            </w: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445,453</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(458,739)</w:t>
            </w:r>
          </w:p>
        </w:tc>
        <w:tc>
          <w:tcPr>
            <w:tcW w:w="0" w:type="dxa"/>
            <w:vAlign w:val="bottom"/>
          </w:tcPr>
          <w:p>
            <w:pPr>
              <w:spacing w:after="0"/>
              <w:rPr>
                <w:sz w:val="1"/>
                <w:szCs w:val="1"/>
                <w:color w:val="auto"/>
              </w:rPr>
            </w:pPr>
          </w:p>
        </w:tc>
      </w:tr>
      <w:tr>
        <w:trPr>
          <w:trHeight w:val="121"/>
        </w:trPr>
        <w:tc>
          <w:tcPr>
            <w:tcW w:w="34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01"/>
        </w:trPr>
        <w:tc>
          <w:tcPr>
            <w:tcW w:w="3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193"/>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H&amp;R Block, Inc.</w:t>
            </w:r>
          </w:p>
        </w:tc>
        <w:tc>
          <w:tcPr>
            <w:tcW w:w="36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Block Financial</w:t>
            </w:r>
          </w:p>
        </w:tc>
        <w:tc>
          <w:tcPr>
            <w:tcW w:w="36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Other</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78"/>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Nine months ended January 31, 2018</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(Guarantor)</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(Issuer)</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Subsidiaries</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H&amp;R Block</w:t>
            </w:r>
          </w:p>
        </w:tc>
        <w:tc>
          <w:tcPr>
            <w:tcW w:w="0" w:type="dxa"/>
            <w:vAlign w:val="bottom"/>
          </w:tcPr>
          <w:p>
            <w:pPr>
              <w:spacing w:after="0"/>
              <w:rPr>
                <w:sz w:val="1"/>
                <w:szCs w:val="1"/>
                <w:color w:val="auto"/>
              </w:rPr>
            </w:pPr>
          </w:p>
        </w:tc>
      </w:tr>
      <w:tr>
        <w:trPr>
          <w:trHeight w:val="25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85,056</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704,762</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(22,736)</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767,082</w:t>
            </w:r>
          </w:p>
        </w:tc>
        <w:tc>
          <w:tcPr>
            <w:tcW w:w="0" w:type="dxa"/>
            <w:vAlign w:val="bottom"/>
          </w:tcPr>
          <w:p>
            <w:pPr>
              <w:spacing w:after="0"/>
              <w:rPr>
                <w:sz w:val="1"/>
                <w:szCs w:val="1"/>
                <w:color w:val="auto"/>
              </w:rPr>
            </w:pPr>
          </w:p>
        </w:tc>
      </w:tr>
      <w:tr>
        <w:trPr>
          <w:trHeight w:val="250"/>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Cost of revenues</w:t>
            </w:r>
          </w:p>
        </w:tc>
        <w:tc>
          <w:tcPr>
            <w:tcW w:w="2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46,769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846,685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(9,119)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884,335</w:t>
            </w:r>
          </w:p>
        </w:tc>
        <w:tc>
          <w:tcPr>
            <w:tcW w:w="0" w:type="dxa"/>
            <w:vAlign w:val="bottom"/>
          </w:tcPr>
          <w:p>
            <w:pPr>
              <w:spacing w:after="0"/>
              <w:rPr>
                <w:sz w:val="1"/>
                <w:szCs w:val="1"/>
                <w:color w:val="auto"/>
              </w:rPr>
            </w:pPr>
          </w:p>
        </w:tc>
      </w:tr>
      <w:tr>
        <w:trPr>
          <w:trHeight w:val="27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Selling, general and administrative</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17,614</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377,196</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(13,617)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381,193</w:t>
            </w:r>
          </w:p>
        </w:tc>
        <w:tc>
          <w:tcPr>
            <w:tcW w:w="0" w:type="dxa"/>
            <w:vAlign w:val="bottom"/>
          </w:tcPr>
          <w:p>
            <w:pPr>
              <w:spacing w:after="0"/>
              <w:rPr>
                <w:sz w:val="1"/>
                <w:szCs w:val="1"/>
                <w:color w:val="auto"/>
              </w:rPr>
            </w:pPr>
          </w:p>
        </w:tc>
      </w:tr>
      <w:tr>
        <w:trPr>
          <w:trHeight w:val="250"/>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Total operating expenses</w:t>
            </w:r>
          </w:p>
        </w:tc>
        <w:tc>
          <w:tcPr>
            <w:tcW w:w="2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64,383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1,223,881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(22,736)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1,265,528</w:t>
            </w:r>
          </w:p>
        </w:tc>
        <w:tc>
          <w:tcPr>
            <w:tcW w:w="0" w:type="dxa"/>
            <w:vAlign w:val="bottom"/>
          </w:tcPr>
          <w:p>
            <w:pPr>
              <w:spacing w:after="0"/>
              <w:rPr>
                <w:sz w:val="1"/>
                <w:szCs w:val="1"/>
                <w:color w:val="auto"/>
              </w:rPr>
            </w:pPr>
          </w:p>
        </w:tc>
      </w:tr>
      <w:tr>
        <w:trPr>
          <w:trHeight w:val="27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income (expense), net</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(538,995)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20,884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(33,710)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555,080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3,259</w:t>
            </w: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Interest expense on external borrowings</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(66,873)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(67,102)</w:t>
            </w:r>
          </w:p>
        </w:tc>
        <w:tc>
          <w:tcPr>
            <w:tcW w:w="0" w:type="dxa"/>
            <w:vAlign w:val="bottom"/>
          </w:tcPr>
          <w:p>
            <w:pPr>
              <w:spacing w:after="0"/>
              <w:rPr>
                <w:sz w:val="1"/>
                <w:szCs w:val="1"/>
                <w:color w:val="auto"/>
              </w:rPr>
            </w:pPr>
          </w:p>
        </w:tc>
      </w:tr>
      <w:tr>
        <w:trPr>
          <w:trHeight w:val="180"/>
        </w:trPr>
        <w:tc>
          <w:tcPr>
            <w:tcW w:w="35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Loss from continuing operations before income taxes</w:t>
            </w:r>
          </w:p>
        </w:tc>
        <w:tc>
          <w:tcPr>
            <w:tcW w:w="24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5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(benefit)</w:t>
            </w: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(538,995)</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(25,316)</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(553,058)</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555,080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(562,289)</w:t>
            </w: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Income taxes (benefit)</w:t>
            </w:r>
          </w:p>
        </w:tc>
        <w:tc>
          <w:tcPr>
            <w:tcW w:w="240" w:type="dxa"/>
            <w:vAlign w:val="bottom"/>
          </w:tcPr>
          <w:p>
            <w:pPr>
              <w:spacing w:after="0"/>
              <w:rPr>
                <w:sz w:val="22"/>
                <w:szCs w:val="22"/>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(9,217)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9,987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(44,004)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(43,234)</w:t>
            </w:r>
          </w:p>
        </w:tc>
        <w:tc>
          <w:tcPr>
            <w:tcW w:w="0" w:type="dxa"/>
            <w:vAlign w:val="bottom"/>
          </w:tcPr>
          <w:p>
            <w:pPr>
              <w:spacing w:after="0"/>
              <w:rPr>
                <w:sz w:val="1"/>
                <w:szCs w:val="1"/>
                <w:color w:val="auto"/>
              </w:rPr>
            </w:pPr>
          </w:p>
        </w:tc>
      </w:tr>
      <w:tr>
        <w:trPr>
          <w:trHeight w:val="256"/>
        </w:trPr>
        <w:tc>
          <w:tcPr>
            <w:tcW w:w="35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loss from continuing operations</w:t>
            </w:r>
          </w:p>
        </w:tc>
        <w:tc>
          <w:tcPr>
            <w:tcW w:w="24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(529,778)</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(35,303)</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(509,054)</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555,080</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(519,055)</w:t>
            </w: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Net loss from discontinued operations</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(10,721)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(10,723)</w:t>
            </w:r>
          </w:p>
        </w:tc>
        <w:tc>
          <w:tcPr>
            <w:tcW w:w="0" w:type="dxa"/>
            <w:vAlign w:val="bottom"/>
          </w:tcPr>
          <w:p>
            <w:pPr>
              <w:spacing w:after="0"/>
              <w:rPr>
                <w:sz w:val="1"/>
                <w:szCs w:val="1"/>
                <w:color w:val="auto"/>
              </w:rPr>
            </w:pPr>
          </w:p>
        </w:tc>
      </w:tr>
      <w:tr>
        <w:trPr>
          <w:trHeight w:val="256"/>
        </w:trPr>
        <w:tc>
          <w:tcPr>
            <w:tcW w:w="35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24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(529,778)</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(46,024)</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(509,056)</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555,080</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(529,778)</w:t>
            </w: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Other comprehensive income</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5,925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5,925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(5,925)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5,925</w:t>
            </w:r>
          </w:p>
        </w:tc>
        <w:tc>
          <w:tcPr>
            <w:tcW w:w="0" w:type="dxa"/>
            <w:vAlign w:val="bottom"/>
          </w:tcPr>
          <w:p>
            <w:pPr>
              <w:spacing w:after="0"/>
              <w:rPr>
                <w:sz w:val="1"/>
                <w:szCs w:val="1"/>
                <w:color w:val="auto"/>
              </w:rPr>
            </w:pPr>
          </w:p>
        </w:tc>
      </w:tr>
      <w:tr>
        <w:trPr>
          <w:trHeight w:val="250"/>
        </w:trPr>
        <w:tc>
          <w:tcPr>
            <w:tcW w:w="35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Comprehensive loss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(523,853)</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(46,024)</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(503,131)</w:t>
            </w: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549,155</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(523,853)</w:t>
            </w:r>
          </w:p>
        </w:tc>
        <w:tc>
          <w:tcPr>
            <w:tcW w:w="0" w:type="dxa"/>
            <w:vAlign w:val="bottom"/>
          </w:tcPr>
          <w:p>
            <w:pPr>
              <w:spacing w:after="0"/>
              <w:rPr>
                <w:sz w:val="1"/>
                <w:szCs w:val="1"/>
                <w:color w:val="auto"/>
              </w:rPr>
            </w:pPr>
          </w:p>
        </w:tc>
      </w:tr>
      <w:tr>
        <w:trPr>
          <w:trHeight w:val="121"/>
        </w:trPr>
        <w:tc>
          <w:tcPr>
            <w:tcW w:w="34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23177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1775" cy="13716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120"/>
        <w:spacing w:after="0"/>
        <w:tabs>
          <w:tab w:leader="none" w:pos="380" w:val="left"/>
        </w:tabs>
        <w:rPr>
          <w:sz w:val="20"/>
          <w:szCs w:val="20"/>
          <w:color w:val="auto"/>
        </w:rPr>
      </w:pPr>
      <w:r>
        <w:rPr>
          <w:rFonts w:ascii="Arial" w:cs="Arial" w:eastAsia="Arial" w:hAnsi="Arial"/>
          <w:sz w:val="14"/>
          <w:szCs w:val="14"/>
          <w:color w:val="FFFFFF"/>
          <w:highlight w:val="black"/>
        </w:rPr>
        <w:t>20</w:t>
      </w:r>
      <w:r>
        <w:rPr>
          <w:rFonts w:ascii="Arial" w:cs="Arial" w:eastAsia="Arial" w:hAnsi="Arial"/>
          <w:sz w:val="14"/>
          <w:szCs w:val="14"/>
          <w:color w:val="auto"/>
        </w:rPr>
        <w:tab/>
        <w:t xml:space="preserve">Q3 FY2019 Form 10-Q | </w:t>
      </w:r>
      <w:r>
        <w:rPr>
          <w:rFonts w:ascii="Arial" w:cs="Arial" w:eastAsia="Arial" w:hAnsi="Arial"/>
          <w:sz w:val="14"/>
          <w:szCs w:val="14"/>
          <w:b w:val="1"/>
          <w:bCs w:val="1"/>
          <w:color w:val="auto"/>
        </w:rPr>
        <w:t>H&amp;R Block, Inc.</w:t>
      </w:r>
    </w:p>
    <w:p>
      <w:pPr>
        <w:sectPr>
          <w:pgSz w:w="11900" w:h="16838" w:orient="portrait"/>
          <w:cols w:equalWidth="0" w:num="1">
            <w:col w:w="11420"/>
          </w:cols>
          <w:pgMar w:left="240" w:top="249"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42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CONDENSED CONSOLIDATING BALANCE SHEETS</w:t>
            </w:r>
          </w:p>
        </w:tc>
        <w:tc>
          <w:tcPr>
            <w:tcW w:w="3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193"/>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H&amp;R Block, Inc.</w:t>
            </w:r>
          </w:p>
        </w:tc>
        <w:tc>
          <w:tcPr>
            <w:tcW w:w="300" w:type="dxa"/>
            <w:vAlign w:val="bottom"/>
          </w:tcPr>
          <w:p>
            <w:pPr>
              <w:spacing w:after="0"/>
              <w:rPr>
                <w:sz w:val="16"/>
                <w:szCs w:val="16"/>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Block Financial</w:t>
            </w:r>
          </w:p>
        </w:tc>
        <w:tc>
          <w:tcPr>
            <w:tcW w:w="32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78"/>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As of January 31, 2019</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(Guarantor)</w:t>
            </w:r>
          </w:p>
        </w:tc>
        <w:tc>
          <w:tcPr>
            <w:tcW w:w="1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(Issuer)</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Subsidiaries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H&amp;R Block</w:t>
            </w:r>
          </w:p>
        </w:tc>
        <w:tc>
          <w:tcPr>
            <w:tcW w:w="0" w:type="dxa"/>
            <w:vAlign w:val="bottom"/>
          </w:tcPr>
          <w:p>
            <w:pPr>
              <w:spacing w:after="0"/>
              <w:rPr>
                <w:sz w:val="1"/>
                <w:szCs w:val="1"/>
                <w:color w:val="auto"/>
              </w:rPr>
            </w:pPr>
          </w:p>
        </w:tc>
      </w:tr>
      <w:tr>
        <w:trPr>
          <w:trHeight w:val="25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&amp; cash equivalents</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4,722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198,504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203,226</w:t>
            </w:r>
          </w:p>
        </w:tc>
        <w:tc>
          <w:tcPr>
            <w:tcW w:w="0" w:type="dxa"/>
            <w:vAlign w:val="bottom"/>
          </w:tcPr>
          <w:p>
            <w:pPr>
              <w:spacing w:after="0"/>
              <w:rPr>
                <w:sz w:val="1"/>
                <w:szCs w:val="1"/>
                <w:color w:val="auto"/>
              </w:rPr>
            </w:pP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Cash &amp; cash equivalents - restricted</w:t>
            </w:r>
          </w:p>
        </w:tc>
        <w:tc>
          <w:tcPr>
            <w:tcW w:w="300" w:type="dxa"/>
            <w:vAlign w:val="bottom"/>
          </w:tcPr>
          <w:p>
            <w:pPr>
              <w:spacing w:after="0"/>
              <w:rPr>
                <w:sz w:val="22"/>
                <w:szCs w:val="22"/>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101,903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101,903</w:t>
            </w:r>
          </w:p>
        </w:tc>
        <w:tc>
          <w:tcPr>
            <w:tcW w:w="0" w:type="dxa"/>
            <w:vAlign w:val="bottom"/>
          </w:tcPr>
          <w:p>
            <w:pPr>
              <w:spacing w:after="0"/>
              <w:rPr>
                <w:sz w:val="1"/>
                <w:szCs w:val="1"/>
                <w:color w:val="auto"/>
              </w:rPr>
            </w:pPr>
          </w:p>
        </w:tc>
      </w:tr>
      <w:tr>
        <w:trPr>
          <w:trHeight w:val="27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Receivables, net</w:t>
            </w:r>
          </w:p>
        </w:tc>
        <w:tc>
          <w:tcPr>
            <w:tcW w:w="30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392,257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365,960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758,217</w:t>
            </w:r>
          </w:p>
        </w:tc>
        <w:tc>
          <w:tcPr>
            <w:tcW w:w="0" w:type="dxa"/>
            <w:vAlign w:val="bottom"/>
          </w:tcPr>
          <w:p>
            <w:pPr>
              <w:spacing w:after="0"/>
              <w:rPr>
                <w:sz w:val="1"/>
                <w:szCs w:val="1"/>
                <w:color w:val="auto"/>
              </w:rPr>
            </w:pP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Income taxes receivable</w:t>
            </w:r>
          </w:p>
        </w:tc>
        <w:tc>
          <w:tcPr>
            <w:tcW w:w="3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2,811</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33,675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36,486</w:t>
            </w:r>
          </w:p>
        </w:tc>
        <w:tc>
          <w:tcPr>
            <w:tcW w:w="0" w:type="dxa"/>
            <w:vAlign w:val="bottom"/>
          </w:tcPr>
          <w:p>
            <w:pPr>
              <w:spacing w:after="0"/>
              <w:rPr>
                <w:sz w:val="1"/>
                <w:szCs w:val="1"/>
                <w:color w:val="auto"/>
              </w:rPr>
            </w:pPr>
          </w:p>
        </w:tc>
      </w:tr>
      <w:tr>
        <w:trPr>
          <w:trHeight w:val="270"/>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2,637</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132,183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134,820</w:t>
            </w:r>
          </w:p>
        </w:tc>
        <w:tc>
          <w:tcPr>
            <w:tcW w:w="0" w:type="dxa"/>
            <w:vAlign w:val="bottom"/>
          </w:tcPr>
          <w:p>
            <w:pPr>
              <w:spacing w:after="0"/>
              <w:rPr>
                <w:sz w:val="1"/>
                <w:szCs w:val="1"/>
                <w:color w:val="auto"/>
              </w:rPr>
            </w:pPr>
          </w:p>
        </w:tc>
      </w:tr>
      <w:tr>
        <w:trPr>
          <w:trHeight w:val="250"/>
        </w:trPr>
        <w:tc>
          <w:tcPr>
            <w:tcW w:w="3660" w:type="dxa"/>
            <w:vAlign w:val="bottom"/>
            <w:gridSpan w:val="2"/>
          </w:tcPr>
          <w:p>
            <w:pPr>
              <w:ind w:left="180"/>
              <w:spacing w:after="0"/>
              <w:rPr>
                <w:sz w:val="20"/>
                <w:szCs w:val="20"/>
                <w:color w:val="auto"/>
              </w:rPr>
            </w:pPr>
            <w:r>
              <w:rPr>
                <w:rFonts w:ascii="Arial" w:cs="Arial" w:eastAsia="Arial" w:hAnsi="Arial"/>
                <w:sz w:val="14"/>
                <w:szCs w:val="14"/>
                <w:color w:val="auto"/>
              </w:rPr>
              <w:t>Total current assets</w:t>
            </w:r>
          </w:p>
        </w:tc>
        <w:tc>
          <w:tcPr>
            <w:tcW w:w="300" w:type="dxa"/>
            <w:vAlign w:val="bottom"/>
          </w:tcPr>
          <w:p>
            <w:pPr>
              <w:spacing w:after="0"/>
              <w:rPr>
                <w:sz w:val="21"/>
                <w:szCs w:val="21"/>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2,811</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b w:val="1"/>
                <w:bCs w:val="1"/>
                <w:color w:val="auto"/>
              </w:rPr>
              <w:t>399,616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832,225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1,234,652</w:t>
            </w:r>
          </w:p>
        </w:tc>
        <w:tc>
          <w:tcPr>
            <w:tcW w:w="0" w:type="dxa"/>
            <w:vAlign w:val="bottom"/>
          </w:tcPr>
          <w:p>
            <w:pPr>
              <w:spacing w:after="0"/>
              <w:rPr>
                <w:sz w:val="1"/>
                <w:szCs w:val="1"/>
                <w:color w:val="auto"/>
              </w:rPr>
            </w:pPr>
          </w:p>
        </w:tc>
      </w:tr>
      <w:tr>
        <w:trPr>
          <w:trHeight w:val="27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30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466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220,039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220,505</w:t>
            </w:r>
          </w:p>
        </w:tc>
        <w:tc>
          <w:tcPr>
            <w:tcW w:w="0" w:type="dxa"/>
            <w:vAlign w:val="bottom"/>
          </w:tcPr>
          <w:p>
            <w:pPr>
              <w:spacing w:after="0"/>
              <w:rPr>
                <w:sz w:val="1"/>
                <w:szCs w:val="1"/>
                <w:color w:val="auto"/>
              </w:rPr>
            </w:pP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Intangible assets, net</w:t>
            </w:r>
          </w:p>
        </w:tc>
        <w:tc>
          <w:tcPr>
            <w:tcW w:w="300" w:type="dxa"/>
            <w:vAlign w:val="bottom"/>
          </w:tcPr>
          <w:p>
            <w:pPr>
              <w:spacing w:after="0"/>
              <w:rPr>
                <w:sz w:val="22"/>
                <w:szCs w:val="22"/>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356,952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356,952</w:t>
            </w:r>
          </w:p>
        </w:tc>
        <w:tc>
          <w:tcPr>
            <w:tcW w:w="0" w:type="dxa"/>
            <w:vAlign w:val="bottom"/>
          </w:tcPr>
          <w:p>
            <w:pPr>
              <w:spacing w:after="0"/>
              <w:rPr>
                <w:sz w:val="1"/>
                <w:szCs w:val="1"/>
                <w:color w:val="auto"/>
              </w:rPr>
            </w:pPr>
          </w:p>
        </w:tc>
      </w:tr>
      <w:tr>
        <w:trPr>
          <w:trHeight w:val="27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30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520,005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520,005</w:t>
            </w:r>
          </w:p>
        </w:tc>
        <w:tc>
          <w:tcPr>
            <w:tcW w:w="0" w:type="dxa"/>
            <w:vAlign w:val="bottom"/>
          </w:tcPr>
          <w:p>
            <w:pPr>
              <w:spacing w:after="0"/>
              <w:rPr>
                <w:sz w:val="1"/>
                <w:szCs w:val="1"/>
                <w:color w:val="auto"/>
              </w:rPr>
            </w:pP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Deferred tax assets and income taxes receivable</w:t>
            </w:r>
          </w:p>
        </w:tc>
        <w:tc>
          <w:tcPr>
            <w:tcW w:w="3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1,794</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b w:val="1"/>
                <w:bCs w:val="1"/>
                <w:color w:val="auto"/>
              </w:rPr>
              <w:t>17,941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121,631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141,366</w:t>
            </w:r>
          </w:p>
        </w:tc>
        <w:tc>
          <w:tcPr>
            <w:tcW w:w="0" w:type="dxa"/>
            <w:vAlign w:val="bottom"/>
          </w:tcPr>
          <w:p>
            <w:pPr>
              <w:spacing w:after="0"/>
              <w:rPr>
                <w:sz w:val="1"/>
                <w:szCs w:val="1"/>
                <w:color w:val="auto"/>
              </w:rPr>
            </w:pPr>
          </w:p>
        </w:tc>
      </w:tr>
      <w:tr>
        <w:trPr>
          <w:trHeight w:val="27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Investments in subsidiaries</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2,485,857</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102,763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(2,588,620)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Amounts due from affiliates</w:t>
            </w:r>
          </w:p>
        </w:tc>
        <w:tc>
          <w:tcPr>
            <w:tcW w:w="300" w:type="dxa"/>
            <w:vAlign w:val="bottom"/>
          </w:tcPr>
          <w:p>
            <w:pPr>
              <w:spacing w:after="0"/>
              <w:rPr>
                <w:sz w:val="22"/>
                <w:szCs w:val="22"/>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b w:val="1"/>
                <w:bCs w:val="1"/>
                <w:color w:val="auto"/>
              </w:rPr>
              <w:t>1,559,416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2,679,945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(4,239,361)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0"/>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noncurrent assets</w:t>
            </w:r>
          </w:p>
        </w:tc>
        <w:tc>
          <w:tcPr>
            <w:tcW w:w="30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57,230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38,096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95,326</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Total assets</w:t>
            </w:r>
          </w:p>
        </w:tc>
        <w:tc>
          <w:tcPr>
            <w:tcW w:w="3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2,490,462</w:t>
            </w:r>
          </w:p>
        </w:tc>
        <w:tc>
          <w:tcPr>
            <w:tcW w:w="14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2,034,669</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4,871,656</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(6,827,981)</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2,568,806</w:t>
            </w:r>
          </w:p>
        </w:tc>
        <w:tc>
          <w:tcPr>
            <w:tcW w:w="0" w:type="dxa"/>
            <w:vAlign w:val="bottom"/>
          </w:tcPr>
          <w:p>
            <w:pPr>
              <w:spacing w:after="0"/>
              <w:rPr>
                <w:sz w:val="1"/>
                <w:szCs w:val="1"/>
                <w:color w:val="auto"/>
              </w:rPr>
            </w:pPr>
          </w:p>
        </w:tc>
      </w:tr>
      <w:tr>
        <w:trPr>
          <w:trHeight w:val="121"/>
        </w:trPr>
        <w:tc>
          <w:tcPr>
            <w:tcW w:w="3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Accounts payable and accrued expenses</w:t>
            </w:r>
          </w:p>
        </w:tc>
        <w:tc>
          <w:tcPr>
            <w:tcW w:w="30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14,823</w:t>
            </w:r>
          </w:p>
        </w:tc>
        <w:tc>
          <w:tcPr>
            <w:tcW w:w="14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68"/>
              <w:spacing w:after="0"/>
              <w:rPr>
                <w:sz w:val="20"/>
                <w:szCs w:val="20"/>
                <w:color w:val="auto"/>
              </w:rPr>
            </w:pPr>
            <w:r>
              <w:rPr>
                <w:rFonts w:ascii="Arial" w:cs="Arial" w:eastAsia="Arial" w:hAnsi="Arial"/>
                <w:sz w:val="14"/>
                <w:szCs w:val="14"/>
                <w:b w:val="1"/>
                <w:bCs w:val="1"/>
                <w:color w:val="auto"/>
              </w:rPr>
              <w:t>18,475</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168,803</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202,101</w:t>
            </w:r>
          </w:p>
        </w:tc>
        <w:tc>
          <w:tcPr>
            <w:tcW w:w="0" w:type="dxa"/>
            <w:vAlign w:val="bottom"/>
          </w:tcPr>
          <w:p>
            <w:pPr>
              <w:spacing w:after="0"/>
              <w:rPr>
                <w:sz w:val="1"/>
                <w:szCs w:val="1"/>
                <w:color w:val="auto"/>
              </w:rPr>
            </w:pPr>
          </w:p>
        </w:tc>
      </w:tr>
      <w:tr>
        <w:trPr>
          <w:trHeight w:val="27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Accrued salaries, wages and payroll taxes</w:t>
            </w:r>
          </w:p>
        </w:tc>
        <w:tc>
          <w:tcPr>
            <w:tcW w:w="30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1,333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139,569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140,902</w:t>
            </w:r>
          </w:p>
        </w:tc>
        <w:tc>
          <w:tcPr>
            <w:tcW w:w="0" w:type="dxa"/>
            <w:vAlign w:val="bottom"/>
          </w:tcPr>
          <w:p>
            <w:pPr>
              <w:spacing w:after="0"/>
              <w:rPr>
                <w:sz w:val="1"/>
                <w:szCs w:val="1"/>
                <w:color w:val="auto"/>
              </w:rPr>
            </w:pPr>
          </w:p>
        </w:tc>
      </w:tr>
      <w:tr>
        <w:trPr>
          <w:trHeight w:val="194"/>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Accrued income taxes and reserves for uncertain tax</w:t>
            </w:r>
          </w:p>
        </w:tc>
        <w:tc>
          <w:tcPr>
            <w:tcW w:w="300" w:type="dxa"/>
            <w:vAlign w:val="bottom"/>
          </w:tcPr>
          <w:p>
            <w:pPr>
              <w:spacing w:after="0"/>
              <w:rPr>
                <w:sz w:val="16"/>
                <w:szCs w:val="16"/>
                <w:color w:val="auto"/>
              </w:rPr>
            </w:pPr>
          </w:p>
        </w:tc>
        <w:tc>
          <w:tcPr>
            <w:tcW w:w="14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13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1,060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47,949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49,009</w:t>
            </w:r>
          </w:p>
        </w:tc>
        <w:tc>
          <w:tcPr>
            <w:tcW w:w="0" w:type="dxa"/>
            <w:vAlign w:val="bottom"/>
          </w:tcPr>
          <w:p>
            <w:pPr>
              <w:spacing w:after="0"/>
              <w:rPr>
                <w:sz w:val="1"/>
                <w:szCs w:val="1"/>
                <w:color w:val="auto"/>
              </w:rPr>
            </w:pPr>
          </w:p>
        </w:tc>
      </w:tr>
      <w:tr>
        <w:trPr>
          <w:trHeight w:val="178"/>
        </w:trPr>
        <w:tc>
          <w:tcPr>
            <w:tcW w:w="3660" w:type="dxa"/>
            <w:vAlign w:val="bottom"/>
            <w:gridSpan w:val="2"/>
          </w:tcPr>
          <w:p>
            <w:pPr>
              <w:ind w:left="200"/>
              <w:spacing w:after="0"/>
              <w:rPr>
                <w:sz w:val="20"/>
                <w:szCs w:val="20"/>
                <w:color w:val="auto"/>
              </w:rPr>
            </w:pPr>
            <w:r>
              <w:rPr>
                <w:rFonts w:ascii="Arial" w:cs="Arial" w:eastAsia="Arial" w:hAnsi="Arial"/>
                <w:sz w:val="14"/>
                <w:szCs w:val="14"/>
                <w:color w:val="auto"/>
              </w:rPr>
              <w:t>positions</w:t>
            </w:r>
          </w:p>
        </w:tc>
        <w:tc>
          <w:tcPr>
            <w:tcW w:w="30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revenue and other current liabilities</w:t>
            </w:r>
          </w:p>
        </w:tc>
        <w:tc>
          <w:tcPr>
            <w:tcW w:w="3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28,441</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167,193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195,634</w:t>
            </w:r>
          </w:p>
        </w:tc>
        <w:tc>
          <w:tcPr>
            <w:tcW w:w="0" w:type="dxa"/>
            <w:vAlign w:val="bottom"/>
          </w:tcPr>
          <w:p>
            <w:pPr>
              <w:spacing w:after="0"/>
              <w:rPr>
                <w:sz w:val="1"/>
                <w:szCs w:val="1"/>
                <w:color w:val="auto"/>
              </w:rPr>
            </w:pPr>
          </w:p>
        </w:tc>
      </w:tr>
      <w:tr>
        <w:trPr>
          <w:trHeight w:val="250"/>
        </w:trPr>
        <w:tc>
          <w:tcPr>
            <w:tcW w:w="3660" w:type="dxa"/>
            <w:vAlign w:val="bottom"/>
            <w:gridSpan w:val="2"/>
          </w:tcPr>
          <w:p>
            <w:pPr>
              <w:ind w:left="180"/>
              <w:spacing w:after="0"/>
              <w:rPr>
                <w:sz w:val="20"/>
                <w:szCs w:val="20"/>
                <w:color w:val="auto"/>
              </w:rPr>
            </w:pPr>
            <w:r>
              <w:rPr>
                <w:rFonts w:ascii="Arial" w:cs="Arial" w:eastAsia="Arial" w:hAnsi="Arial"/>
                <w:sz w:val="14"/>
                <w:szCs w:val="14"/>
                <w:color w:val="auto"/>
              </w:rPr>
              <w:t>Total current liabilities</w:t>
            </w:r>
          </w:p>
        </w:tc>
        <w:tc>
          <w:tcPr>
            <w:tcW w:w="300" w:type="dxa"/>
            <w:vAlign w:val="bottom"/>
          </w:tcPr>
          <w:p>
            <w:pPr>
              <w:spacing w:after="0"/>
              <w:rPr>
                <w:sz w:val="21"/>
                <w:szCs w:val="21"/>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14,823</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b w:val="1"/>
                <w:bCs w:val="1"/>
                <w:color w:val="auto"/>
              </w:rPr>
              <w:t>49,309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523,514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587,646</w:t>
            </w:r>
          </w:p>
        </w:tc>
        <w:tc>
          <w:tcPr>
            <w:tcW w:w="0" w:type="dxa"/>
            <w:vAlign w:val="bottom"/>
          </w:tcPr>
          <w:p>
            <w:pPr>
              <w:spacing w:after="0"/>
              <w:rPr>
                <w:sz w:val="1"/>
                <w:szCs w:val="1"/>
                <w:color w:val="auto"/>
              </w:rPr>
            </w:pPr>
          </w:p>
        </w:tc>
      </w:tr>
      <w:tr>
        <w:trPr>
          <w:trHeight w:val="27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Long-term debt and line of credit borrowings</w:t>
            </w:r>
          </w:p>
        </w:tc>
        <w:tc>
          <w:tcPr>
            <w:tcW w:w="30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1,876,989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1,876,989</w:t>
            </w:r>
          </w:p>
        </w:tc>
        <w:tc>
          <w:tcPr>
            <w:tcW w:w="0" w:type="dxa"/>
            <w:vAlign w:val="bottom"/>
          </w:tcPr>
          <w:p>
            <w:pPr>
              <w:spacing w:after="0"/>
              <w:rPr>
                <w:sz w:val="1"/>
                <w:szCs w:val="1"/>
                <w:color w:val="auto"/>
              </w:rPr>
            </w:pPr>
          </w:p>
        </w:tc>
      </w:tr>
      <w:tr>
        <w:trPr>
          <w:trHeight w:val="194"/>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Deferred tax liabilities and reserves for uncertain tax</w:t>
            </w:r>
          </w:p>
        </w:tc>
        <w:tc>
          <w:tcPr>
            <w:tcW w:w="3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9,285</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3,989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200,943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214,217</w:t>
            </w:r>
          </w:p>
        </w:tc>
        <w:tc>
          <w:tcPr>
            <w:tcW w:w="0" w:type="dxa"/>
            <w:vAlign w:val="bottom"/>
          </w:tcPr>
          <w:p>
            <w:pPr>
              <w:spacing w:after="0"/>
              <w:rPr>
                <w:sz w:val="1"/>
                <w:szCs w:val="1"/>
                <w:color w:val="auto"/>
              </w:rPr>
            </w:pPr>
          </w:p>
        </w:tc>
      </w:tr>
      <w:tr>
        <w:trPr>
          <w:trHeight w:val="178"/>
        </w:trPr>
        <w:tc>
          <w:tcPr>
            <w:tcW w:w="3660" w:type="dxa"/>
            <w:vAlign w:val="bottom"/>
            <w:gridSpan w:val="2"/>
          </w:tcPr>
          <w:p>
            <w:pPr>
              <w:ind w:left="200"/>
              <w:spacing w:after="0"/>
              <w:rPr>
                <w:sz w:val="20"/>
                <w:szCs w:val="20"/>
                <w:color w:val="auto"/>
              </w:rPr>
            </w:pPr>
            <w:r>
              <w:rPr>
                <w:rFonts w:ascii="Arial" w:cs="Arial" w:eastAsia="Arial" w:hAnsi="Arial"/>
                <w:sz w:val="14"/>
                <w:szCs w:val="14"/>
                <w:color w:val="auto"/>
              </w:rPr>
              <w:t>positions</w:t>
            </w:r>
          </w:p>
        </w:tc>
        <w:tc>
          <w:tcPr>
            <w:tcW w:w="3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revenue and other noncurrent liabilities</w:t>
            </w:r>
          </w:p>
        </w:tc>
        <w:tc>
          <w:tcPr>
            <w:tcW w:w="30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1,619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101,926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103,545</w:t>
            </w:r>
          </w:p>
        </w:tc>
        <w:tc>
          <w:tcPr>
            <w:tcW w:w="0" w:type="dxa"/>
            <w:vAlign w:val="bottom"/>
          </w:tcPr>
          <w:p>
            <w:pPr>
              <w:spacing w:after="0"/>
              <w:rPr>
                <w:sz w:val="1"/>
                <w:szCs w:val="1"/>
                <w:color w:val="auto"/>
              </w:rPr>
            </w:pP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Amounts due to affiliates</w:t>
            </w:r>
          </w:p>
        </w:tc>
        <w:tc>
          <w:tcPr>
            <w:tcW w:w="3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2,679,945</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1,559,416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(4,239,361)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66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liabilities</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2,704,053</w:t>
            </w:r>
          </w:p>
        </w:tc>
        <w:tc>
          <w:tcPr>
            <w:tcW w:w="14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1,931,906</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2,385,799</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(4,239,361)</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2,782,397</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Stockholders' equity (deficiency)</w:t>
            </w:r>
          </w:p>
        </w:tc>
        <w:tc>
          <w:tcPr>
            <w:tcW w:w="3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(213,591)</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102,763</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2,485,857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(2,588,620)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(213,591)</w:t>
            </w:r>
          </w:p>
        </w:tc>
        <w:tc>
          <w:tcPr>
            <w:tcW w:w="0" w:type="dxa"/>
            <w:vAlign w:val="bottom"/>
          </w:tcPr>
          <w:p>
            <w:pPr>
              <w:spacing w:after="0"/>
              <w:rPr>
                <w:sz w:val="1"/>
                <w:szCs w:val="1"/>
                <w:color w:val="auto"/>
              </w:rPr>
            </w:pPr>
          </w:p>
        </w:tc>
      </w:tr>
      <w:tr>
        <w:trPr>
          <w:trHeight w:val="250"/>
        </w:trPr>
        <w:tc>
          <w:tcPr>
            <w:tcW w:w="3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 liabilities and stockholders' equity</w:t>
            </w: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2,490,462</w:t>
            </w:r>
          </w:p>
        </w:tc>
        <w:tc>
          <w:tcPr>
            <w:tcW w:w="1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2,034,669</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4,871,656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(6,827,981)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2,568,806</w:t>
            </w:r>
          </w:p>
        </w:tc>
        <w:tc>
          <w:tcPr>
            <w:tcW w:w="0" w:type="dxa"/>
            <w:vAlign w:val="bottom"/>
          </w:tcPr>
          <w:p>
            <w:pPr>
              <w:spacing w:after="0"/>
              <w:rPr>
                <w:sz w:val="1"/>
                <w:szCs w:val="1"/>
                <w:color w:val="auto"/>
              </w:rPr>
            </w:pPr>
          </w:p>
        </w:tc>
      </w:tr>
      <w:tr>
        <w:trPr>
          <w:trHeight w:val="121"/>
        </w:trPr>
        <w:tc>
          <w:tcPr>
            <w:tcW w:w="3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514350</wp:posOffset>
            </wp:positionV>
            <wp:extent cx="22288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380"/>
        <w:spacing w:after="0"/>
        <w:tabs>
          <w:tab w:leader="none" w:pos="1114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FY2019 Form 10-Q</w:t>
      </w:r>
      <w:r>
        <w:rPr>
          <w:sz w:val="20"/>
          <w:szCs w:val="20"/>
          <w:color w:val="auto"/>
        </w:rPr>
        <w:tab/>
      </w:r>
      <w:r>
        <w:rPr>
          <w:rFonts w:ascii="Arial" w:cs="Arial" w:eastAsia="Arial" w:hAnsi="Arial"/>
          <w:sz w:val="14"/>
          <w:szCs w:val="14"/>
          <w:color w:val="FFFFFF"/>
          <w:highlight w:val="black"/>
        </w:rPr>
        <w:t>21</w:t>
      </w:r>
    </w:p>
    <w:p>
      <w:pPr>
        <w:sectPr>
          <w:pgSz w:w="11900" w:h="16838" w:orient="portrait"/>
          <w:cols w:equalWidth="0" w:num="1">
            <w:col w:w="11420"/>
          </w:cols>
          <w:pgMar w:left="240" w:top="249"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28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CONDENSED CONSOLIDATING BALANCE SHEETS</w:t>
            </w: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r>
      <w:tr>
        <w:trPr>
          <w:trHeight w:val="193"/>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H&amp;R Block, Inc.</w:t>
            </w:r>
          </w:p>
        </w:tc>
        <w:tc>
          <w:tcPr>
            <w:tcW w:w="320" w:type="dxa"/>
            <w:vAlign w:val="bottom"/>
          </w:tcPr>
          <w:p>
            <w:pPr>
              <w:spacing w:after="0"/>
              <w:rPr>
                <w:sz w:val="16"/>
                <w:szCs w:val="16"/>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Block Financial</w:t>
            </w:r>
          </w:p>
        </w:tc>
        <w:tc>
          <w:tcPr>
            <w:tcW w:w="38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Consolidated</w:t>
            </w:r>
          </w:p>
        </w:tc>
      </w:tr>
      <w:tr>
        <w:trPr>
          <w:trHeight w:val="178"/>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As of January 31, 2018</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(Guarantor)</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(Issuer)</w:t>
            </w:r>
          </w:p>
        </w:tc>
        <w:tc>
          <w:tcPr>
            <w:tcW w:w="1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Subsidiaries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H&amp;R Block</w:t>
            </w:r>
          </w:p>
        </w:tc>
      </w:tr>
      <w:tr>
        <w:trPr>
          <w:trHeight w:val="25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&amp; cash equivalents</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4,475</w:t>
            </w:r>
          </w:p>
        </w:tc>
        <w:tc>
          <w:tcPr>
            <w:tcW w:w="14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182,891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187,366</w:t>
            </w: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Cash &amp; cash equivalents - restricted</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83,033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83,033</w:t>
            </w:r>
          </w:p>
        </w:tc>
      </w:tr>
      <w:tr>
        <w:trPr>
          <w:trHeight w:val="27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Receivables, net</w:t>
            </w:r>
          </w:p>
        </w:tc>
        <w:tc>
          <w:tcPr>
            <w:tcW w:w="2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396,046</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395,572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791,618</w:t>
            </w: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Income taxes receivable</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3,250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69,525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72,775</w:t>
            </w:r>
          </w:p>
        </w:tc>
      </w:tr>
      <w:tr>
        <w:trPr>
          <w:trHeight w:val="270"/>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2,908</w:t>
            </w:r>
          </w:p>
        </w:tc>
        <w:tc>
          <w:tcPr>
            <w:tcW w:w="14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146,441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149,349</w:t>
            </w:r>
          </w:p>
        </w:tc>
      </w:tr>
      <w:tr>
        <w:trPr>
          <w:trHeight w:val="250"/>
        </w:trPr>
        <w:tc>
          <w:tcPr>
            <w:tcW w:w="3660" w:type="dxa"/>
            <w:vAlign w:val="bottom"/>
            <w:gridSpan w:val="2"/>
          </w:tcPr>
          <w:p>
            <w:pPr>
              <w:ind w:left="180"/>
              <w:spacing w:after="0"/>
              <w:rPr>
                <w:sz w:val="20"/>
                <w:szCs w:val="20"/>
                <w:color w:val="auto"/>
              </w:rPr>
            </w:pPr>
            <w:r>
              <w:rPr>
                <w:rFonts w:ascii="Arial" w:cs="Arial" w:eastAsia="Arial" w:hAnsi="Arial"/>
                <w:sz w:val="14"/>
                <w:szCs w:val="14"/>
                <w:color w:val="auto"/>
              </w:rPr>
              <w:t>Total current assets</w:t>
            </w:r>
          </w:p>
        </w:tc>
        <w:tc>
          <w:tcPr>
            <w:tcW w:w="240" w:type="dxa"/>
            <w:vAlign w:val="bottom"/>
          </w:tcPr>
          <w:p>
            <w:pPr>
              <w:spacing w:after="0"/>
              <w:rPr>
                <w:sz w:val="21"/>
                <w:szCs w:val="21"/>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3,250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403,429</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877,462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1,284,141</w:t>
            </w:r>
          </w:p>
        </w:tc>
      </w:tr>
      <w:tr>
        <w:trPr>
          <w:trHeight w:val="27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2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814</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249,097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249,911</w:t>
            </w: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Intangible assets, net</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390,993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390,993</w:t>
            </w:r>
          </w:p>
        </w:tc>
      </w:tr>
      <w:tr>
        <w:trPr>
          <w:trHeight w:val="27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2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504,789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504,789</w:t>
            </w: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Deferred tax assets and income taxes receivable</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20,427</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4,878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25,305</w:t>
            </w:r>
          </w:p>
        </w:tc>
      </w:tr>
      <w:tr>
        <w:trPr>
          <w:trHeight w:val="27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Investments in subsidiaries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1,655,160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67,690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(1,722,850)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Amounts due from affiliates</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1,910,351</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2,335,670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(4,246,021)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noncurrent assets</w:t>
            </w:r>
          </w:p>
        </w:tc>
        <w:tc>
          <w:tcPr>
            <w:tcW w:w="2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66,497</w:t>
            </w:r>
          </w:p>
        </w:tc>
        <w:tc>
          <w:tcPr>
            <w:tcW w:w="1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39,664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106,161</w:t>
            </w:r>
          </w:p>
        </w:tc>
      </w:tr>
      <w:tr>
        <w:trPr>
          <w:trHeight w:val="250"/>
        </w:trPr>
        <w:tc>
          <w:tcPr>
            <w:tcW w:w="366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Total assets</w:t>
            </w: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1,658,410</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2,401,518</w:t>
            </w:r>
          </w:p>
        </w:tc>
        <w:tc>
          <w:tcPr>
            <w:tcW w:w="14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4,470,243</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(5,968,871)</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2,561,300</w:t>
            </w:r>
          </w:p>
        </w:tc>
      </w:tr>
      <w:tr>
        <w:trPr>
          <w:trHeight w:val="121"/>
        </w:trPr>
        <w:tc>
          <w:tcPr>
            <w:tcW w:w="3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Accounts payable and accrued expenses</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2,516</w:t>
            </w:r>
          </w:p>
        </w:tc>
        <w:tc>
          <w:tcPr>
            <w:tcW w:w="120" w:type="dxa"/>
            <w:vAlign w:val="bottom"/>
          </w:tcPr>
          <w:p>
            <w:pPr>
              <w:spacing w:after="0"/>
              <w:rPr>
                <w:sz w:val="22"/>
                <w:szCs w:val="22"/>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15,514</w:t>
            </w:r>
          </w:p>
        </w:tc>
        <w:tc>
          <w:tcPr>
            <w:tcW w:w="14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145,623</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163,653</w:t>
            </w:r>
          </w:p>
        </w:tc>
      </w:tr>
      <w:tr>
        <w:trPr>
          <w:trHeight w:val="27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Accrued salaries, wages and payroll taxes</w:t>
            </w:r>
          </w:p>
        </w:tc>
        <w:tc>
          <w:tcPr>
            <w:tcW w:w="2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954</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134,672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135,626</w:t>
            </w:r>
          </w:p>
        </w:tc>
      </w:tr>
      <w:tr>
        <w:trPr>
          <w:trHeight w:val="194"/>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Accrued income taxes and reserves for uncertain tax</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78"/>
        </w:trPr>
        <w:tc>
          <w:tcPr>
            <w:tcW w:w="3660" w:type="dxa"/>
            <w:vAlign w:val="bottom"/>
            <w:gridSpan w:val="2"/>
          </w:tcPr>
          <w:p>
            <w:pPr>
              <w:ind w:left="200"/>
              <w:spacing w:after="0"/>
              <w:rPr>
                <w:sz w:val="20"/>
                <w:szCs w:val="20"/>
                <w:color w:val="auto"/>
              </w:rPr>
            </w:pPr>
            <w:r>
              <w:rPr>
                <w:rFonts w:ascii="Arial" w:cs="Arial" w:eastAsia="Arial" w:hAnsi="Arial"/>
                <w:sz w:val="14"/>
                <w:szCs w:val="14"/>
                <w:color w:val="auto"/>
              </w:rPr>
              <w:t>positions</w:t>
            </w:r>
          </w:p>
        </w:tc>
        <w:tc>
          <w:tcPr>
            <w:tcW w:w="24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164,246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164,246</w:t>
            </w:r>
          </w:p>
        </w:tc>
      </w:tr>
      <w:tr>
        <w:trPr>
          <w:trHeight w:val="27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Current portion of long-term debt</w:t>
            </w:r>
          </w:p>
        </w:tc>
        <w:tc>
          <w:tcPr>
            <w:tcW w:w="2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1,015</w:t>
            </w:r>
          </w:p>
        </w:tc>
      </w:tr>
      <w:tr>
        <w:trPr>
          <w:trHeight w:val="264"/>
        </w:trPr>
        <w:tc>
          <w:tcPr>
            <w:tcW w:w="36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Deferred revenue and other current liabilities</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29,052</w:t>
            </w:r>
          </w:p>
        </w:tc>
        <w:tc>
          <w:tcPr>
            <w:tcW w:w="1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172,936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201,988</w:t>
            </w:r>
          </w:p>
        </w:tc>
      </w:tr>
      <w:tr>
        <w:trPr>
          <w:trHeight w:val="256"/>
        </w:trPr>
        <w:tc>
          <w:tcPr>
            <w:tcW w:w="3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 current liabilities</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2,516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45,520</w:t>
            </w:r>
          </w:p>
        </w:tc>
        <w:tc>
          <w:tcPr>
            <w:tcW w:w="1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618,492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666,528</w:t>
            </w: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Long-term debt and line of credit borrowings</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2,279,368</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4,863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2,284,231</w:t>
            </w:r>
          </w:p>
        </w:tc>
      </w:tr>
      <w:tr>
        <w:trPr>
          <w:trHeight w:val="200"/>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tax liabilities and reserves for uncertain tax</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4"/>
        </w:trPr>
        <w:tc>
          <w:tcPr>
            <w:tcW w:w="3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positions</w:t>
            </w: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18,293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8,037</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175,054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201,384</w:t>
            </w: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Deferred revenue and other noncurrent liabilities</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903</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106,323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107,226</w:t>
            </w:r>
          </w:p>
        </w:tc>
      </w:tr>
      <w:tr>
        <w:trPr>
          <w:trHeight w:val="270"/>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Amounts due to affiliates</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2,335,670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1,910,351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(4,246,021)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366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Total liabilities</w:t>
            </w:r>
          </w:p>
        </w:tc>
        <w:tc>
          <w:tcPr>
            <w:tcW w:w="24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2,356,479</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2,333,828</w:t>
            </w:r>
          </w:p>
        </w:tc>
        <w:tc>
          <w:tcPr>
            <w:tcW w:w="14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2,815,083</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(4,246,021)</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3,259,369</w:t>
            </w:r>
          </w:p>
        </w:tc>
      </w:tr>
      <w:tr>
        <w:trPr>
          <w:trHeight w:val="250"/>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Stockholders' equity (deficiency)</w:t>
            </w: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(698,069)</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67,690</w:t>
            </w:r>
          </w:p>
        </w:tc>
        <w:tc>
          <w:tcPr>
            <w:tcW w:w="14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1,655,160</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(1,722,850)</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(698,069)</w:t>
            </w:r>
          </w:p>
        </w:tc>
      </w:tr>
      <w:tr>
        <w:trPr>
          <w:trHeight w:val="250"/>
        </w:trPr>
        <w:tc>
          <w:tcPr>
            <w:tcW w:w="366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Total liabilities and stockholders' equity</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1,658,410</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2,401,518</w:t>
            </w:r>
          </w:p>
        </w:tc>
        <w:tc>
          <w:tcPr>
            <w:tcW w:w="1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4,470,243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(5,968,871)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2,561,300</w:t>
            </w:r>
          </w:p>
        </w:tc>
      </w:tr>
      <w:tr>
        <w:trPr>
          <w:trHeight w:val="121"/>
        </w:trPr>
        <w:tc>
          <w:tcPr>
            <w:tcW w:w="35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26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130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120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1100" w:type="dxa"/>
            <w:vAlign w:val="bottom"/>
            <w:tcBorders>
              <w:bottom w:val="single" w:sz="8" w:color="auto"/>
            </w:tcBorders>
            <w:shd w:val="clear" w:color="auto" w:fill="CCEEFF"/>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840740</wp:posOffset>
            </wp:positionV>
            <wp:extent cx="23177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177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0" w:hanging="290"/>
        <w:spacing w:after="0"/>
        <w:tabs>
          <w:tab w:leader="none" w:pos="400" w:val="left"/>
        </w:tabs>
        <w:numPr>
          <w:ilvl w:val="0"/>
          <w:numId w:val="17"/>
        </w:numPr>
        <w:rPr>
          <w:rFonts w:ascii="Arial" w:cs="Arial" w:eastAsia="Arial" w:hAnsi="Arial"/>
          <w:sz w:val="14"/>
          <w:szCs w:val="14"/>
          <w:color w:val="FFFFFF"/>
          <w:highlight w:val="black"/>
        </w:rPr>
      </w:pPr>
      <w:r>
        <w:rPr>
          <w:rFonts w:ascii="Arial" w:cs="Arial" w:eastAsia="Arial" w:hAnsi="Arial"/>
          <w:sz w:val="14"/>
          <w:szCs w:val="14"/>
          <w:color w:val="auto"/>
        </w:rPr>
        <w:t xml:space="preserve">Q3 FY2019 Form 10-Q | </w:t>
      </w:r>
      <w:r>
        <w:rPr>
          <w:rFonts w:ascii="Arial" w:cs="Arial" w:eastAsia="Arial" w:hAnsi="Arial"/>
          <w:sz w:val="14"/>
          <w:szCs w:val="14"/>
          <w:b w:val="1"/>
          <w:bCs w:val="1"/>
          <w:color w:val="auto"/>
        </w:rPr>
        <w:t>H&amp;R Block, Inc.</w:t>
      </w:r>
    </w:p>
    <w:p>
      <w:pPr>
        <w:sectPr>
          <w:pgSz w:w="11900" w:h="16838" w:orient="portrait"/>
          <w:cols w:equalWidth="0" w:num="1">
            <w:col w:w="11420"/>
          </w:cols>
          <w:pgMar w:left="240" w:top="249"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30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CONDENSED CONSOLIDATING BALANCE SHEETS</w:t>
            </w: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r>
      <w:tr>
        <w:trPr>
          <w:trHeight w:val="193"/>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H&amp;R Block, Inc.</w:t>
            </w:r>
          </w:p>
        </w:tc>
        <w:tc>
          <w:tcPr>
            <w:tcW w:w="32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Block Financial</w:t>
            </w:r>
          </w:p>
        </w:tc>
        <w:tc>
          <w:tcPr>
            <w:tcW w:w="38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Consolidated</w:t>
            </w:r>
          </w:p>
        </w:tc>
      </w:tr>
      <w:tr>
        <w:trPr>
          <w:trHeight w:val="178"/>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As of April 30, 2018</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(Guarantor)</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(Issuer)</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Subsidiaries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H&amp;R Block</w:t>
            </w:r>
          </w:p>
        </w:tc>
      </w:tr>
      <w:tr>
        <w:trPr>
          <w:trHeight w:val="25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&amp; cash equivalents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4,346</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1,540,598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1,544,944</w:t>
            </w: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Cash &amp; cash equivalents - restricted</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118,734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118,734</w:t>
            </w:r>
          </w:p>
        </w:tc>
      </w:tr>
      <w:tr>
        <w:trPr>
          <w:trHeight w:val="27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Receivables, net</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51,562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95,212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146,774</w:t>
            </w: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Income taxes receivable</w:t>
            </w:r>
          </w:p>
        </w:tc>
        <w:tc>
          <w:tcPr>
            <w:tcW w:w="3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2,801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12,310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(2,801)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12,310</w:t>
            </w:r>
          </w:p>
        </w:tc>
      </w:tr>
      <w:tr>
        <w:trPr>
          <w:trHeight w:val="27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1,954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66,997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68,951</w:t>
            </w:r>
          </w:p>
        </w:tc>
      </w:tr>
      <w:tr>
        <w:trPr>
          <w:trHeight w:val="250"/>
        </w:trPr>
        <w:tc>
          <w:tcPr>
            <w:tcW w:w="3560" w:type="dxa"/>
            <w:vAlign w:val="bottom"/>
            <w:gridSpan w:val="2"/>
          </w:tcPr>
          <w:p>
            <w:pPr>
              <w:ind w:left="180"/>
              <w:spacing w:after="0"/>
              <w:rPr>
                <w:sz w:val="20"/>
                <w:szCs w:val="20"/>
                <w:color w:val="auto"/>
              </w:rPr>
            </w:pPr>
            <w:r>
              <w:rPr>
                <w:rFonts w:ascii="Arial" w:cs="Arial" w:eastAsia="Arial" w:hAnsi="Arial"/>
                <w:sz w:val="14"/>
                <w:szCs w:val="14"/>
                <w:color w:val="auto"/>
              </w:rPr>
              <w:t>Total current assets</w:t>
            </w:r>
          </w:p>
        </w:tc>
        <w:tc>
          <w:tcPr>
            <w:tcW w:w="30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2,801</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57,862</w:t>
            </w: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1,833,851</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(2,801)</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1,891,713</w:t>
            </w:r>
          </w:p>
        </w:tc>
      </w:tr>
      <w:tr>
        <w:trPr>
          <w:trHeight w:val="27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231,421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231,888</w:t>
            </w: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Intangible assets, net</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373,981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373,981</w:t>
            </w:r>
          </w:p>
        </w:tc>
      </w:tr>
      <w:tr>
        <w:trPr>
          <w:trHeight w:val="27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507,871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507,871</w:t>
            </w: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Deferred tax assets and income taxes receivable</w:t>
            </w:r>
          </w:p>
        </w:tc>
        <w:tc>
          <w:tcPr>
            <w:tcW w:w="3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1,400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17,798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14,897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34,095</w:t>
            </w:r>
          </w:p>
        </w:tc>
      </w:tr>
      <w:tr>
        <w:trPr>
          <w:trHeight w:val="27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Investments in subsidiaries</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2,801,808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131,315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(2,933,123)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Amounts due from affiliates</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1,541,954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2,400,938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(3,942,892)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noncurrent assets</w:t>
            </w:r>
          </w:p>
        </w:tc>
        <w:tc>
          <w:tcPr>
            <w:tcW w:w="30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50,073</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51,328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101,401</w:t>
            </w:r>
          </w:p>
        </w:tc>
      </w:tr>
      <w:tr>
        <w:trPr>
          <w:trHeight w:val="250"/>
        </w:trPr>
        <w:tc>
          <w:tcPr>
            <w:tcW w:w="356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Total assets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2,806,009</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1,668,154</w:t>
            </w:r>
          </w:p>
        </w:tc>
        <w:tc>
          <w:tcPr>
            <w:tcW w:w="1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5,545,602</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(6,878,816)</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3,140,949</w:t>
            </w:r>
          </w:p>
        </w:tc>
      </w:tr>
      <w:tr>
        <w:trPr>
          <w:trHeight w:val="121"/>
        </w:trPr>
        <w:tc>
          <w:tcPr>
            <w:tcW w:w="3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Accounts payable and accrued expenses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2,074</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16,628</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233,273</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251,975</w:t>
            </w:r>
          </w:p>
        </w:tc>
      </w:tr>
      <w:tr>
        <w:trPr>
          <w:trHeight w:val="27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Accrued salaries, wages and payroll taxes</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140,338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141,499</w:t>
            </w:r>
          </w:p>
        </w:tc>
      </w:tr>
      <w:tr>
        <w:trPr>
          <w:trHeight w:val="19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Accrued income taxes and reserves for uncertain tax</w:t>
            </w: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78"/>
        </w:trPr>
        <w:tc>
          <w:tcPr>
            <w:tcW w:w="3560" w:type="dxa"/>
            <w:vAlign w:val="bottom"/>
            <w:gridSpan w:val="2"/>
          </w:tcPr>
          <w:p>
            <w:pPr>
              <w:ind w:left="200"/>
              <w:spacing w:after="0"/>
              <w:rPr>
                <w:sz w:val="20"/>
                <w:szCs w:val="20"/>
                <w:color w:val="auto"/>
              </w:rPr>
            </w:pPr>
            <w:r>
              <w:rPr>
                <w:rFonts w:ascii="Arial" w:cs="Arial" w:eastAsia="Arial" w:hAnsi="Arial"/>
                <w:sz w:val="14"/>
                <w:szCs w:val="14"/>
                <w:color w:val="auto"/>
              </w:rPr>
              <w:t>positions</w:t>
            </w:r>
          </w:p>
        </w:tc>
        <w:tc>
          <w:tcPr>
            <w:tcW w:w="300" w:type="dxa"/>
            <w:vAlign w:val="bottom"/>
          </w:tcPr>
          <w:p>
            <w:pPr>
              <w:spacing w:after="0"/>
              <w:rPr>
                <w:sz w:val="15"/>
                <w:szCs w:val="15"/>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1,060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264,791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(2,801)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263,050</w:t>
            </w:r>
          </w:p>
        </w:tc>
      </w:tr>
      <w:tr>
        <w:trPr>
          <w:trHeight w:val="27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Current portion of long-term debt</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1,026</w:t>
            </w: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Deferred revenue and other current liabilities</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22,172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163,929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186,101</w:t>
            </w:r>
          </w:p>
        </w:tc>
      </w:tr>
      <w:tr>
        <w:trPr>
          <w:trHeight w:val="256"/>
        </w:trPr>
        <w:tc>
          <w:tcPr>
            <w:tcW w:w="356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current liabilities</w:t>
            </w:r>
          </w:p>
        </w:tc>
        <w:tc>
          <w:tcPr>
            <w:tcW w:w="30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2,074</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41,021</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803,357</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(2,801)</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843,651</w:t>
            </w: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Long-term debt</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1,490,007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4,602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1,494,609</w:t>
            </w:r>
          </w:p>
        </w:tc>
      </w:tr>
      <w:tr>
        <w:trPr>
          <w:trHeight w:val="20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tax liabilities and reserves for uncertain tax</w:t>
            </w: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4"/>
        </w:trPr>
        <w:tc>
          <w:tcPr>
            <w:tcW w:w="35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positions</w:t>
            </w:r>
          </w:p>
        </w:tc>
        <w:tc>
          <w:tcPr>
            <w:tcW w:w="3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9,286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4,963</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215,181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229,430</w:t>
            </w: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Deferred revenue and other noncurrent liabilities</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848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178,700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179,548</w:t>
            </w:r>
          </w:p>
        </w:tc>
      </w:tr>
      <w:tr>
        <w:trPr>
          <w:trHeight w:val="27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Amounts due to affiliates</w:t>
            </w: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2,400,938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1,541,954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(3,942,892)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356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Total liabilities</w:t>
            </w:r>
          </w:p>
        </w:tc>
        <w:tc>
          <w:tcPr>
            <w:tcW w:w="30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2,412,298</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1,536,839</w:t>
            </w:r>
          </w:p>
        </w:tc>
        <w:tc>
          <w:tcPr>
            <w:tcW w:w="1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2,743,794</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(3,945,693)</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2,747,238</w:t>
            </w:r>
          </w:p>
        </w:tc>
      </w:tr>
      <w:tr>
        <w:trPr>
          <w:trHeight w:val="25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3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393,711</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131,315</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2,801,808</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(2,933,123)</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393,711</w:t>
            </w:r>
          </w:p>
        </w:tc>
      </w:tr>
      <w:tr>
        <w:trPr>
          <w:trHeight w:val="250"/>
        </w:trPr>
        <w:tc>
          <w:tcPr>
            <w:tcW w:w="356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Total liabilities and stockholders' equity</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2,806,009</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1,668,154</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5,545,602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(6,878,816)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3,140,949</w:t>
            </w:r>
          </w:p>
        </w:tc>
      </w:tr>
      <w:tr>
        <w:trPr>
          <w:trHeight w:val="121"/>
        </w:trPr>
        <w:tc>
          <w:tcPr>
            <w:tcW w:w="34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132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130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120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1100" w:type="dxa"/>
            <w:vAlign w:val="bottom"/>
            <w:tcBorders>
              <w:bottom w:val="single" w:sz="8" w:color="auto"/>
            </w:tcBorders>
            <w:shd w:val="clear" w:color="auto" w:fill="CCEEFF"/>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308610</wp:posOffset>
            </wp:positionV>
            <wp:extent cx="22288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8380"/>
        <w:spacing w:after="0"/>
        <w:tabs>
          <w:tab w:leader="none" w:pos="1114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FY2019 Form 10-Q</w:t>
      </w:r>
      <w:r>
        <w:rPr>
          <w:sz w:val="20"/>
          <w:szCs w:val="20"/>
          <w:color w:val="auto"/>
        </w:rPr>
        <w:tab/>
      </w:r>
      <w:r>
        <w:rPr>
          <w:rFonts w:ascii="Arial" w:cs="Arial" w:eastAsia="Arial" w:hAnsi="Arial"/>
          <w:sz w:val="14"/>
          <w:szCs w:val="14"/>
          <w:color w:val="FFFFFF"/>
          <w:highlight w:val="black"/>
        </w:rPr>
        <w:t>23</w:t>
      </w:r>
    </w:p>
    <w:p>
      <w:pPr>
        <w:sectPr>
          <w:pgSz w:w="11900" w:h="16838" w:orient="portrait"/>
          <w:cols w:equalWidth="0" w:num="1">
            <w:col w:w="11420"/>
          </w:cols>
          <w:pgMar w:left="240" w:top="249"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560" w:type="dxa"/>
            <w:vAlign w:val="bottom"/>
            <w:tcBorders>
              <w:bottom w:val="single" w:sz="8" w:color="auto"/>
            </w:tcBorders>
            <w:gridSpan w:val="6"/>
          </w:tcPr>
          <w:p>
            <w:pPr>
              <w:ind w:left="40"/>
              <w:spacing w:after="0"/>
              <w:rPr>
                <w:sz w:val="20"/>
                <w:szCs w:val="20"/>
                <w:color w:val="auto"/>
              </w:rPr>
            </w:pPr>
            <w:r>
              <w:rPr>
                <w:rFonts w:ascii="Arial" w:cs="Arial" w:eastAsia="Arial" w:hAnsi="Arial"/>
                <w:sz w:val="18"/>
                <w:szCs w:val="18"/>
                <w:b w:val="1"/>
                <w:bCs w:val="1"/>
                <w:color w:val="auto"/>
                <w:w w:val="99"/>
              </w:rPr>
              <w:t>CONDENSED CONSOLIDATING STATEMENTS OF CASH FLOWS</w:t>
            </w: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193"/>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H&amp;R Block, Inc.</w:t>
            </w:r>
          </w:p>
        </w:tc>
        <w:tc>
          <w:tcPr>
            <w:tcW w:w="38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Block Financial</w:t>
            </w:r>
          </w:p>
        </w:tc>
        <w:tc>
          <w:tcPr>
            <w:tcW w:w="36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Other</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78"/>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Nine months ended January 31, 2019</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(Guarantor)</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(Issuer)</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Subsidiaries</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H&amp;R Block</w:t>
            </w:r>
          </w:p>
        </w:tc>
        <w:tc>
          <w:tcPr>
            <w:tcW w:w="0" w:type="dxa"/>
            <w:vAlign w:val="bottom"/>
          </w:tcPr>
          <w:p>
            <w:pPr>
              <w:spacing w:after="0"/>
              <w:rPr>
                <w:sz w:val="1"/>
                <w:szCs w:val="1"/>
                <w:color w:val="auto"/>
              </w:rPr>
            </w:pPr>
          </w:p>
        </w:tc>
      </w:tr>
      <w:tr>
        <w:trPr>
          <w:trHeight w:val="25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cash used in operating activities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(359,101)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(988,355)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(1,347,456)</w:t>
            </w:r>
          </w:p>
        </w:tc>
        <w:tc>
          <w:tcPr>
            <w:tcW w:w="0" w:type="dxa"/>
            <w:vAlign w:val="bottom"/>
          </w:tcPr>
          <w:p>
            <w:pPr>
              <w:spacing w:after="0"/>
              <w:rPr>
                <w:sz w:val="1"/>
                <w:szCs w:val="1"/>
                <w:color w:val="auto"/>
              </w:rPr>
            </w:pPr>
          </w:p>
        </w:tc>
      </w:tr>
      <w:tr>
        <w:trPr>
          <w:trHeight w:val="258"/>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Cash flows from investing:</w:t>
            </w:r>
          </w:p>
        </w:tc>
        <w:tc>
          <w:tcPr>
            <w:tcW w:w="2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Capital expenditures</w:t>
            </w:r>
          </w:p>
        </w:tc>
        <w:tc>
          <w:tcPr>
            <w:tcW w:w="2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(79,816)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(79,982)</w:t>
            </w:r>
          </w:p>
        </w:tc>
        <w:tc>
          <w:tcPr>
            <w:tcW w:w="0" w:type="dxa"/>
            <w:vAlign w:val="bottom"/>
          </w:tcPr>
          <w:p>
            <w:pPr>
              <w:spacing w:after="0"/>
              <w:rPr>
                <w:sz w:val="1"/>
                <w:szCs w:val="1"/>
                <w:color w:val="auto"/>
              </w:rPr>
            </w:pPr>
          </w:p>
        </w:tc>
      </w:tr>
      <w:tr>
        <w:trPr>
          <w:trHeight w:val="194"/>
        </w:trPr>
        <w:tc>
          <w:tcPr>
            <w:tcW w:w="3560" w:type="dxa"/>
            <w:vAlign w:val="bottom"/>
            <w:gridSpan w:val="2"/>
          </w:tcPr>
          <w:p>
            <w:pPr>
              <w:ind w:left="180"/>
              <w:spacing w:after="0"/>
              <w:rPr>
                <w:sz w:val="20"/>
                <w:szCs w:val="20"/>
                <w:color w:val="auto"/>
              </w:rPr>
            </w:pPr>
            <w:r>
              <w:rPr>
                <w:rFonts w:ascii="Arial" w:cs="Arial" w:eastAsia="Arial" w:hAnsi="Arial"/>
                <w:sz w:val="14"/>
                <w:szCs w:val="14"/>
                <w:color w:val="auto"/>
              </w:rPr>
              <w:t>Payments made for business acquisitions, net of</w:t>
            </w:r>
          </w:p>
        </w:tc>
        <w:tc>
          <w:tcPr>
            <w:tcW w:w="240" w:type="dxa"/>
            <w:vAlign w:val="bottom"/>
          </w:tcPr>
          <w:p>
            <w:pPr>
              <w:spacing w:after="0"/>
              <w:rPr>
                <w:sz w:val="16"/>
                <w:szCs w:val="16"/>
                <w:color w:val="auto"/>
              </w:rPr>
            </w:pPr>
          </w:p>
        </w:tc>
        <w:tc>
          <w:tcPr>
            <w:tcW w:w="13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6"/>
                <w:szCs w:val="16"/>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(42,428)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(42,428)</w:t>
            </w:r>
          </w:p>
        </w:tc>
        <w:tc>
          <w:tcPr>
            <w:tcW w:w="0" w:type="dxa"/>
            <w:vAlign w:val="bottom"/>
          </w:tcPr>
          <w:p>
            <w:pPr>
              <w:spacing w:after="0"/>
              <w:rPr>
                <w:sz w:val="1"/>
                <w:szCs w:val="1"/>
                <w:color w:val="auto"/>
              </w:rPr>
            </w:pPr>
          </w:p>
        </w:tc>
      </w:tr>
      <w:tr>
        <w:trPr>
          <w:trHeight w:val="178"/>
        </w:trPr>
        <w:tc>
          <w:tcPr>
            <w:tcW w:w="3560" w:type="dxa"/>
            <w:vAlign w:val="bottom"/>
            <w:gridSpan w:val="2"/>
          </w:tcPr>
          <w:p>
            <w:pPr>
              <w:ind w:left="340"/>
              <w:spacing w:after="0"/>
              <w:rPr>
                <w:sz w:val="20"/>
                <w:szCs w:val="20"/>
                <w:color w:val="auto"/>
              </w:rPr>
            </w:pPr>
            <w:r>
              <w:rPr>
                <w:rFonts w:ascii="Arial" w:cs="Arial" w:eastAsia="Arial" w:hAnsi="Arial"/>
                <w:sz w:val="14"/>
                <w:szCs w:val="14"/>
                <w:color w:val="auto"/>
              </w:rPr>
              <w:t>cash acquired</w:t>
            </w:r>
          </w:p>
        </w:tc>
        <w:tc>
          <w:tcPr>
            <w:tcW w:w="2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Franchise loans funded</w:t>
            </w:r>
          </w:p>
        </w:tc>
        <w:tc>
          <w:tcPr>
            <w:tcW w:w="2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(16,198)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(16,875)</w:t>
            </w:r>
          </w:p>
        </w:tc>
        <w:tc>
          <w:tcPr>
            <w:tcW w:w="0" w:type="dxa"/>
            <w:vAlign w:val="bottom"/>
          </w:tcPr>
          <w:p>
            <w:pPr>
              <w:spacing w:after="0"/>
              <w:rPr>
                <w:sz w:val="1"/>
                <w:szCs w:val="1"/>
                <w:color w:val="auto"/>
              </w:rPr>
            </w:pPr>
          </w:p>
        </w:tc>
      </w:tr>
      <w:tr>
        <w:trPr>
          <w:trHeight w:val="264"/>
        </w:trPr>
        <w:tc>
          <w:tcPr>
            <w:tcW w:w="3560" w:type="dxa"/>
            <w:vAlign w:val="bottom"/>
            <w:gridSpan w:val="2"/>
          </w:tcPr>
          <w:p>
            <w:pPr>
              <w:ind w:left="180"/>
              <w:spacing w:after="0"/>
              <w:rPr>
                <w:sz w:val="20"/>
                <w:szCs w:val="20"/>
                <w:color w:val="auto"/>
              </w:rPr>
            </w:pPr>
            <w:r>
              <w:rPr>
                <w:rFonts w:ascii="Arial" w:cs="Arial" w:eastAsia="Arial" w:hAnsi="Arial"/>
                <w:sz w:val="14"/>
                <w:szCs w:val="14"/>
                <w:color w:val="auto"/>
              </w:rPr>
              <w:t>Payments received on franchise loans</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14,834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315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15,149</w:t>
            </w:r>
          </w:p>
        </w:tc>
        <w:tc>
          <w:tcPr>
            <w:tcW w:w="0" w:type="dxa"/>
            <w:vAlign w:val="bottom"/>
          </w:tcPr>
          <w:p>
            <w:pPr>
              <w:spacing w:after="0"/>
              <w:rPr>
                <w:sz w:val="1"/>
                <w:szCs w:val="1"/>
                <w:color w:val="auto"/>
              </w:rPr>
            </w:pPr>
          </w:p>
        </w:tc>
      </w:tr>
      <w:tr>
        <w:trPr>
          <w:trHeight w:val="276"/>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Intercompany borrowings (payments)</w:t>
            </w:r>
          </w:p>
        </w:tc>
        <w:tc>
          <w:tcPr>
            <w:tcW w:w="2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(18,579)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(254,491)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273,070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4"/>
        </w:trPr>
        <w:tc>
          <w:tcPr>
            <w:tcW w:w="356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Other, net</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(4,746)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9,623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4,877</w:t>
            </w:r>
          </w:p>
        </w:tc>
        <w:tc>
          <w:tcPr>
            <w:tcW w:w="0" w:type="dxa"/>
            <w:vAlign w:val="bottom"/>
          </w:tcPr>
          <w:p>
            <w:pPr>
              <w:spacing w:after="0"/>
              <w:rPr>
                <w:sz w:val="1"/>
                <w:szCs w:val="1"/>
                <w:color w:val="auto"/>
              </w:rPr>
            </w:pPr>
          </w:p>
        </w:tc>
      </w:tr>
      <w:tr>
        <w:trPr>
          <w:trHeight w:val="25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(24,855)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(367,474)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273,070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(119,259)</w:t>
            </w:r>
          </w:p>
        </w:tc>
        <w:tc>
          <w:tcPr>
            <w:tcW w:w="0" w:type="dxa"/>
            <w:vAlign w:val="bottom"/>
          </w:tcPr>
          <w:p>
            <w:pPr>
              <w:spacing w:after="0"/>
              <w:rPr>
                <w:sz w:val="1"/>
                <w:szCs w:val="1"/>
                <w:color w:val="auto"/>
              </w:rPr>
            </w:pPr>
          </w:p>
        </w:tc>
      </w:tr>
      <w:tr>
        <w:trPr>
          <w:trHeight w:val="258"/>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Cash flows from financing:</w:t>
            </w:r>
          </w:p>
        </w:tc>
        <w:tc>
          <w:tcPr>
            <w:tcW w:w="2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Repayments of line of credit borrowings</w:t>
            </w:r>
          </w:p>
        </w:tc>
        <w:tc>
          <w:tcPr>
            <w:tcW w:w="2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(230,000)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(230,000)</w:t>
            </w:r>
          </w:p>
        </w:tc>
        <w:tc>
          <w:tcPr>
            <w:tcW w:w="0" w:type="dxa"/>
            <w:vAlign w:val="bottom"/>
          </w:tcPr>
          <w:p>
            <w:pPr>
              <w:spacing w:after="0"/>
              <w:rPr>
                <w:sz w:val="1"/>
                <w:szCs w:val="1"/>
                <w:color w:val="auto"/>
              </w:rPr>
            </w:pPr>
          </w:p>
        </w:tc>
      </w:tr>
      <w:tr>
        <w:trPr>
          <w:trHeight w:val="264"/>
        </w:trPr>
        <w:tc>
          <w:tcPr>
            <w:tcW w:w="3560" w:type="dxa"/>
            <w:vAlign w:val="bottom"/>
            <w:gridSpan w:val="2"/>
          </w:tcPr>
          <w:p>
            <w:pPr>
              <w:ind w:left="180"/>
              <w:spacing w:after="0"/>
              <w:rPr>
                <w:sz w:val="20"/>
                <w:szCs w:val="20"/>
                <w:color w:val="auto"/>
              </w:rPr>
            </w:pPr>
            <w:r>
              <w:rPr>
                <w:rFonts w:ascii="Arial" w:cs="Arial" w:eastAsia="Arial" w:hAnsi="Arial"/>
                <w:sz w:val="14"/>
                <w:szCs w:val="14"/>
                <w:color w:val="auto"/>
              </w:rPr>
              <w:t>Proceeds from line of credit borrowings</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615,000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615,000</w:t>
            </w:r>
          </w:p>
        </w:tc>
        <w:tc>
          <w:tcPr>
            <w:tcW w:w="0" w:type="dxa"/>
            <w:vAlign w:val="bottom"/>
          </w:tcPr>
          <w:p>
            <w:pPr>
              <w:spacing w:after="0"/>
              <w:rPr>
                <w:sz w:val="1"/>
                <w:szCs w:val="1"/>
                <w:color w:val="auto"/>
              </w:rPr>
            </w:pPr>
          </w:p>
        </w:tc>
      </w:tr>
      <w:tr>
        <w:trPr>
          <w:trHeight w:val="276"/>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Dividends paid</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(154,866)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(154,866)</w:t>
            </w:r>
          </w:p>
        </w:tc>
        <w:tc>
          <w:tcPr>
            <w:tcW w:w="0" w:type="dxa"/>
            <w:vAlign w:val="bottom"/>
          </w:tcPr>
          <w:p>
            <w:pPr>
              <w:spacing w:after="0"/>
              <w:rPr>
                <w:sz w:val="1"/>
                <w:szCs w:val="1"/>
                <w:color w:val="auto"/>
              </w:rPr>
            </w:pPr>
          </w:p>
        </w:tc>
      </w:tr>
      <w:tr>
        <w:trPr>
          <w:trHeight w:val="194"/>
        </w:trPr>
        <w:tc>
          <w:tcPr>
            <w:tcW w:w="3560" w:type="dxa"/>
            <w:vAlign w:val="bottom"/>
            <w:gridSpan w:val="2"/>
          </w:tcPr>
          <w:p>
            <w:pPr>
              <w:ind w:left="180"/>
              <w:spacing w:after="0"/>
              <w:rPr>
                <w:sz w:val="20"/>
                <w:szCs w:val="20"/>
                <w:color w:val="auto"/>
              </w:rPr>
            </w:pPr>
            <w:r>
              <w:rPr>
                <w:rFonts w:ascii="Arial" w:cs="Arial" w:eastAsia="Arial" w:hAnsi="Arial"/>
                <w:sz w:val="14"/>
                <w:szCs w:val="14"/>
                <w:color w:val="auto"/>
              </w:rPr>
              <w:t>Repurchase of common stock, including shares</w:t>
            </w:r>
          </w:p>
        </w:tc>
        <w:tc>
          <w:tcPr>
            <w:tcW w:w="240" w:type="dxa"/>
            <w:vAlign w:val="bottom"/>
          </w:tcPr>
          <w:p>
            <w:pPr>
              <w:spacing w:after="0"/>
              <w:rPr>
                <w:sz w:val="16"/>
                <w:szCs w:val="16"/>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(102,152)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6"/>
                <w:szCs w:val="16"/>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(102,152)</w:t>
            </w:r>
          </w:p>
        </w:tc>
        <w:tc>
          <w:tcPr>
            <w:tcW w:w="0" w:type="dxa"/>
            <w:vAlign w:val="bottom"/>
          </w:tcPr>
          <w:p>
            <w:pPr>
              <w:spacing w:after="0"/>
              <w:rPr>
                <w:sz w:val="1"/>
                <w:szCs w:val="1"/>
                <w:color w:val="auto"/>
              </w:rPr>
            </w:pPr>
          </w:p>
        </w:tc>
      </w:tr>
      <w:tr>
        <w:trPr>
          <w:trHeight w:val="178"/>
        </w:trPr>
        <w:tc>
          <w:tcPr>
            <w:tcW w:w="3560" w:type="dxa"/>
            <w:vAlign w:val="bottom"/>
            <w:gridSpan w:val="2"/>
          </w:tcPr>
          <w:p>
            <w:pPr>
              <w:ind w:left="340"/>
              <w:spacing w:after="0"/>
              <w:rPr>
                <w:sz w:val="20"/>
                <w:szCs w:val="20"/>
                <w:color w:val="auto"/>
              </w:rPr>
            </w:pPr>
            <w:r>
              <w:rPr>
                <w:rFonts w:ascii="Arial" w:cs="Arial" w:eastAsia="Arial" w:hAnsi="Arial"/>
                <w:sz w:val="14"/>
                <w:szCs w:val="14"/>
                <w:color w:val="auto"/>
              </w:rPr>
              <w:t>surrendered</w:t>
            </w:r>
          </w:p>
        </w:tc>
        <w:tc>
          <w:tcPr>
            <w:tcW w:w="24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Proceeds from exercise of stock options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2,527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2,527</w:t>
            </w:r>
          </w:p>
        </w:tc>
        <w:tc>
          <w:tcPr>
            <w:tcW w:w="0" w:type="dxa"/>
            <w:vAlign w:val="bottom"/>
          </w:tcPr>
          <w:p>
            <w:pPr>
              <w:spacing w:after="0"/>
              <w:rPr>
                <w:sz w:val="1"/>
                <w:szCs w:val="1"/>
                <w:color w:val="auto"/>
              </w:rPr>
            </w:pPr>
          </w:p>
        </w:tc>
      </w:tr>
      <w:tr>
        <w:trPr>
          <w:trHeight w:val="264"/>
        </w:trPr>
        <w:tc>
          <w:tcPr>
            <w:tcW w:w="3560" w:type="dxa"/>
            <w:vAlign w:val="bottom"/>
            <w:gridSpan w:val="2"/>
          </w:tcPr>
          <w:p>
            <w:pPr>
              <w:ind w:left="180"/>
              <w:spacing w:after="0"/>
              <w:rPr>
                <w:sz w:val="20"/>
                <w:szCs w:val="20"/>
                <w:color w:val="auto"/>
              </w:rPr>
            </w:pPr>
            <w:r>
              <w:rPr>
                <w:rFonts w:ascii="Arial" w:cs="Arial" w:eastAsia="Arial" w:hAnsi="Arial"/>
                <w:sz w:val="14"/>
                <w:szCs w:val="14"/>
                <w:color w:val="auto"/>
              </w:rPr>
              <w:t>Intercompany borrowings (payments)</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b w:val="1"/>
                <w:bCs w:val="1"/>
                <w:color w:val="auto"/>
              </w:rPr>
              <w:t>254,491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18,579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(273,070)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Other, net</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(668)</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(19,458)</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(20,126)</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Net cash provided by (used in) financing activities</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384,332</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(879)</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(273,070)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110,383</w:t>
            </w:r>
          </w:p>
        </w:tc>
        <w:tc>
          <w:tcPr>
            <w:tcW w:w="0" w:type="dxa"/>
            <w:vAlign w:val="bottom"/>
          </w:tcPr>
          <w:p>
            <w:pPr>
              <w:spacing w:after="0"/>
              <w:rPr>
                <w:sz w:val="1"/>
                <w:szCs w:val="1"/>
                <w:color w:val="auto"/>
              </w:rPr>
            </w:pPr>
          </w:p>
        </w:tc>
      </w:tr>
      <w:tr>
        <w:trPr>
          <w:trHeight w:val="25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Effects of exchange rates on cash</w:t>
            </w:r>
          </w:p>
        </w:tc>
        <w:tc>
          <w:tcPr>
            <w:tcW w:w="2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(2,217)</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(2,217)</w:t>
            </w:r>
          </w:p>
        </w:tc>
        <w:tc>
          <w:tcPr>
            <w:tcW w:w="0" w:type="dxa"/>
            <w:vAlign w:val="bottom"/>
          </w:tcPr>
          <w:p>
            <w:pPr>
              <w:spacing w:after="0"/>
              <w:rPr>
                <w:sz w:val="1"/>
                <w:szCs w:val="1"/>
                <w:color w:val="auto"/>
              </w:rPr>
            </w:pPr>
          </w:p>
        </w:tc>
      </w:tr>
      <w:tr>
        <w:trPr>
          <w:trHeight w:val="17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Net increase (decrease) in cash, cash equivalents</w:t>
            </w:r>
          </w:p>
        </w:tc>
        <w:tc>
          <w:tcPr>
            <w:tcW w:w="240" w:type="dxa"/>
            <w:vAlign w:val="bottom"/>
          </w:tcPr>
          <w:p>
            <w:pPr>
              <w:spacing w:after="0"/>
              <w:rPr>
                <w:sz w:val="15"/>
                <w:szCs w:val="15"/>
                <w:color w:val="auto"/>
              </w:rPr>
            </w:pPr>
          </w:p>
        </w:tc>
        <w:tc>
          <w:tcPr>
            <w:tcW w:w="13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5"/>
                <w:szCs w:val="15"/>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376</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(1,358,925)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(1,358,549)</w:t>
            </w:r>
          </w:p>
        </w:tc>
        <w:tc>
          <w:tcPr>
            <w:tcW w:w="0" w:type="dxa"/>
            <w:vAlign w:val="bottom"/>
          </w:tcPr>
          <w:p>
            <w:pPr>
              <w:spacing w:after="0"/>
              <w:rPr>
                <w:sz w:val="1"/>
                <w:szCs w:val="1"/>
                <w:color w:val="auto"/>
              </w:rPr>
            </w:pPr>
          </w:p>
        </w:tc>
      </w:tr>
      <w:tr>
        <w:trPr>
          <w:trHeight w:val="178"/>
        </w:trPr>
        <w:tc>
          <w:tcPr>
            <w:tcW w:w="3560" w:type="dxa"/>
            <w:vAlign w:val="bottom"/>
            <w:gridSpan w:val="2"/>
          </w:tcPr>
          <w:p>
            <w:pPr>
              <w:ind w:left="200"/>
              <w:spacing w:after="0"/>
              <w:rPr>
                <w:sz w:val="20"/>
                <w:szCs w:val="20"/>
                <w:color w:val="auto"/>
              </w:rPr>
            </w:pPr>
            <w:r>
              <w:rPr>
                <w:rFonts w:ascii="Arial" w:cs="Arial" w:eastAsia="Arial" w:hAnsi="Arial"/>
                <w:sz w:val="14"/>
                <w:szCs w:val="14"/>
                <w:color w:val="auto"/>
              </w:rPr>
              <w:t>and restricted cash</w:t>
            </w:r>
          </w:p>
        </w:tc>
        <w:tc>
          <w:tcPr>
            <w:tcW w:w="2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w:t>
            </w:r>
          </w:p>
        </w:tc>
        <w:tc>
          <w:tcPr>
            <w:tcW w:w="24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4,346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1,659,332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1,663,678</w:t>
            </w:r>
          </w:p>
        </w:tc>
        <w:tc>
          <w:tcPr>
            <w:tcW w:w="0" w:type="dxa"/>
            <w:vAlign w:val="bottom"/>
          </w:tcPr>
          <w:p>
            <w:pPr>
              <w:spacing w:after="0"/>
              <w:rPr>
                <w:sz w:val="1"/>
                <w:szCs w:val="1"/>
                <w:color w:val="auto"/>
              </w:rPr>
            </w:pPr>
          </w:p>
        </w:tc>
      </w:tr>
      <w:tr>
        <w:trPr>
          <w:trHeight w:val="184"/>
        </w:trPr>
        <w:tc>
          <w:tcPr>
            <w:tcW w:w="35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beginning of period</w:t>
            </w:r>
          </w:p>
        </w:tc>
        <w:tc>
          <w:tcPr>
            <w:tcW w:w="24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Cash, cash equivalents and restricted cash, end of</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13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w:t>
            </w: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4,722</w:t>
            </w:r>
          </w:p>
        </w:tc>
        <w:tc>
          <w:tcPr>
            <w:tcW w:w="120" w:type="dxa"/>
            <w:vAlign w:val="bottom"/>
          </w:tcPr>
          <w:p>
            <w:pPr>
              <w:spacing w:after="0"/>
              <w:rPr>
                <w:sz w:val="15"/>
                <w:szCs w:val="15"/>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300,407</w:t>
            </w:r>
          </w:p>
        </w:tc>
        <w:tc>
          <w:tcPr>
            <w:tcW w:w="120" w:type="dxa"/>
            <w:vAlign w:val="bottom"/>
          </w:tcPr>
          <w:p>
            <w:pPr>
              <w:spacing w:after="0"/>
              <w:rPr>
                <w:sz w:val="15"/>
                <w:szCs w:val="15"/>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w:t>
            </w: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305,129</w:t>
            </w:r>
          </w:p>
        </w:tc>
        <w:tc>
          <w:tcPr>
            <w:tcW w:w="0" w:type="dxa"/>
            <w:vAlign w:val="bottom"/>
          </w:tcPr>
          <w:p>
            <w:pPr>
              <w:spacing w:after="0"/>
              <w:rPr>
                <w:sz w:val="1"/>
                <w:szCs w:val="1"/>
                <w:color w:val="auto"/>
              </w:rPr>
            </w:pPr>
          </w:p>
        </w:tc>
      </w:tr>
      <w:tr>
        <w:trPr>
          <w:trHeight w:val="178"/>
        </w:trPr>
        <w:tc>
          <w:tcPr>
            <w:tcW w:w="3560" w:type="dxa"/>
            <w:vAlign w:val="bottom"/>
            <w:gridSpan w:val="2"/>
          </w:tcPr>
          <w:p>
            <w:pPr>
              <w:ind w:left="200"/>
              <w:spacing w:after="0"/>
              <w:rPr>
                <w:sz w:val="20"/>
                <w:szCs w:val="20"/>
                <w:color w:val="auto"/>
              </w:rPr>
            </w:pPr>
            <w:r>
              <w:rPr>
                <w:rFonts w:ascii="Arial" w:cs="Arial" w:eastAsia="Arial" w:hAnsi="Arial"/>
                <w:sz w:val="14"/>
                <w:szCs w:val="14"/>
                <w:color w:val="auto"/>
              </w:rPr>
              <w:t>period</w:t>
            </w:r>
          </w:p>
        </w:tc>
        <w:tc>
          <w:tcPr>
            <w:tcW w:w="240" w:type="dxa"/>
            <w:vAlign w:val="bottom"/>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3440" w:type="dxa"/>
            <w:vAlign w:val="bottom"/>
            <w:tcBorders>
              <w:top w:val="single" w:sz="8" w:color="CCEEFF"/>
              <w:bottom w:val="single" w:sz="8" w:color="auto"/>
            </w:tcBorders>
            <w:shd w:val="clear" w:color="auto" w:fill="CCEEFF"/>
          </w:tcPr>
          <w:p>
            <w:pPr>
              <w:spacing w:after="0"/>
              <w:rPr>
                <w:sz w:val="10"/>
                <w:szCs w:val="10"/>
                <w:color w:val="auto"/>
              </w:rPr>
            </w:pPr>
          </w:p>
        </w:tc>
        <w:tc>
          <w:tcPr>
            <w:tcW w:w="120" w:type="dxa"/>
            <w:vAlign w:val="bottom"/>
            <w:tcBorders>
              <w:top w:val="single" w:sz="8" w:color="CCEEFF"/>
              <w:bottom w:val="single" w:sz="8" w:color="auto"/>
            </w:tcBorders>
            <w:shd w:val="clear" w:color="auto" w:fill="CCEEFF"/>
          </w:tcPr>
          <w:p>
            <w:pPr>
              <w:spacing w:after="0"/>
              <w:rPr>
                <w:sz w:val="10"/>
                <w:szCs w:val="10"/>
                <w:color w:val="auto"/>
              </w:rPr>
            </w:pPr>
          </w:p>
        </w:tc>
        <w:tc>
          <w:tcPr>
            <w:tcW w:w="240" w:type="dxa"/>
            <w:vAlign w:val="bottom"/>
            <w:tcBorders>
              <w:top w:val="single" w:sz="8" w:color="auto"/>
              <w:bottom w:val="single" w:sz="8" w:color="auto"/>
            </w:tcBorders>
            <w:shd w:val="clear" w:color="auto" w:fill="CCEEFF"/>
          </w:tcPr>
          <w:p>
            <w:pPr>
              <w:spacing w:after="0"/>
              <w:rPr>
                <w:sz w:val="10"/>
                <w:szCs w:val="10"/>
                <w:color w:val="auto"/>
              </w:rPr>
            </w:pPr>
          </w:p>
        </w:tc>
        <w:tc>
          <w:tcPr>
            <w:tcW w:w="1260" w:type="dxa"/>
            <w:vAlign w:val="bottom"/>
            <w:tcBorders>
              <w:top w:val="single" w:sz="8" w:color="auto"/>
              <w:bottom w:val="single" w:sz="8" w:color="auto"/>
            </w:tcBorders>
            <w:shd w:val="clear" w:color="auto" w:fill="CCEEFF"/>
          </w:tcPr>
          <w:p>
            <w:pPr>
              <w:spacing w:after="0"/>
              <w:rPr>
                <w:sz w:val="10"/>
                <w:szCs w:val="10"/>
                <w:color w:val="auto"/>
              </w:rPr>
            </w:pPr>
          </w:p>
        </w:tc>
        <w:tc>
          <w:tcPr>
            <w:tcW w:w="120" w:type="dxa"/>
            <w:vAlign w:val="bottom"/>
            <w:tcBorders>
              <w:top w:val="single" w:sz="8" w:color="CCEEFF"/>
              <w:bottom w:val="single" w:sz="8" w:color="auto"/>
            </w:tcBorders>
            <w:shd w:val="clear" w:color="auto" w:fill="CCEEFF"/>
          </w:tcPr>
          <w:p>
            <w:pPr>
              <w:spacing w:after="0"/>
              <w:rPr>
                <w:sz w:val="10"/>
                <w:szCs w:val="10"/>
                <w:color w:val="auto"/>
              </w:rPr>
            </w:pPr>
          </w:p>
        </w:tc>
        <w:tc>
          <w:tcPr>
            <w:tcW w:w="380" w:type="dxa"/>
            <w:vAlign w:val="bottom"/>
            <w:tcBorders>
              <w:top w:val="single" w:sz="8" w:color="auto"/>
              <w:bottom w:val="single" w:sz="8" w:color="auto"/>
            </w:tcBorders>
            <w:shd w:val="clear" w:color="auto" w:fill="CCEEFF"/>
          </w:tcPr>
          <w:p>
            <w:pPr>
              <w:spacing w:after="0"/>
              <w:rPr>
                <w:sz w:val="10"/>
                <w:szCs w:val="10"/>
                <w:color w:val="auto"/>
              </w:rPr>
            </w:pPr>
          </w:p>
        </w:tc>
        <w:tc>
          <w:tcPr>
            <w:tcW w:w="1120" w:type="dxa"/>
            <w:vAlign w:val="bottom"/>
            <w:tcBorders>
              <w:top w:val="single" w:sz="8" w:color="auto"/>
              <w:bottom w:val="single" w:sz="8" w:color="auto"/>
            </w:tcBorders>
            <w:shd w:val="clear" w:color="auto" w:fill="CCEEFF"/>
          </w:tcPr>
          <w:p>
            <w:pPr>
              <w:spacing w:after="0"/>
              <w:rPr>
                <w:sz w:val="10"/>
                <w:szCs w:val="10"/>
                <w:color w:val="auto"/>
              </w:rPr>
            </w:pPr>
          </w:p>
        </w:tc>
        <w:tc>
          <w:tcPr>
            <w:tcW w:w="120" w:type="dxa"/>
            <w:vAlign w:val="bottom"/>
            <w:tcBorders>
              <w:top w:val="single" w:sz="8" w:color="CCEEFF"/>
              <w:bottom w:val="single" w:sz="8" w:color="auto"/>
            </w:tcBorders>
            <w:shd w:val="clear" w:color="auto" w:fill="CCEEFF"/>
          </w:tcPr>
          <w:p>
            <w:pPr>
              <w:spacing w:after="0"/>
              <w:rPr>
                <w:sz w:val="10"/>
                <w:szCs w:val="10"/>
                <w:color w:val="auto"/>
              </w:rPr>
            </w:pPr>
          </w:p>
        </w:tc>
        <w:tc>
          <w:tcPr>
            <w:tcW w:w="360" w:type="dxa"/>
            <w:vAlign w:val="bottom"/>
            <w:tcBorders>
              <w:top w:val="single" w:sz="8" w:color="auto"/>
              <w:bottom w:val="single" w:sz="8" w:color="auto"/>
            </w:tcBorders>
            <w:shd w:val="clear" w:color="auto" w:fill="CCEEFF"/>
          </w:tcPr>
          <w:p>
            <w:pPr>
              <w:spacing w:after="0"/>
              <w:rPr>
                <w:sz w:val="10"/>
                <w:szCs w:val="10"/>
                <w:color w:val="auto"/>
              </w:rPr>
            </w:pPr>
          </w:p>
        </w:tc>
        <w:tc>
          <w:tcPr>
            <w:tcW w:w="1120" w:type="dxa"/>
            <w:vAlign w:val="bottom"/>
            <w:tcBorders>
              <w:top w:val="single" w:sz="8" w:color="auto"/>
              <w:bottom w:val="single" w:sz="8" w:color="auto"/>
            </w:tcBorders>
            <w:shd w:val="clear" w:color="auto" w:fill="CCEEFF"/>
          </w:tcPr>
          <w:p>
            <w:pPr>
              <w:spacing w:after="0"/>
              <w:rPr>
                <w:sz w:val="10"/>
                <w:szCs w:val="10"/>
                <w:color w:val="auto"/>
              </w:rPr>
            </w:pPr>
          </w:p>
        </w:tc>
        <w:tc>
          <w:tcPr>
            <w:tcW w:w="120" w:type="dxa"/>
            <w:vAlign w:val="bottom"/>
            <w:tcBorders>
              <w:top w:val="single" w:sz="8" w:color="CCEEFF"/>
              <w:bottom w:val="single" w:sz="8" w:color="auto"/>
            </w:tcBorders>
            <w:shd w:val="clear" w:color="auto" w:fill="CCEEFF"/>
          </w:tcPr>
          <w:p>
            <w:pPr>
              <w:spacing w:after="0"/>
              <w:rPr>
                <w:sz w:val="10"/>
                <w:szCs w:val="10"/>
                <w:color w:val="auto"/>
              </w:rPr>
            </w:pPr>
          </w:p>
        </w:tc>
        <w:tc>
          <w:tcPr>
            <w:tcW w:w="340" w:type="dxa"/>
            <w:vAlign w:val="bottom"/>
            <w:tcBorders>
              <w:top w:val="single" w:sz="8" w:color="auto"/>
              <w:bottom w:val="single" w:sz="8" w:color="auto"/>
            </w:tcBorders>
            <w:shd w:val="clear" w:color="auto" w:fill="CCEEFF"/>
          </w:tcPr>
          <w:p>
            <w:pPr>
              <w:spacing w:after="0"/>
              <w:rPr>
                <w:sz w:val="10"/>
                <w:szCs w:val="10"/>
                <w:color w:val="auto"/>
              </w:rPr>
            </w:pPr>
          </w:p>
        </w:tc>
        <w:tc>
          <w:tcPr>
            <w:tcW w:w="112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bottom w:val="single" w:sz="8" w:color="auto"/>
            </w:tcBorders>
            <w:shd w:val="clear" w:color="auto" w:fill="CCEEFF"/>
          </w:tcPr>
          <w:p>
            <w:pPr>
              <w:spacing w:after="0"/>
              <w:rPr>
                <w:sz w:val="10"/>
                <w:szCs w:val="10"/>
                <w:color w:val="auto"/>
              </w:rPr>
            </w:pPr>
          </w:p>
        </w:tc>
        <w:tc>
          <w:tcPr>
            <w:tcW w:w="320" w:type="dxa"/>
            <w:vAlign w:val="bottom"/>
            <w:tcBorders>
              <w:top w:val="single" w:sz="8" w:color="auto"/>
              <w:bottom w:val="single" w:sz="8" w:color="auto"/>
            </w:tcBorders>
            <w:shd w:val="clear" w:color="auto" w:fill="CCEEFF"/>
          </w:tcPr>
          <w:p>
            <w:pPr>
              <w:spacing w:after="0"/>
              <w:rPr>
                <w:sz w:val="10"/>
                <w:szCs w:val="10"/>
                <w:color w:val="auto"/>
              </w:rPr>
            </w:pPr>
          </w:p>
        </w:tc>
        <w:tc>
          <w:tcPr>
            <w:tcW w:w="1140" w:type="dxa"/>
            <w:vAlign w:val="bottom"/>
            <w:tcBorders>
              <w:top w:val="single" w:sz="8" w:color="auto"/>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231775"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1775" cy="13716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120"/>
        <w:spacing w:after="0"/>
        <w:tabs>
          <w:tab w:leader="none" w:pos="380" w:val="left"/>
        </w:tabs>
        <w:rPr>
          <w:sz w:val="20"/>
          <w:szCs w:val="20"/>
          <w:color w:val="auto"/>
        </w:rPr>
      </w:pPr>
      <w:r>
        <w:rPr>
          <w:rFonts w:ascii="Arial" w:cs="Arial" w:eastAsia="Arial" w:hAnsi="Arial"/>
          <w:sz w:val="14"/>
          <w:szCs w:val="14"/>
          <w:color w:val="FFFFFF"/>
          <w:highlight w:val="black"/>
        </w:rPr>
        <w:t>24</w:t>
      </w:r>
      <w:r>
        <w:rPr>
          <w:rFonts w:ascii="Arial" w:cs="Arial" w:eastAsia="Arial" w:hAnsi="Arial"/>
          <w:sz w:val="14"/>
          <w:szCs w:val="14"/>
          <w:color w:val="auto"/>
        </w:rPr>
        <w:tab/>
        <w:t xml:space="preserve">Q3 FY2019 Form 10-Q | </w:t>
      </w:r>
      <w:r>
        <w:rPr>
          <w:rFonts w:ascii="Arial" w:cs="Arial" w:eastAsia="Arial" w:hAnsi="Arial"/>
          <w:sz w:val="14"/>
          <w:szCs w:val="14"/>
          <w:b w:val="1"/>
          <w:bCs w:val="1"/>
          <w:color w:val="auto"/>
        </w:rPr>
        <w:t>H&amp;R Block, Inc.</w:t>
      </w:r>
    </w:p>
    <w:p>
      <w:pPr>
        <w:sectPr>
          <w:pgSz w:w="11900" w:h="16838" w:orient="portrait"/>
          <w:cols w:equalWidth="0" w:num="1">
            <w:col w:w="11420"/>
          </w:cols>
          <w:pgMar w:left="240" w:top="249"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560" w:type="dxa"/>
            <w:vAlign w:val="bottom"/>
            <w:tcBorders>
              <w:bottom w:val="single" w:sz="8" w:color="auto"/>
            </w:tcBorders>
            <w:gridSpan w:val="6"/>
          </w:tcPr>
          <w:p>
            <w:pPr>
              <w:ind w:left="40"/>
              <w:spacing w:after="0"/>
              <w:rPr>
                <w:sz w:val="20"/>
                <w:szCs w:val="20"/>
                <w:color w:val="auto"/>
              </w:rPr>
            </w:pPr>
            <w:r>
              <w:rPr>
                <w:rFonts w:ascii="Arial" w:cs="Arial" w:eastAsia="Arial" w:hAnsi="Arial"/>
                <w:sz w:val="18"/>
                <w:szCs w:val="18"/>
                <w:b w:val="1"/>
                <w:bCs w:val="1"/>
                <w:color w:val="auto"/>
                <w:w w:val="99"/>
              </w:rPr>
              <w:t>CONDENSED CONSOLIDATING STATEMENTS OF CASH FLOWS</w:t>
            </w: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r>
      <w:tr>
        <w:trPr>
          <w:trHeight w:val="193"/>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H&amp;R Block, Inc.</w:t>
            </w:r>
          </w:p>
        </w:tc>
        <w:tc>
          <w:tcPr>
            <w:tcW w:w="38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Block Financial</w:t>
            </w:r>
          </w:p>
        </w:tc>
        <w:tc>
          <w:tcPr>
            <w:tcW w:w="36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Other</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Consolidated</w:t>
            </w:r>
          </w:p>
        </w:tc>
      </w:tr>
      <w:tr>
        <w:trPr>
          <w:trHeight w:val="178"/>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Nine months ended January 31, 2018</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(Guarantor)</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(Issuer)</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Subsidiaries</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H&amp;R Block</w:t>
            </w:r>
          </w:p>
        </w:tc>
      </w:tr>
      <w:tr>
        <w:trPr>
          <w:trHeight w:val="25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cash used in operating activities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(353,081)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(1,004,620)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(1,357,701)</w:t>
            </w:r>
          </w:p>
        </w:tc>
      </w:tr>
      <w:tr>
        <w:trPr>
          <w:trHeight w:val="258"/>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Cash flows from investing:</w:t>
            </w:r>
          </w:p>
        </w:tc>
        <w:tc>
          <w:tcPr>
            <w:tcW w:w="2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76"/>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Capital expenditures</w:t>
            </w:r>
          </w:p>
        </w:tc>
        <w:tc>
          <w:tcPr>
            <w:tcW w:w="2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(77,071)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(77,865)</w:t>
            </w:r>
          </w:p>
        </w:tc>
      </w:tr>
      <w:tr>
        <w:trPr>
          <w:trHeight w:val="194"/>
        </w:trPr>
        <w:tc>
          <w:tcPr>
            <w:tcW w:w="3560" w:type="dxa"/>
            <w:vAlign w:val="bottom"/>
            <w:gridSpan w:val="2"/>
          </w:tcPr>
          <w:p>
            <w:pPr>
              <w:ind w:left="180"/>
              <w:spacing w:after="0"/>
              <w:rPr>
                <w:sz w:val="20"/>
                <w:szCs w:val="20"/>
                <w:color w:val="auto"/>
              </w:rPr>
            </w:pPr>
            <w:r>
              <w:rPr>
                <w:rFonts w:ascii="Arial" w:cs="Arial" w:eastAsia="Arial" w:hAnsi="Arial"/>
                <w:sz w:val="14"/>
                <w:szCs w:val="14"/>
                <w:color w:val="auto"/>
              </w:rPr>
              <w:t>Payments made for business acquisitions, net of</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78"/>
        </w:trPr>
        <w:tc>
          <w:tcPr>
            <w:tcW w:w="3560" w:type="dxa"/>
            <w:vAlign w:val="bottom"/>
            <w:gridSpan w:val="2"/>
          </w:tcPr>
          <w:p>
            <w:pPr>
              <w:ind w:left="340"/>
              <w:spacing w:after="0"/>
              <w:rPr>
                <w:sz w:val="20"/>
                <w:szCs w:val="20"/>
                <w:color w:val="auto"/>
              </w:rPr>
            </w:pPr>
            <w:r>
              <w:rPr>
                <w:rFonts w:ascii="Arial" w:cs="Arial" w:eastAsia="Arial" w:hAnsi="Arial"/>
                <w:sz w:val="14"/>
                <w:szCs w:val="14"/>
                <w:color w:val="auto"/>
              </w:rPr>
              <w:t>cash acquired</w:t>
            </w:r>
          </w:p>
        </w:tc>
        <w:tc>
          <w:tcPr>
            <w:tcW w:w="24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(39,397)</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(39,397)</w:t>
            </w:r>
          </w:p>
        </w:tc>
      </w:tr>
      <w:tr>
        <w:trPr>
          <w:trHeight w:val="276"/>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Franchise loans funded</w:t>
            </w:r>
          </w:p>
        </w:tc>
        <w:tc>
          <w:tcPr>
            <w:tcW w:w="2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(20,080)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(20,226)</w:t>
            </w:r>
          </w:p>
        </w:tc>
      </w:tr>
      <w:tr>
        <w:trPr>
          <w:trHeight w:val="264"/>
        </w:trPr>
        <w:tc>
          <w:tcPr>
            <w:tcW w:w="3560" w:type="dxa"/>
            <w:vAlign w:val="bottom"/>
            <w:gridSpan w:val="2"/>
          </w:tcPr>
          <w:p>
            <w:pPr>
              <w:ind w:left="180"/>
              <w:spacing w:after="0"/>
              <w:rPr>
                <w:sz w:val="20"/>
                <w:szCs w:val="20"/>
                <w:color w:val="auto"/>
              </w:rPr>
            </w:pPr>
            <w:r>
              <w:rPr>
                <w:rFonts w:ascii="Arial" w:cs="Arial" w:eastAsia="Arial" w:hAnsi="Arial"/>
                <w:sz w:val="14"/>
                <w:szCs w:val="14"/>
                <w:color w:val="auto"/>
              </w:rPr>
              <w:t>Payments received on franchise loans</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13,058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333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13,391</w:t>
            </w:r>
          </w:p>
        </w:tc>
      </w:tr>
      <w:tr>
        <w:trPr>
          <w:trHeight w:val="276"/>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Intercompany borrowings (payments)</w:t>
            </w:r>
          </w:p>
        </w:tc>
        <w:tc>
          <w:tcPr>
            <w:tcW w:w="2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(427,473)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(129,736)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557,209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356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Other, net</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(9,039)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10,563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1,524</w:t>
            </w:r>
          </w:p>
        </w:tc>
      </w:tr>
      <w:tr>
        <w:trPr>
          <w:trHeight w:val="25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(444,328)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(235,454)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557,209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(122,573)</w:t>
            </w:r>
          </w:p>
        </w:tc>
      </w:tr>
      <w:tr>
        <w:trPr>
          <w:trHeight w:val="258"/>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Cash flows from financing:</w:t>
            </w:r>
          </w:p>
        </w:tc>
        <w:tc>
          <w:tcPr>
            <w:tcW w:w="2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76"/>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Repayments of line of credit borrowings</w:t>
            </w:r>
          </w:p>
        </w:tc>
        <w:tc>
          <w:tcPr>
            <w:tcW w:w="2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(40,000)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w:t>
            </w:r>
          </w:p>
        </w:tc>
      </w:tr>
      <w:tr>
        <w:trPr>
          <w:trHeight w:val="264"/>
        </w:trPr>
        <w:tc>
          <w:tcPr>
            <w:tcW w:w="3560" w:type="dxa"/>
            <w:vAlign w:val="bottom"/>
            <w:gridSpan w:val="2"/>
          </w:tcPr>
          <w:p>
            <w:pPr>
              <w:ind w:left="180"/>
              <w:spacing w:after="0"/>
              <w:rPr>
                <w:sz w:val="20"/>
                <w:szCs w:val="20"/>
                <w:color w:val="auto"/>
              </w:rPr>
            </w:pPr>
            <w:r>
              <w:rPr>
                <w:rFonts w:ascii="Arial" w:cs="Arial" w:eastAsia="Arial" w:hAnsi="Arial"/>
                <w:sz w:val="14"/>
                <w:szCs w:val="14"/>
                <w:color w:val="auto"/>
              </w:rPr>
              <w:t>Proceeds from line of credit borrowings</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830,000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830,000</w:t>
            </w:r>
          </w:p>
        </w:tc>
      </w:tr>
      <w:tr>
        <w:trPr>
          <w:trHeight w:val="276"/>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Dividends paid</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(150,258)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(150,258)</w:t>
            </w:r>
          </w:p>
        </w:tc>
      </w:tr>
      <w:tr>
        <w:trPr>
          <w:trHeight w:val="194"/>
        </w:trPr>
        <w:tc>
          <w:tcPr>
            <w:tcW w:w="3560" w:type="dxa"/>
            <w:vAlign w:val="bottom"/>
            <w:gridSpan w:val="2"/>
          </w:tcPr>
          <w:p>
            <w:pPr>
              <w:ind w:left="180"/>
              <w:spacing w:after="0"/>
              <w:rPr>
                <w:sz w:val="20"/>
                <w:szCs w:val="20"/>
                <w:color w:val="auto"/>
              </w:rPr>
            </w:pPr>
            <w:r>
              <w:rPr>
                <w:rFonts w:ascii="Arial" w:cs="Arial" w:eastAsia="Arial" w:hAnsi="Arial"/>
                <w:sz w:val="14"/>
                <w:szCs w:val="14"/>
                <w:color w:val="auto"/>
              </w:rPr>
              <w:t>Repurchase of common stock, including shares</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78"/>
        </w:trPr>
        <w:tc>
          <w:tcPr>
            <w:tcW w:w="3560" w:type="dxa"/>
            <w:vAlign w:val="bottom"/>
            <w:gridSpan w:val="2"/>
          </w:tcPr>
          <w:p>
            <w:pPr>
              <w:ind w:left="340"/>
              <w:spacing w:after="0"/>
              <w:rPr>
                <w:sz w:val="20"/>
                <w:szCs w:val="20"/>
                <w:color w:val="auto"/>
              </w:rPr>
            </w:pPr>
            <w:r>
              <w:rPr>
                <w:rFonts w:ascii="Arial" w:cs="Arial" w:eastAsia="Arial" w:hAnsi="Arial"/>
                <w:sz w:val="14"/>
                <w:szCs w:val="14"/>
                <w:color w:val="auto"/>
              </w:rPr>
              <w:t>surrendered</w:t>
            </w:r>
          </w:p>
        </w:tc>
        <w:tc>
          <w:tcPr>
            <w:tcW w:w="240" w:type="dxa"/>
            <w:vAlign w:val="bottom"/>
          </w:tcPr>
          <w:p>
            <w:pPr>
              <w:spacing w:after="0"/>
              <w:rPr>
                <w:sz w:val="15"/>
                <w:szCs w:val="15"/>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(7,746)</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(7,746)</w:t>
            </w:r>
          </w:p>
        </w:tc>
      </w:tr>
      <w:tr>
        <w:trPr>
          <w:trHeight w:val="276"/>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Proceeds from exercise of stock options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28,268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28,268</w:t>
            </w:r>
          </w:p>
        </w:tc>
      </w:tr>
      <w:tr>
        <w:trPr>
          <w:trHeight w:val="264"/>
        </w:trPr>
        <w:tc>
          <w:tcPr>
            <w:tcW w:w="3560" w:type="dxa"/>
            <w:vAlign w:val="bottom"/>
            <w:gridSpan w:val="2"/>
          </w:tcPr>
          <w:p>
            <w:pPr>
              <w:ind w:left="180"/>
              <w:spacing w:after="0"/>
              <w:rPr>
                <w:sz w:val="20"/>
                <w:szCs w:val="20"/>
                <w:color w:val="auto"/>
              </w:rPr>
            </w:pPr>
            <w:r>
              <w:rPr>
                <w:rFonts w:ascii="Arial" w:cs="Arial" w:eastAsia="Arial" w:hAnsi="Arial"/>
                <w:sz w:val="14"/>
                <w:szCs w:val="14"/>
                <w:color w:val="auto"/>
              </w:rPr>
              <w:t>Intercompany borrowings (payments)</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129,736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427,473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(557,209)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Other, net</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(662)</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(28,260)</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(28,922)</w:t>
            </w:r>
          </w:p>
        </w:tc>
      </w:tr>
      <w:tr>
        <w:trPr>
          <w:trHeight w:val="250"/>
        </w:trPr>
        <w:tc>
          <w:tcPr>
            <w:tcW w:w="35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789,338</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399,213</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(557,209)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631,342</w:t>
            </w:r>
          </w:p>
        </w:tc>
      </w:tr>
      <w:tr>
        <w:trPr>
          <w:trHeight w:val="25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Effects of exchange rates on cash</w:t>
            </w:r>
          </w:p>
        </w:tc>
        <w:tc>
          <w:tcPr>
            <w:tcW w:w="24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1,792</w:t>
            </w:r>
          </w:p>
        </w:tc>
      </w:tr>
      <w:tr>
        <w:trPr>
          <w:trHeight w:val="17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Net decrease in cash, cash equivalents and</w:t>
            </w:r>
          </w:p>
        </w:tc>
        <w:tc>
          <w:tcPr>
            <w:tcW w:w="2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178"/>
        </w:trPr>
        <w:tc>
          <w:tcPr>
            <w:tcW w:w="3560" w:type="dxa"/>
            <w:vAlign w:val="bottom"/>
            <w:gridSpan w:val="2"/>
          </w:tcPr>
          <w:p>
            <w:pPr>
              <w:ind w:left="200"/>
              <w:spacing w:after="0"/>
              <w:rPr>
                <w:sz w:val="20"/>
                <w:szCs w:val="20"/>
                <w:color w:val="auto"/>
              </w:rPr>
            </w:pPr>
            <w:r>
              <w:rPr>
                <w:rFonts w:ascii="Arial" w:cs="Arial" w:eastAsia="Arial" w:hAnsi="Arial"/>
                <w:sz w:val="14"/>
                <w:szCs w:val="14"/>
                <w:color w:val="auto"/>
              </w:rPr>
              <w:t>restricted cash</w:t>
            </w:r>
          </w:p>
        </w:tc>
        <w:tc>
          <w:tcPr>
            <w:tcW w:w="24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(8,071)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(839,069)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(847,140)</w:t>
            </w:r>
          </w:p>
        </w:tc>
      </w:tr>
      <w:tr>
        <w:trPr>
          <w:trHeight w:val="20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4"/>
        </w:trPr>
        <w:tc>
          <w:tcPr>
            <w:tcW w:w="35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beginning of period</w:t>
            </w:r>
          </w:p>
        </w:tc>
        <w:tc>
          <w:tcPr>
            <w:tcW w:w="2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12,546</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1,104,993</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1,117,539</w:t>
            </w:r>
          </w:p>
        </w:tc>
      </w:tr>
      <w:tr>
        <w:trPr>
          <w:trHeight w:val="17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Cash, cash equivalents and restricted cash, end of</w:t>
            </w:r>
          </w:p>
        </w:tc>
        <w:tc>
          <w:tcPr>
            <w:tcW w:w="2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178"/>
        </w:trPr>
        <w:tc>
          <w:tcPr>
            <w:tcW w:w="3560" w:type="dxa"/>
            <w:vAlign w:val="bottom"/>
            <w:gridSpan w:val="2"/>
          </w:tcPr>
          <w:p>
            <w:pPr>
              <w:ind w:left="200"/>
              <w:spacing w:after="0"/>
              <w:rPr>
                <w:sz w:val="20"/>
                <w:szCs w:val="20"/>
                <w:color w:val="auto"/>
              </w:rPr>
            </w:pPr>
            <w:r>
              <w:rPr>
                <w:rFonts w:ascii="Arial" w:cs="Arial" w:eastAsia="Arial" w:hAnsi="Arial"/>
                <w:sz w:val="14"/>
                <w:szCs w:val="14"/>
                <w:color w:val="auto"/>
              </w:rPr>
              <w:t>period</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4,475</w:t>
            </w:r>
          </w:p>
        </w:tc>
        <w:tc>
          <w:tcPr>
            <w:tcW w:w="12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265,924</w:t>
            </w:r>
          </w:p>
        </w:tc>
        <w:tc>
          <w:tcPr>
            <w:tcW w:w="12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270,399</w:t>
            </w:r>
          </w:p>
        </w:tc>
      </w:tr>
      <w:tr>
        <w:trPr>
          <w:trHeight w:val="121"/>
        </w:trPr>
        <w:tc>
          <w:tcPr>
            <w:tcW w:w="3440" w:type="dxa"/>
            <w:vAlign w:val="bottom"/>
            <w:tcBorders>
              <w:top w:val="single" w:sz="8" w:color="CCEEFF"/>
              <w:bottom w:val="single" w:sz="8" w:color="auto"/>
            </w:tcBorders>
            <w:shd w:val="clear" w:color="auto" w:fill="CCEEFF"/>
          </w:tcPr>
          <w:p>
            <w:pPr>
              <w:spacing w:after="0"/>
              <w:rPr>
                <w:sz w:val="10"/>
                <w:szCs w:val="10"/>
                <w:color w:val="auto"/>
              </w:rPr>
            </w:pPr>
          </w:p>
        </w:tc>
        <w:tc>
          <w:tcPr>
            <w:tcW w:w="120" w:type="dxa"/>
            <w:vAlign w:val="bottom"/>
            <w:tcBorders>
              <w:top w:val="single" w:sz="8" w:color="CCEEFF"/>
              <w:bottom w:val="single" w:sz="8" w:color="auto"/>
            </w:tcBorders>
            <w:shd w:val="clear" w:color="auto" w:fill="CCEEFF"/>
          </w:tcPr>
          <w:p>
            <w:pPr>
              <w:spacing w:after="0"/>
              <w:rPr>
                <w:sz w:val="10"/>
                <w:szCs w:val="10"/>
                <w:color w:val="auto"/>
              </w:rPr>
            </w:pPr>
          </w:p>
        </w:tc>
        <w:tc>
          <w:tcPr>
            <w:tcW w:w="240" w:type="dxa"/>
            <w:vAlign w:val="bottom"/>
            <w:tcBorders>
              <w:top w:val="single" w:sz="8" w:color="auto"/>
              <w:bottom w:val="single" w:sz="8" w:color="auto"/>
            </w:tcBorders>
            <w:shd w:val="clear" w:color="auto" w:fill="CCEEFF"/>
          </w:tcPr>
          <w:p>
            <w:pPr>
              <w:spacing w:after="0"/>
              <w:rPr>
                <w:sz w:val="10"/>
                <w:szCs w:val="10"/>
                <w:color w:val="auto"/>
              </w:rPr>
            </w:pPr>
          </w:p>
        </w:tc>
        <w:tc>
          <w:tcPr>
            <w:tcW w:w="1260" w:type="dxa"/>
            <w:vAlign w:val="bottom"/>
            <w:tcBorders>
              <w:top w:val="single" w:sz="8" w:color="auto"/>
              <w:bottom w:val="single" w:sz="8" w:color="auto"/>
            </w:tcBorders>
            <w:shd w:val="clear" w:color="auto" w:fill="CCEEFF"/>
          </w:tcPr>
          <w:p>
            <w:pPr>
              <w:spacing w:after="0"/>
              <w:rPr>
                <w:sz w:val="10"/>
                <w:szCs w:val="10"/>
                <w:color w:val="auto"/>
              </w:rPr>
            </w:pPr>
          </w:p>
        </w:tc>
        <w:tc>
          <w:tcPr>
            <w:tcW w:w="120" w:type="dxa"/>
            <w:vAlign w:val="bottom"/>
            <w:tcBorders>
              <w:top w:val="single" w:sz="8" w:color="CCEEFF"/>
              <w:bottom w:val="single" w:sz="8" w:color="auto"/>
            </w:tcBorders>
            <w:shd w:val="clear" w:color="auto" w:fill="CCEEFF"/>
          </w:tcPr>
          <w:p>
            <w:pPr>
              <w:spacing w:after="0"/>
              <w:rPr>
                <w:sz w:val="10"/>
                <w:szCs w:val="10"/>
                <w:color w:val="auto"/>
              </w:rPr>
            </w:pPr>
          </w:p>
        </w:tc>
        <w:tc>
          <w:tcPr>
            <w:tcW w:w="380" w:type="dxa"/>
            <w:vAlign w:val="bottom"/>
            <w:tcBorders>
              <w:top w:val="single" w:sz="8" w:color="auto"/>
              <w:bottom w:val="single" w:sz="8" w:color="auto"/>
            </w:tcBorders>
            <w:shd w:val="clear" w:color="auto" w:fill="CCEEFF"/>
          </w:tcPr>
          <w:p>
            <w:pPr>
              <w:spacing w:after="0"/>
              <w:rPr>
                <w:sz w:val="10"/>
                <w:szCs w:val="10"/>
                <w:color w:val="auto"/>
              </w:rPr>
            </w:pPr>
          </w:p>
        </w:tc>
        <w:tc>
          <w:tcPr>
            <w:tcW w:w="1120" w:type="dxa"/>
            <w:vAlign w:val="bottom"/>
            <w:tcBorders>
              <w:top w:val="single" w:sz="8" w:color="auto"/>
              <w:bottom w:val="single" w:sz="8" w:color="auto"/>
            </w:tcBorders>
            <w:shd w:val="clear" w:color="auto" w:fill="CCEEFF"/>
          </w:tcPr>
          <w:p>
            <w:pPr>
              <w:spacing w:after="0"/>
              <w:rPr>
                <w:sz w:val="10"/>
                <w:szCs w:val="10"/>
                <w:color w:val="auto"/>
              </w:rPr>
            </w:pPr>
          </w:p>
        </w:tc>
        <w:tc>
          <w:tcPr>
            <w:tcW w:w="120" w:type="dxa"/>
            <w:vAlign w:val="bottom"/>
            <w:tcBorders>
              <w:top w:val="single" w:sz="8" w:color="CCEEFF"/>
              <w:bottom w:val="single" w:sz="8" w:color="auto"/>
            </w:tcBorders>
            <w:shd w:val="clear" w:color="auto" w:fill="CCEEFF"/>
          </w:tcPr>
          <w:p>
            <w:pPr>
              <w:spacing w:after="0"/>
              <w:rPr>
                <w:sz w:val="10"/>
                <w:szCs w:val="10"/>
                <w:color w:val="auto"/>
              </w:rPr>
            </w:pPr>
          </w:p>
        </w:tc>
        <w:tc>
          <w:tcPr>
            <w:tcW w:w="360" w:type="dxa"/>
            <w:vAlign w:val="bottom"/>
            <w:tcBorders>
              <w:top w:val="single" w:sz="8" w:color="auto"/>
              <w:bottom w:val="single" w:sz="8" w:color="auto"/>
            </w:tcBorders>
            <w:shd w:val="clear" w:color="auto" w:fill="CCEEFF"/>
          </w:tcPr>
          <w:p>
            <w:pPr>
              <w:spacing w:after="0"/>
              <w:rPr>
                <w:sz w:val="10"/>
                <w:szCs w:val="10"/>
                <w:color w:val="auto"/>
              </w:rPr>
            </w:pPr>
          </w:p>
        </w:tc>
        <w:tc>
          <w:tcPr>
            <w:tcW w:w="1120" w:type="dxa"/>
            <w:vAlign w:val="bottom"/>
            <w:tcBorders>
              <w:top w:val="single" w:sz="8" w:color="auto"/>
              <w:bottom w:val="single" w:sz="8" w:color="auto"/>
            </w:tcBorders>
            <w:shd w:val="clear" w:color="auto" w:fill="CCEEFF"/>
          </w:tcPr>
          <w:p>
            <w:pPr>
              <w:spacing w:after="0"/>
              <w:rPr>
                <w:sz w:val="10"/>
                <w:szCs w:val="10"/>
                <w:color w:val="auto"/>
              </w:rPr>
            </w:pPr>
          </w:p>
        </w:tc>
        <w:tc>
          <w:tcPr>
            <w:tcW w:w="120" w:type="dxa"/>
            <w:vAlign w:val="bottom"/>
            <w:tcBorders>
              <w:top w:val="single" w:sz="8" w:color="CCEEFF"/>
              <w:bottom w:val="single" w:sz="8" w:color="auto"/>
            </w:tcBorders>
            <w:shd w:val="clear" w:color="auto" w:fill="CCEEFF"/>
          </w:tcPr>
          <w:p>
            <w:pPr>
              <w:spacing w:after="0"/>
              <w:rPr>
                <w:sz w:val="10"/>
                <w:szCs w:val="10"/>
                <w:color w:val="auto"/>
              </w:rPr>
            </w:pPr>
          </w:p>
        </w:tc>
        <w:tc>
          <w:tcPr>
            <w:tcW w:w="340" w:type="dxa"/>
            <w:vAlign w:val="bottom"/>
            <w:tcBorders>
              <w:top w:val="single" w:sz="8" w:color="auto"/>
              <w:bottom w:val="single" w:sz="8" w:color="auto"/>
            </w:tcBorders>
            <w:shd w:val="clear" w:color="auto" w:fill="CCEEFF"/>
          </w:tcPr>
          <w:p>
            <w:pPr>
              <w:spacing w:after="0"/>
              <w:rPr>
                <w:sz w:val="10"/>
                <w:szCs w:val="10"/>
                <w:color w:val="auto"/>
              </w:rPr>
            </w:pPr>
          </w:p>
        </w:tc>
        <w:tc>
          <w:tcPr>
            <w:tcW w:w="112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bottom w:val="single" w:sz="8" w:color="auto"/>
            </w:tcBorders>
            <w:shd w:val="clear" w:color="auto" w:fill="CCEEFF"/>
          </w:tcPr>
          <w:p>
            <w:pPr>
              <w:spacing w:after="0"/>
              <w:rPr>
                <w:sz w:val="10"/>
                <w:szCs w:val="10"/>
                <w:color w:val="auto"/>
              </w:rPr>
            </w:pPr>
          </w:p>
        </w:tc>
        <w:tc>
          <w:tcPr>
            <w:tcW w:w="320" w:type="dxa"/>
            <w:vAlign w:val="bottom"/>
            <w:tcBorders>
              <w:top w:val="single" w:sz="8" w:color="auto"/>
              <w:bottom w:val="single" w:sz="8" w:color="auto"/>
            </w:tcBorders>
            <w:shd w:val="clear" w:color="auto" w:fill="CCEEFF"/>
          </w:tcPr>
          <w:p>
            <w:pPr>
              <w:spacing w:after="0"/>
              <w:rPr>
                <w:sz w:val="10"/>
                <w:szCs w:val="10"/>
                <w:color w:val="auto"/>
              </w:rPr>
            </w:pPr>
          </w:p>
        </w:tc>
        <w:tc>
          <w:tcPr>
            <w:tcW w:w="1140" w:type="dxa"/>
            <w:vAlign w:val="bottom"/>
            <w:tcBorders>
              <w:top w:val="single" w:sz="8" w:color="auto"/>
              <w:bottom w:val="single" w:sz="8" w:color="auto"/>
            </w:tcBorders>
            <w:shd w:val="clear" w:color="auto" w:fill="CCEEFF"/>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308610</wp:posOffset>
            </wp:positionV>
            <wp:extent cx="222885"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8380"/>
        <w:spacing w:after="0"/>
        <w:tabs>
          <w:tab w:leader="none" w:pos="1114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FY2019 Form 10-Q</w:t>
      </w:r>
      <w:r>
        <w:rPr>
          <w:sz w:val="20"/>
          <w:szCs w:val="20"/>
          <w:color w:val="auto"/>
        </w:rPr>
        <w:tab/>
      </w:r>
      <w:r>
        <w:rPr>
          <w:rFonts w:ascii="Arial" w:cs="Arial" w:eastAsia="Arial" w:hAnsi="Arial"/>
          <w:sz w:val="14"/>
          <w:szCs w:val="14"/>
          <w:color w:val="FFFFFF"/>
          <w:highlight w:val="black"/>
        </w:rPr>
        <w:t>25</w:t>
      </w:r>
    </w:p>
    <w:p>
      <w:pPr>
        <w:sectPr>
          <w:pgSz w:w="11900" w:h="16838" w:orient="portrait"/>
          <w:cols w:equalWidth="0" w:num="1">
            <w:col w:w="11420"/>
          </w:cols>
          <w:pgMar w:left="240" w:top="249"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subsidiaries provide assisted and DIY tax preparation solutions through multiple channels (including in-person, online and mobile applications, and desktop software) and distribute H&amp;R Block-branded products and services, including those of our financial partners, to the general public primarily in the U.S., Canada, Australia, and their respective territories. Tax returns are either prepared by H&amp;R Block tax professionals (in company-owned or franchise offices or via an internet review) or prepared and filed by our clients through our DIY tax solutions. We operate as a single segment that includes all of our continuing operations, which are designed to enable clients to obtain tax preparation services seamlessly.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our Annual Report on Form 10-K for the fiscal year ended April 30, 2018, we disclosed our intent to review our overall pricing structure which was expected to negatively impact revenues in fiscal year 2019. As a result of this review, on October 29, 2018, we announced that, beginning January 2019, we would offer upfront, transparent pricing for all tax preparation methods, and lower prices for millions of our assisted tax preparation clients, which will result in a revenue decline in fiscal year 2019. Although our net average charge for the quarter ended January 31, 2019 has increased over the prior year period, we continue to expect an overall decline in net average charge by the end of the fiscal year.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Operating Statistics (U.S.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Nine months ended January 31,</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Change</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 Change</w:t>
            </w:r>
          </w:p>
        </w:tc>
      </w:tr>
      <w:tr>
        <w:trPr>
          <w:trHeight w:val="270"/>
        </w:trPr>
        <w:tc>
          <w:tcPr>
            <w:tcW w:w="5540" w:type="dxa"/>
            <w:vAlign w:val="bottom"/>
            <w:gridSpan w:val="2"/>
          </w:tcPr>
          <w:p>
            <w:pPr>
              <w:ind w:left="40"/>
              <w:spacing w:after="0" w:line="270" w:lineRule="exact"/>
              <w:rPr>
                <w:sz w:val="20"/>
                <w:szCs w:val="20"/>
                <w:color w:val="auto"/>
              </w:rPr>
            </w:pPr>
            <w:r>
              <w:rPr>
                <w:rFonts w:ascii="Arial" w:cs="Arial" w:eastAsia="Arial" w:hAnsi="Arial"/>
                <w:sz w:val="16"/>
                <w:szCs w:val="16"/>
                <w:color w:val="auto"/>
              </w:rPr>
              <w:t xml:space="preserve">Tax returns prepared: (in 000s) </w:t>
            </w:r>
            <w:r>
              <w:rPr>
                <w:rFonts w:ascii="Arial" w:cs="Arial" w:eastAsia="Arial" w:hAnsi="Arial"/>
                <w:sz w:val="27"/>
                <w:szCs w:val="27"/>
                <w:color w:val="auto"/>
                <w:vertAlign w:val="superscript"/>
              </w:rPr>
              <w:t>(1)</w:t>
            </w: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Company-owned operations</w:t>
            </w: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1,310</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1,424</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64"/>
        </w:trPr>
        <w:tc>
          <w:tcPr>
            <w:tcW w:w="554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Franchise operations</w:t>
            </w: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657</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736</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5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(10.7)%</w:t>
            </w:r>
          </w:p>
        </w:tc>
      </w:tr>
      <w:tr>
        <w:trPr>
          <w:trHeight w:val="250"/>
        </w:trPr>
        <w:tc>
          <w:tcPr>
            <w:tcW w:w="55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Total assisted</w:t>
            </w: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1,967</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2,160</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122"/>
        </w:trPr>
        <w:tc>
          <w:tcPr>
            <w:tcW w:w="5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r>
      <w:tr>
        <w:trPr>
          <w:trHeight w:val="270"/>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Desktop</w:t>
            </w: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128</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(15.2)%</w:t>
            </w:r>
          </w:p>
        </w:tc>
      </w:tr>
      <w:tr>
        <w:trPr>
          <w:trHeight w:val="264"/>
        </w:trPr>
        <w:tc>
          <w:tcPr>
            <w:tcW w:w="554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Online</w:t>
            </w: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1,164</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1,126</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w:t>
            </w:r>
          </w:p>
        </w:tc>
        <w:tc>
          <w:tcPr>
            <w:tcW w:w="15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3.4 %</w:t>
            </w:r>
          </w:p>
        </w:tc>
      </w:tr>
      <w:tr>
        <w:trPr>
          <w:trHeight w:val="250"/>
        </w:trPr>
        <w:tc>
          <w:tcPr>
            <w:tcW w:w="55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Total H&amp;R Block DIY</w:t>
            </w: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1,292</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1,277</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1.2 %</w:t>
            </w:r>
          </w:p>
        </w:tc>
      </w:tr>
      <w:tr>
        <w:trPr>
          <w:trHeight w:val="122"/>
        </w:trPr>
        <w:tc>
          <w:tcPr>
            <w:tcW w:w="5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r>
      <w:tr>
        <w:trPr>
          <w:trHeight w:val="264"/>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IRS Free File</w:t>
            </w:r>
          </w:p>
        </w:tc>
        <w:tc>
          <w:tcPr>
            <w:tcW w:w="4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101</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7.4 %</w:t>
            </w:r>
          </w:p>
        </w:tc>
      </w:tr>
      <w:tr>
        <w:trPr>
          <w:trHeight w:val="250"/>
        </w:trPr>
        <w:tc>
          <w:tcPr>
            <w:tcW w:w="5540" w:type="dxa"/>
            <w:vAlign w:val="bottom"/>
            <w:tcBorders>
              <w:bottom w:val="single" w:sz="8" w:color="CCEEFF"/>
            </w:tcBorders>
            <w:gridSpan w:val="2"/>
          </w:tcPr>
          <w:p>
            <w:pPr>
              <w:ind w:left="380"/>
              <w:spacing w:after="0"/>
              <w:rPr>
                <w:sz w:val="20"/>
                <w:szCs w:val="20"/>
                <w:color w:val="auto"/>
              </w:rPr>
            </w:pPr>
            <w:r>
              <w:rPr>
                <w:rFonts w:ascii="Arial" w:cs="Arial" w:eastAsia="Arial" w:hAnsi="Arial"/>
                <w:sz w:val="16"/>
                <w:szCs w:val="16"/>
                <w:color w:val="auto"/>
              </w:rPr>
              <w:t>Total H&amp;R Block Returns</w:t>
            </w: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3,360</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3,531</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15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(4.8)%</w:t>
            </w:r>
          </w:p>
        </w:tc>
      </w:tr>
      <w:tr>
        <w:trPr>
          <w:trHeight w:val="122"/>
        </w:trPr>
        <w:tc>
          <w:tcPr>
            <w:tcW w:w="5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r>
      <w:tr>
        <w:trPr>
          <w:trHeight w:val="270"/>
        </w:trPr>
        <w:tc>
          <w:tcPr>
            <w:tcW w:w="5540" w:type="dxa"/>
            <w:vAlign w:val="bottom"/>
            <w:gridSpan w:val="2"/>
          </w:tcPr>
          <w:p>
            <w:pPr>
              <w:ind w:left="40"/>
              <w:spacing w:after="0" w:line="270" w:lineRule="exact"/>
              <w:rPr>
                <w:sz w:val="20"/>
                <w:szCs w:val="20"/>
                <w:color w:val="auto"/>
              </w:rPr>
            </w:pPr>
            <w:r>
              <w:rPr>
                <w:rFonts w:ascii="Arial" w:cs="Arial" w:eastAsia="Arial" w:hAnsi="Arial"/>
                <w:sz w:val="16"/>
                <w:szCs w:val="16"/>
                <w:color w:val="auto"/>
              </w:rPr>
              <w:t xml:space="preserve">Net Average Charge: </w:t>
            </w:r>
            <w:r>
              <w:rPr>
                <w:rFonts w:ascii="Arial" w:cs="Arial" w:eastAsia="Arial" w:hAnsi="Arial"/>
                <w:sz w:val="27"/>
                <w:szCs w:val="27"/>
                <w:color w:val="auto"/>
                <w:vertAlign w:val="superscript"/>
              </w:rPr>
              <w:t>(2)</w:t>
            </w: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Company-owned Operations</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252.60</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235.57</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7.2 %</w:t>
            </w:r>
          </w:p>
        </w:tc>
      </w:tr>
      <w:tr>
        <w:trPr>
          <w:trHeight w:val="270"/>
        </w:trPr>
        <w:tc>
          <w:tcPr>
            <w:tcW w:w="5540" w:type="dxa"/>
            <w:vAlign w:val="bottom"/>
            <w:gridSpan w:val="2"/>
          </w:tcPr>
          <w:p>
            <w:pPr>
              <w:ind w:left="180"/>
              <w:spacing w:after="0" w:line="270" w:lineRule="exact"/>
              <w:rPr>
                <w:sz w:val="20"/>
                <w:szCs w:val="20"/>
                <w:color w:val="auto"/>
              </w:rPr>
            </w:pPr>
            <w:r>
              <w:rPr>
                <w:rFonts w:ascii="Arial" w:cs="Arial" w:eastAsia="Arial" w:hAnsi="Arial"/>
                <w:sz w:val="16"/>
                <w:szCs w:val="16"/>
                <w:color w:val="auto"/>
              </w:rPr>
              <w:t xml:space="preserve">Franchise Operations </w:t>
            </w:r>
            <w:r>
              <w:rPr>
                <w:rFonts w:ascii="Arial" w:cs="Arial" w:eastAsia="Arial" w:hAnsi="Arial"/>
                <w:sz w:val="27"/>
                <w:szCs w:val="27"/>
                <w:color w:val="auto"/>
                <w:vertAlign w:val="superscript"/>
              </w:rPr>
              <w:t>(3)</w:t>
            </w:r>
          </w:p>
        </w:tc>
        <w:tc>
          <w:tcPr>
            <w:tcW w:w="44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244.08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226.07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18.01</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8.0 %</w:t>
            </w:r>
          </w:p>
        </w:tc>
      </w:tr>
      <w:tr>
        <w:trPr>
          <w:trHeight w:val="270"/>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DIY</w:t>
            </w: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29.15</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30.39</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135"/>
        </w:trPr>
        <w:tc>
          <w:tcPr>
            <w:tcW w:w="5540" w:type="dxa"/>
            <w:vAlign w:val="bottom"/>
            <w:tcBorders>
              <w:bottom w:val="single" w:sz="8" w:color="auto"/>
            </w:tcBorders>
            <w:gridSpan w:val="2"/>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r>
      <w:tr>
        <w:trPr>
          <w:trHeight w:val="257"/>
        </w:trPr>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As of January 31,</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Change</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 Change</w:t>
            </w:r>
          </w:p>
        </w:tc>
      </w:tr>
      <w:tr>
        <w:trPr>
          <w:trHeight w:val="270"/>
        </w:trPr>
        <w:tc>
          <w:tcPr>
            <w:tcW w:w="5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Tax offices:</w:t>
            </w: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60"/>
        </w:trPr>
        <w:tc>
          <w:tcPr>
            <w:tcW w:w="5540" w:type="dxa"/>
            <w:vAlign w:val="bottom"/>
            <w:gridSpan w:val="2"/>
          </w:tcPr>
          <w:p>
            <w:pPr>
              <w:ind w:left="180"/>
              <w:spacing w:after="0"/>
              <w:rPr>
                <w:sz w:val="20"/>
                <w:szCs w:val="20"/>
                <w:color w:val="auto"/>
              </w:rPr>
            </w:pPr>
            <w:r>
              <w:rPr>
                <w:rFonts w:ascii="Arial" w:cs="Arial" w:eastAsia="Arial" w:hAnsi="Arial"/>
                <w:sz w:val="16"/>
                <w:szCs w:val="16"/>
                <w:color w:val="auto"/>
              </w:rPr>
              <w:t>Company-owned offices</w:t>
            </w:r>
          </w:p>
        </w:tc>
        <w:tc>
          <w:tcPr>
            <w:tcW w:w="44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6,356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6,690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(334)</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(5.0)%</w:t>
            </w:r>
          </w:p>
        </w:tc>
      </w:tr>
      <w:tr>
        <w:trPr>
          <w:trHeight w:val="273"/>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Franchise offices</w:t>
            </w:r>
          </w:p>
        </w:tc>
        <w:tc>
          <w:tcPr>
            <w:tcW w:w="4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3,148</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3,291</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50"/>
        </w:trPr>
        <w:tc>
          <w:tcPr>
            <w:tcW w:w="55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Total U.S. offices</w:t>
            </w: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9,504</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9,981</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w:t>
            </w:r>
          </w:p>
        </w:tc>
        <w:tc>
          <w:tcPr>
            <w:tcW w:w="15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(4.8)%</w:t>
            </w:r>
          </w:p>
        </w:tc>
      </w:tr>
      <w:tr>
        <w:trPr>
          <w:trHeight w:val="122"/>
        </w:trPr>
        <w:tc>
          <w:tcPr>
            <w:tcW w:w="542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spacing w:after="0"/>
              <w:rPr>
                <w:sz w:val="10"/>
                <w:szCs w:val="10"/>
                <w:color w:val="auto"/>
              </w:rPr>
            </w:pPr>
          </w:p>
        </w:tc>
        <w:tc>
          <w:tcPr>
            <w:tcW w:w="96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480" w:type="dxa"/>
            <w:vAlign w:val="bottom"/>
            <w:tcBorders>
              <w:bottom w:val="single" w:sz="8" w:color="auto"/>
            </w:tcBorders>
            <w:shd w:val="clear" w:color="auto" w:fill="CCEEFF"/>
          </w:tcPr>
          <w:p>
            <w:pPr>
              <w:spacing w:after="0"/>
              <w:rPr>
                <w:sz w:val="10"/>
                <w:szCs w:val="10"/>
                <w:color w:val="auto"/>
              </w:rPr>
            </w:pPr>
          </w:p>
        </w:tc>
      </w:tr>
    </w:tbl>
    <w:p>
      <w:pPr>
        <w:spacing w:after="0" w:line="113" w:lineRule="exact"/>
        <w:rPr>
          <w:sz w:val="20"/>
          <w:szCs w:val="20"/>
          <w:color w:val="auto"/>
        </w:rPr>
      </w:pPr>
    </w:p>
    <w:p>
      <w:pPr>
        <w:jc w:val="both"/>
        <w:ind w:left="260" w:hanging="252"/>
        <w:spacing w:after="0" w:line="195" w:lineRule="auto"/>
        <w:tabs>
          <w:tab w:leader="none" w:pos="260" w:val="left"/>
        </w:tabs>
        <w:numPr>
          <w:ilvl w:val="0"/>
          <w:numId w:val="18"/>
        </w:numPr>
        <w:rPr>
          <w:rFonts w:ascii="Arial" w:cs="Arial" w:eastAsia="Arial" w:hAnsi="Arial"/>
          <w:sz w:val="24"/>
          <w:szCs w:val="24"/>
          <w:color w:val="auto"/>
          <w:vertAlign w:val="superscript"/>
        </w:rPr>
      </w:pPr>
      <w:r>
        <w:rPr>
          <w:rFonts w:ascii="Arial" w:cs="Arial" w:eastAsia="Arial" w:hAnsi="Arial"/>
          <w:sz w:val="14"/>
          <w:szCs w:val="14"/>
          <w:color w:val="auto"/>
        </w:rPr>
        <w:t>An assisted tax return is defined as a current or prior year individual tax return that has been accepted and paid for by the client. Also included are business returns, which account for less than 1% of assisted tax returns. A DIY return is defined as a return that has been electronically filed and accepted by the IRS. Also included are online returns paid and printed.</w:t>
      </w:r>
    </w:p>
    <w:p>
      <w:pPr>
        <w:ind w:left="260" w:hanging="252"/>
        <w:spacing w:after="0" w:line="187" w:lineRule="auto"/>
        <w:tabs>
          <w:tab w:leader="none" w:pos="260" w:val="left"/>
        </w:tabs>
        <w:numPr>
          <w:ilvl w:val="0"/>
          <w:numId w:val="18"/>
        </w:numPr>
        <w:rPr>
          <w:rFonts w:ascii="Arial" w:cs="Arial" w:eastAsia="Arial" w:hAnsi="Arial"/>
          <w:sz w:val="18"/>
          <w:szCs w:val="18"/>
          <w:color w:val="auto"/>
          <w:vertAlign w:val="superscript"/>
        </w:rPr>
      </w:pPr>
      <w:r>
        <w:rPr>
          <w:rFonts w:ascii="Arial" w:cs="Arial" w:eastAsia="Arial" w:hAnsi="Arial"/>
          <w:sz w:val="12"/>
          <w:szCs w:val="12"/>
          <w:color w:val="auto"/>
        </w:rPr>
        <w:t>Net average charge is calculated as tax preparation fees divided by tax returns prepared. For DIY, net average charge excludes IRS Free File.</w:t>
      </w:r>
    </w:p>
    <w:p>
      <w:pPr>
        <w:ind w:left="260" w:right="20" w:hanging="252"/>
        <w:spacing w:after="0" w:line="183" w:lineRule="auto"/>
        <w:tabs>
          <w:tab w:leader="none" w:pos="260" w:val="left"/>
        </w:tabs>
        <w:numPr>
          <w:ilvl w:val="0"/>
          <w:numId w:val="18"/>
        </w:numPr>
        <w:rPr>
          <w:rFonts w:ascii="Arial" w:cs="Arial" w:eastAsia="Arial" w:hAnsi="Arial"/>
          <w:sz w:val="24"/>
          <w:szCs w:val="24"/>
          <w:color w:val="auto"/>
          <w:vertAlign w:val="superscript"/>
        </w:rPr>
      </w:pPr>
      <w:r>
        <w:rPr>
          <w:rFonts w:ascii="Arial" w:cs="Arial" w:eastAsia="Arial" w:hAnsi="Arial"/>
          <w:sz w:val="14"/>
          <w:szCs w:val="14"/>
          <w:color w:val="auto"/>
        </w:rPr>
        <w:t>Net average charge related to H&amp;R Block Franchise Operations represents tax preparation fees collected by H&amp;R Block franchisees divided by returns prepared in franchise offices. H&amp;R Block will recognize a portion of franchise revenues as franchise royalties based on the terms of franchise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23177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1775" cy="13716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400" w:hanging="290"/>
        <w:spacing w:after="0"/>
        <w:tabs>
          <w:tab w:leader="none" w:pos="400" w:val="left"/>
        </w:tabs>
        <w:numPr>
          <w:ilvl w:val="0"/>
          <w:numId w:val="19"/>
        </w:numPr>
        <w:rPr>
          <w:rFonts w:ascii="Arial" w:cs="Arial" w:eastAsia="Arial" w:hAnsi="Arial"/>
          <w:sz w:val="14"/>
          <w:szCs w:val="14"/>
          <w:color w:val="FFFFFF"/>
          <w:highlight w:val="black"/>
        </w:rPr>
      </w:pPr>
      <w:r>
        <w:rPr>
          <w:rFonts w:ascii="Arial" w:cs="Arial" w:eastAsia="Arial" w:hAnsi="Arial"/>
          <w:sz w:val="14"/>
          <w:szCs w:val="14"/>
          <w:color w:val="auto"/>
        </w:rPr>
        <w:t xml:space="preserve">Q3 FY2019 Form 10-Q | </w:t>
      </w:r>
      <w:r>
        <w:rPr>
          <w:rFonts w:ascii="Arial" w:cs="Arial" w:eastAsia="Arial" w:hAnsi="Arial"/>
          <w:sz w:val="14"/>
          <w:szCs w:val="14"/>
          <w:b w:val="1"/>
          <w:bCs w:val="1"/>
          <w:color w:val="auto"/>
        </w:rPr>
        <w:t>H&amp;R Block, Inc.</w:t>
      </w:r>
    </w:p>
    <w:p>
      <w:pPr>
        <w:sectPr>
          <w:pgSz w:w="11900" w:h="16838" w:orient="portrait"/>
          <w:cols w:equalWidth="0" w:num="1">
            <w:col w:w="11420"/>
          </w:cols>
          <w:pgMar w:left="240" w:top="249"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provide net average charge as a key operating metric because we consider it an important supplemental measure useful to analysts, investors, and other interested parties as it provides insights into pricing and tax return mix relative to our customer base, which are significant drivers of revenue. Our definition of net average charge may not be comparable to similarly titled measures of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Consolidated – Financial Results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color w:val="auto"/>
              </w:rPr>
              <w:t>(in 000s, except per share amounts)</w:t>
            </w:r>
          </w:p>
        </w:tc>
      </w:tr>
      <w:tr>
        <w:trPr>
          <w:trHeight w:val="263"/>
        </w:trPr>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Three months ended January 31,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2018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 Change</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 Change</w:t>
            </w:r>
          </w:p>
        </w:tc>
      </w:tr>
      <w:tr>
        <w:trPr>
          <w:trHeight w:val="270"/>
        </w:trPr>
        <w:tc>
          <w:tcPr>
            <w:tcW w:w="5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60"/>
        </w:trPr>
        <w:tc>
          <w:tcPr>
            <w:tcW w:w="5540" w:type="dxa"/>
            <w:vAlign w:val="bottom"/>
            <w:gridSpan w:val="2"/>
          </w:tcPr>
          <w:p>
            <w:pPr>
              <w:ind w:left="180"/>
              <w:spacing w:after="0"/>
              <w:rPr>
                <w:sz w:val="20"/>
                <w:szCs w:val="20"/>
                <w:color w:val="auto"/>
              </w:rPr>
            </w:pPr>
            <w:r>
              <w:rPr>
                <w:rFonts w:ascii="Arial" w:cs="Arial" w:eastAsia="Arial" w:hAnsi="Arial"/>
                <w:sz w:val="16"/>
                <w:szCs w:val="16"/>
                <w:color w:val="auto"/>
              </w:rPr>
              <w:t>U.S. assisted tax preparation</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256,813</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267,328</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(10,515)</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(3.9)%</w:t>
            </w:r>
          </w:p>
        </w:tc>
      </w:tr>
      <w:tr>
        <w:trPr>
          <w:trHeight w:val="260"/>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U.S. royalties</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42,265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45,420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60"/>
        </w:trPr>
        <w:tc>
          <w:tcPr>
            <w:tcW w:w="5540" w:type="dxa"/>
            <w:vAlign w:val="bottom"/>
            <w:gridSpan w:val="2"/>
          </w:tcPr>
          <w:p>
            <w:pPr>
              <w:ind w:left="180"/>
              <w:spacing w:after="0"/>
              <w:rPr>
                <w:sz w:val="20"/>
                <w:szCs w:val="20"/>
                <w:color w:val="auto"/>
              </w:rPr>
            </w:pPr>
            <w:r>
              <w:rPr>
                <w:rFonts w:ascii="Arial" w:cs="Arial" w:eastAsia="Arial" w:hAnsi="Arial"/>
                <w:sz w:val="16"/>
                <w:szCs w:val="16"/>
                <w:color w:val="auto"/>
              </w:rPr>
              <w:t>U.S. DIY tax preparation</w:t>
            </w: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31,885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31,322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563</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1.8 %</w:t>
            </w:r>
          </w:p>
        </w:tc>
      </w:tr>
      <w:tr>
        <w:trPr>
          <w:trHeight w:val="260"/>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International revenues</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12,304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12,308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60"/>
        </w:trPr>
        <w:tc>
          <w:tcPr>
            <w:tcW w:w="5540" w:type="dxa"/>
            <w:vAlign w:val="bottom"/>
            <w:gridSpan w:val="2"/>
          </w:tcPr>
          <w:p>
            <w:pPr>
              <w:ind w:left="180"/>
              <w:spacing w:after="0"/>
              <w:rPr>
                <w:sz w:val="20"/>
                <w:szCs w:val="20"/>
                <w:color w:val="auto"/>
              </w:rPr>
            </w:pPr>
            <w:r>
              <w:rPr>
                <w:rFonts w:ascii="Arial" w:cs="Arial" w:eastAsia="Arial" w:hAnsi="Arial"/>
                <w:sz w:val="16"/>
                <w:szCs w:val="16"/>
                <w:color w:val="auto"/>
              </w:rPr>
              <w:t>Revenues from Refund Transfers</w:t>
            </w: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47,482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50,770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(3,288)</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(6.5)%</w:t>
            </w:r>
          </w:p>
        </w:tc>
      </w:tr>
      <w:tr>
        <w:trPr>
          <w:trHeight w:val="280"/>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Revenues from Emerald Card®</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14,980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16,125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60"/>
        </w:trPr>
        <w:tc>
          <w:tcPr>
            <w:tcW w:w="5540" w:type="dxa"/>
            <w:vAlign w:val="bottom"/>
            <w:gridSpan w:val="2"/>
          </w:tcPr>
          <w:p>
            <w:pPr>
              <w:ind w:left="180"/>
              <w:spacing w:after="0"/>
              <w:rPr>
                <w:sz w:val="20"/>
                <w:szCs w:val="20"/>
                <w:color w:val="auto"/>
              </w:rPr>
            </w:pPr>
            <w:r>
              <w:rPr>
                <w:rFonts w:ascii="Arial" w:cs="Arial" w:eastAsia="Arial" w:hAnsi="Arial"/>
                <w:sz w:val="16"/>
                <w:szCs w:val="16"/>
                <w:color w:val="auto"/>
              </w:rPr>
              <w:t>Revenues from Peace of Mind® Extended Service Plan</w:t>
            </w: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16,596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19,967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(3,371)</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(16.9)%</w:t>
            </w:r>
          </w:p>
        </w:tc>
      </w:tr>
      <w:tr>
        <w:trPr>
          <w:trHeight w:val="280"/>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Revenues from Tax Identity Shield®</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7,655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6,818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12.3 %</w:t>
            </w:r>
          </w:p>
        </w:tc>
      </w:tr>
      <w:tr>
        <w:trPr>
          <w:trHeight w:val="270"/>
        </w:trPr>
        <w:tc>
          <w:tcPr>
            <w:tcW w:w="5540" w:type="dxa"/>
            <w:vAlign w:val="bottom"/>
            <w:gridSpan w:val="2"/>
          </w:tcPr>
          <w:p>
            <w:pPr>
              <w:ind w:left="180"/>
              <w:spacing w:after="0" w:line="270" w:lineRule="exact"/>
              <w:rPr>
                <w:sz w:val="20"/>
                <w:szCs w:val="20"/>
                <w:color w:val="auto"/>
              </w:rPr>
            </w:pPr>
            <w:r>
              <w:rPr>
                <w:rFonts w:ascii="Arial" w:cs="Arial" w:eastAsia="Arial" w:hAnsi="Arial"/>
                <w:sz w:val="16"/>
                <w:szCs w:val="16"/>
                <w:color w:val="auto"/>
              </w:rPr>
              <w:t>Interest and fee income on Emerald Advance</w:t>
            </w:r>
            <w:r>
              <w:rPr>
                <w:rFonts w:ascii="Arial" w:cs="Arial" w:eastAsia="Arial" w:hAnsi="Arial"/>
                <w:sz w:val="27"/>
                <w:szCs w:val="27"/>
                <w:color w:val="auto"/>
                <w:vertAlign w:val="superscript"/>
              </w:rPr>
              <w:t>TM</w:t>
            </w:r>
          </w:p>
        </w:tc>
        <w:tc>
          <w:tcPr>
            <w:tcW w:w="30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30,924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31,075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(151)</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(0.5)%</w:t>
            </w:r>
          </w:p>
        </w:tc>
      </w:tr>
      <w:tr>
        <w:trPr>
          <w:trHeight w:val="264"/>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7,480</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7,293</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2.6 %</w:t>
            </w:r>
          </w:p>
        </w:tc>
      </w:tr>
      <w:tr>
        <w:trPr>
          <w:trHeight w:val="250"/>
        </w:trPr>
        <w:tc>
          <w:tcPr>
            <w:tcW w:w="55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Total revenues</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468,384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488,426</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(20,042)</w:t>
            </w:r>
          </w:p>
        </w:tc>
        <w:tc>
          <w:tcPr>
            <w:tcW w:w="15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(4.1)%</w:t>
            </w:r>
          </w:p>
        </w:tc>
      </w:tr>
      <w:tr>
        <w:trPr>
          <w:trHeight w:val="122"/>
        </w:trPr>
        <w:tc>
          <w:tcPr>
            <w:tcW w:w="5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r>
      <w:tr>
        <w:trPr>
          <w:trHeight w:val="260"/>
        </w:trPr>
        <w:tc>
          <w:tcPr>
            <w:tcW w:w="5540" w:type="dxa"/>
            <w:vAlign w:val="bottom"/>
            <w:gridSpan w:val="2"/>
          </w:tcPr>
          <w:p>
            <w:pPr>
              <w:ind w:left="40"/>
              <w:spacing w:after="0"/>
              <w:rPr>
                <w:sz w:val="20"/>
                <w:szCs w:val="20"/>
                <w:color w:val="auto"/>
              </w:rPr>
            </w:pPr>
            <w:r>
              <w:rPr>
                <w:rFonts w:ascii="Arial" w:cs="Arial" w:eastAsia="Arial" w:hAnsi="Arial"/>
                <w:sz w:val="16"/>
                <w:szCs w:val="16"/>
                <w:color w:val="auto"/>
              </w:rPr>
              <w:t>Compensation and benefits:</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80"/>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Field wages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153,764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156,027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60"/>
        </w:trPr>
        <w:tc>
          <w:tcPr>
            <w:tcW w:w="5540" w:type="dxa"/>
            <w:vAlign w:val="bottom"/>
            <w:gridSpan w:val="2"/>
          </w:tcPr>
          <w:p>
            <w:pPr>
              <w:ind w:left="180"/>
              <w:spacing w:after="0"/>
              <w:rPr>
                <w:sz w:val="20"/>
                <w:szCs w:val="20"/>
                <w:color w:val="auto"/>
              </w:rPr>
            </w:pPr>
            <w:r>
              <w:rPr>
                <w:rFonts w:ascii="Arial" w:cs="Arial" w:eastAsia="Arial" w:hAnsi="Arial"/>
                <w:sz w:val="16"/>
                <w:szCs w:val="16"/>
                <w:color w:val="auto"/>
              </w:rPr>
              <w:t>Other wages</w:t>
            </w: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54,243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50,717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3,526</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7.0 %</w:t>
            </w:r>
          </w:p>
        </w:tc>
      </w:tr>
      <w:tr>
        <w:trPr>
          <w:trHeight w:val="273"/>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Benefits and other compensation</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42,778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42,156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622</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1.5 %</w:t>
            </w:r>
          </w:p>
        </w:tc>
      </w:tr>
      <w:tr>
        <w:trPr>
          <w:trHeight w:val="247"/>
        </w:trPr>
        <w:tc>
          <w:tcPr>
            <w:tcW w:w="5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250,785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248,900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1,885</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0.8 %</w:t>
            </w:r>
          </w:p>
        </w:tc>
      </w:tr>
      <w:tr>
        <w:trPr>
          <w:trHeight w:val="280"/>
        </w:trPr>
        <w:tc>
          <w:tcPr>
            <w:tcW w:w="5540" w:type="dxa"/>
            <w:vAlign w:val="bottom"/>
            <w:gridSpan w:val="2"/>
            <w:shd w:val="clear" w:color="auto" w:fill="CCEEFF"/>
          </w:tcPr>
          <w:p>
            <w:pPr>
              <w:ind w:left="40"/>
              <w:spacing w:after="0" w:line="280" w:lineRule="exact"/>
              <w:rPr>
                <w:sz w:val="20"/>
                <w:szCs w:val="20"/>
                <w:color w:val="auto"/>
              </w:rPr>
            </w:pPr>
            <w:r>
              <w:rPr>
                <w:rFonts w:ascii="Arial" w:cs="Arial" w:eastAsia="Arial" w:hAnsi="Arial"/>
                <w:sz w:val="16"/>
                <w:szCs w:val="16"/>
                <w:color w:val="auto"/>
              </w:rPr>
              <w:t xml:space="preserve">Occupancy </w:t>
            </w:r>
            <w:r>
              <w:rPr>
                <w:rFonts w:ascii="Arial" w:cs="Arial" w:eastAsia="Arial" w:hAnsi="Arial"/>
                <w:sz w:val="27"/>
                <w:szCs w:val="27"/>
                <w:color w:val="auto"/>
                <w:vertAlign w:val="superscript"/>
              </w:rPr>
              <w:t>(1)</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94,407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97,557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60"/>
        </w:trPr>
        <w:tc>
          <w:tcPr>
            <w:tcW w:w="5540" w:type="dxa"/>
            <w:vAlign w:val="bottom"/>
            <w:gridSpan w:val="2"/>
          </w:tcPr>
          <w:p>
            <w:pPr>
              <w:ind w:left="40"/>
              <w:spacing w:after="0"/>
              <w:rPr>
                <w:sz w:val="20"/>
                <w:szCs w:val="20"/>
                <w:color w:val="auto"/>
              </w:rPr>
            </w:pPr>
            <w:r>
              <w:rPr>
                <w:rFonts w:ascii="Arial" w:cs="Arial" w:eastAsia="Arial" w:hAnsi="Arial"/>
                <w:sz w:val="16"/>
                <w:szCs w:val="16"/>
                <w:color w:val="auto"/>
              </w:rPr>
              <w:t>Marketing and advertising</w:t>
            </w: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72,876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64,209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8,667</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13.5 %</w:t>
            </w:r>
          </w:p>
        </w:tc>
      </w:tr>
      <w:tr>
        <w:trPr>
          <w:trHeight w:val="280"/>
        </w:trPr>
        <w:tc>
          <w:tcPr>
            <w:tcW w:w="5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44,088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48,488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w:t>
            </w:r>
          </w:p>
        </w:tc>
      </w:tr>
      <w:tr>
        <w:trPr>
          <w:trHeight w:val="260"/>
        </w:trPr>
        <w:tc>
          <w:tcPr>
            <w:tcW w:w="5540" w:type="dxa"/>
            <w:vAlign w:val="bottom"/>
            <w:gridSpan w:val="2"/>
          </w:tcPr>
          <w:p>
            <w:pPr>
              <w:ind w:left="40"/>
              <w:spacing w:after="0"/>
              <w:rPr>
                <w:sz w:val="20"/>
                <w:szCs w:val="20"/>
                <w:color w:val="auto"/>
              </w:rPr>
            </w:pPr>
            <w:r>
              <w:rPr>
                <w:rFonts w:ascii="Arial" w:cs="Arial" w:eastAsia="Arial" w:hAnsi="Arial"/>
                <w:sz w:val="16"/>
                <w:szCs w:val="16"/>
                <w:color w:val="auto"/>
              </w:rPr>
              <w:t>Bad debt</w:t>
            </w: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33,861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29,191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4,670</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16.0 %</w:t>
            </w:r>
          </w:p>
        </w:tc>
      </w:tr>
      <w:tr>
        <w:trPr>
          <w:trHeight w:val="280"/>
        </w:trPr>
        <w:tc>
          <w:tcPr>
            <w:tcW w:w="5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Supplies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9,950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4,950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5,000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101.0 %</w:t>
            </w:r>
          </w:p>
        </w:tc>
      </w:tr>
      <w:tr>
        <w:trPr>
          <w:trHeight w:val="270"/>
        </w:trPr>
        <w:tc>
          <w:tcPr>
            <w:tcW w:w="554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7"/>
                <w:szCs w:val="27"/>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100,517</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92,404</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8,113</w:t>
            </w:r>
          </w:p>
        </w:tc>
        <w:tc>
          <w:tcPr>
            <w:tcW w:w="15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8.8 %</w:t>
            </w:r>
          </w:p>
        </w:tc>
      </w:tr>
      <w:tr>
        <w:trPr>
          <w:trHeight w:val="244"/>
        </w:trPr>
        <w:tc>
          <w:tcPr>
            <w:tcW w:w="55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606,484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585,699</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20,785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3.5 %</w:t>
            </w:r>
          </w:p>
        </w:tc>
      </w:tr>
      <w:tr>
        <w:trPr>
          <w:trHeight w:val="247"/>
        </w:trPr>
        <w:tc>
          <w:tcPr>
            <w:tcW w:w="5540" w:type="dxa"/>
            <w:vAlign w:val="bottom"/>
            <w:gridSpan w:val="2"/>
          </w:tcPr>
          <w:p>
            <w:pPr>
              <w:ind w:left="40"/>
              <w:spacing w:after="0"/>
              <w:rPr>
                <w:sz w:val="20"/>
                <w:szCs w:val="20"/>
                <w:color w:val="auto"/>
              </w:rPr>
            </w:pPr>
            <w:r>
              <w:rPr>
                <w:rFonts w:ascii="Arial" w:cs="Arial" w:eastAsia="Arial" w:hAnsi="Arial"/>
                <w:sz w:val="16"/>
                <w:szCs w:val="16"/>
                <w:color w:val="auto"/>
              </w:rPr>
              <w:t>Other income (expense), net</w:t>
            </w:r>
          </w:p>
        </w:tc>
        <w:tc>
          <w:tcPr>
            <w:tcW w:w="30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2,269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1,241</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120.7 %</w:t>
            </w:r>
          </w:p>
        </w:tc>
      </w:tr>
      <w:tr>
        <w:trPr>
          <w:trHeight w:val="273"/>
        </w:trPr>
        <w:tc>
          <w:tcPr>
            <w:tcW w:w="5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expense on borrowings</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(22,833)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(24,560)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1,727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7.0 %</w:t>
            </w:r>
          </w:p>
        </w:tc>
      </w:tr>
      <w:tr>
        <w:trPr>
          <w:trHeight w:val="247"/>
        </w:trPr>
        <w:tc>
          <w:tcPr>
            <w:tcW w:w="5540" w:type="dxa"/>
            <w:vAlign w:val="bottom"/>
            <w:gridSpan w:val="2"/>
          </w:tcPr>
          <w:p>
            <w:pPr>
              <w:ind w:left="40"/>
              <w:spacing w:after="0"/>
              <w:rPr>
                <w:sz w:val="20"/>
                <w:szCs w:val="20"/>
                <w:color w:val="auto"/>
              </w:rPr>
            </w:pPr>
            <w:r>
              <w:rPr>
                <w:rFonts w:ascii="Arial" w:cs="Arial" w:eastAsia="Arial" w:hAnsi="Arial"/>
                <w:sz w:val="16"/>
                <w:szCs w:val="16"/>
                <w:color w:val="auto"/>
              </w:rPr>
              <w:t>Pretax loss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(158,664)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(120,805)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(37,859)</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(31.3)%</w:t>
            </w:r>
          </w:p>
        </w:tc>
      </w:tr>
      <w:tr>
        <w:trPr>
          <w:trHeight w:val="273"/>
        </w:trPr>
        <w:tc>
          <w:tcPr>
            <w:tcW w:w="5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taxes (benefit)</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(38,885)</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122,120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161,005</w:t>
            </w:r>
          </w:p>
        </w:tc>
        <w:tc>
          <w:tcPr>
            <w:tcW w:w="158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47"/>
        </w:trPr>
        <w:tc>
          <w:tcPr>
            <w:tcW w:w="5540" w:type="dxa"/>
            <w:vAlign w:val="bottom"/>
            <w:gridSpan w:val="2"/>
          </w:tcPr>
          <w:p>
            <w:pPr>
              <w:ind w:left="40"/>
              <w:spacing w:after="0"/>
              <w:rPr>
                <w:sz w:val="20"/>
                <w:szCs w:val="20"/>
                <w:color w:val="auto"/>
              </w:rPr>
            </w:pPr>
            <w:r>
              <w:rPr>
                <w:rFonts w:ascii="Arial" w:cs="Arial" w:eastAsia="Arial" w:hAnsi="Arial"/>
                <w:sz w:val="16"/>
                <w:szCs w:val="16"/>
                <w:color w:val="auto"/>
              </w:rPr>
              <w:t>Net loss from continuing operations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(119,779)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(242,925)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123,146</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50.7 %</w:t>
            </w:r>
          </w:p>
        </w:tc>
      </w:tr>
      <w:tr>
        <w:trPr>
          <w:trHeight w:val="273"/>
        </w:trPr>
        <w:tc>
          <w:tcPr>
            <w:tcW w:w="5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loss from discontinued operations</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(6,675)</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(145.4)%</w:t>
            </w:r>
          </w:p>
        </w:tc>
      </w:tr>
      <w:tr>
        <w:trPr>
          <w:trHeight w:val="250"/>
        </w:trPr>
        <w:tc>
          <w:tcPr>
            <w:tcW w:w="55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(126,454)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(245,645)</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119,191</w:t>
            </w:r>
          </w:p>
        </w:tc>
        <w:tc>
          <w:tcPr>
            <w:tcW w:w="15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48.5 %</w:t>
            </w:r>
          </w:p>
        </w:tc>
      </w:tr>
      <w:tr>
        <w:trPr>
          <w:trHeight w:val="122"/>
        </w:trPr>
        <w:tc>
          <w:tcPr>
            <w:tcW w:w="5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r>
      <w:tr>
        <w:trPr>
          <w:trHeight w:val="266"/>
        </w:trPr>
        <w:tc>
          <w:tcPr>
            <w:tcW w:w="5540" w:type="dxa"/>
            <w:vAlign w:val="bottom"/>
            <w:gridSpan w:val="2"/>
          </w:tcPr>
          <w:p>
            <w:pPr>
              <w:ind w:left="40"/>
              <w:spacing w:after="0"/>
              <w:rPr>
                <w:sz w:val="20"/>
                <w:szCs w:val="20"/>
                <w:color w:val="auto"/>
              </w:rPr>
            </w:pPr>
            <w:r>
              <w:rPr>
                <w:rFonts w:ascii="Arial" w:cs="Arial" w:eastAsia="Arial" w:hAnsi="Arial"/>
                <w:sz w:val="15"/>
                <w:szCs w:val="15"/>
                <w:color w:val="auto"/>
              </w:rPr>
              <w:t>Basic and diluted loss per share:</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4"/>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Continuing operations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(0.58)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0.58</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50.0 %</w:t>
            </w:r>
          </w:p>
        </w:tc>
      </w:tr>
      <w:tr>
        <w:trPr>
          <w:trHeight w:val="266"/>
        </w:trPr>
        <w:tc>
          <w:tcPr>
            <w:tcW w:w="5540" w:type="dxa"/>
            <w:vAlign w:val="bottom"/>
            <w:tcBorders>
              <w:bottom w:val="single" w:sz="8" w:color="CCEEFF"/>
            </w:tcBorders>
            <w:gridSpan w:val="2"/>
          </w:tcPr>
          <w:p>
            <w:pPr>
              <w:ind w:left="180"/>
              <w:spacing w:after="0"/>
              <w:rPr>
                <w:sz w:val="20"/>
                <w:szCs w:val="20"/>
                <w:color w:val="auto"/>
              </w:rPr>
            </w:pPr>
            <w:r>
              <w:rPr>
                <w:rFonts w:ascii="Arial" w:cs="Arial" w:eastAsia="Arial" w:hAnsi="Arial"/>
                <w:sz w:val="15"/>
                <w:szCs w:val="15"/>
                <w:color w:val="auto"/>
              </w:rPr>
              <w:t>Discontinued operations</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(0.04)</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5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(100.0)%</w:t>
            </w:r>
          </w:p>
        </w:tc>
      </w:tr>
      <w:tr>
        <w:trPr>
          <w:trHeight w:val="250"/>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Consolidated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(0.62)</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0.56</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47.5 %</w:t>
            </w:r>
          </w:p>
        </w:tc>
      </w:tr>
      <w:tr>
        <w:trPr>
          <w:trHeight w:val="119"/>
        </w:trPr>
        <w:tc>
          <w:tcPr>
            <w:tcW w:w="5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r>
      <w:tr>
        <w:trPr>
          <w:trHeight w:val="270"/>
        </w:trPr>
        <w:tc>
          <w:tcPr>
            <w:tcW w:w="55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6"/>
                <w:szCs w:val="16"/>
                <w:color w:val="auto"/>
              </w:rPr>
              <w:t xml:space="preserve">EBITDA from continuing operations </w:t>
            </w:r>
            <w:r>
              <w:rPr>
                <w:rFonts w:ascii="Arial" w:cs="Arial" w:eastAsia="Arial" w:hAnsi="Arial"/>
                <w:sz w:val="27"/>
                <w:szCs w:val="27"/>
                <w:color w:val="auto"/>
                <w:vertAlign w:val="superscript"/>
              </w:rPr>
              <w:t>(2)</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(91,743)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(47,757)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(43,986)</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0" w:lineRule="exact"/>
        <w:rPr>
          <w:sz w:val="20"/>
          <w:szCs w:val="20"/>
          <w:color w:val="auto"/>
        </w:rPr>
      </w:pPr>
    </w:p>
    <w:p>
      <w:pPr>
        <w:ind w:left="200" w:hanging="192"/>
        <w:spacing w:after="0" w:line="182" w:lineRule="auto"/>
        <w:tabs>
          <w:tab w:leader="none" w:pos="200" w:val="left"/>
        </w:tabs>
        <w:numPr>
          <w:ilvl w:val="0"/>
          <w:numId w:val="20"/>
        </w:numPr>
        <w:rPr>
          <w:rFonts w:ascii="Arial" w:cs="Arial" w:eastAsia="Arial" w:hAnsi="Arial"/>
          <w:sz w:val="23"/>
          <w:szCs w:val="23"/>
          <w:color w:val="auto"/>
          <w:vertAlign w:val="superscript"/>
        </w:rPr>
      </w:pPr>
      <w:r>
        <w:rPr>
          <w:rFonts w:ascii="Arial" w:cs="Arial" w:eastAsia="Arial" w:hAnsi="Arial"/>
          <w:sz w:val="14"/>
          <w:szCs w:val="14"/>
          <w:color w:val="auto"/>
        </w:rPr>
        <w:t>We reclassified $10.2 million of software and information technology (IT) maintenance expense from occupancy to other expenses for the three months ended January 31, 2018 to conform to the current period presentation.</w:t>
      </w:r>
    </w:p>
    <w:p>
      <w:pPr>
        <w:spacing w:after="0" w:line="1" w:lineRule="exact"/>
        <w:rPr>
          <w:rFonts w:ascii="Arial" w:cs="Arial" w:eastAsia="Arial" w:hAnsi="Arial"/>
          <w:sz w:val="23"/>
          <w:szCs w:val="23"/>
          <w:color w:val="auto"/>
          <w:vertAlign w:val="superscript"/>
        </w:rPr>
      </w:pPr>
    </w:p>
    <w:p>
      <w:pPr>
        <w:ind w:left="200" w:hanging="192"/>
        <w:spacing w:after="0" w:line="199" w:lineRule="auto"/>
        <w:tabs>
          <w:tab w:leader="none" w:pos="200" w:val="left"/>
        </w:tabs>
        <w:numPr>
          <w:ilvl w:val="0"/>
          <w:numId w:val="20"/>
        </w:numPr>
        <w:rPr>
          <w:rFonts w:ascii="Arial" w:cs="Arial" w:eastAsia="Arial" w:hAnsi="Arial"/>
          <w:sz w:val="18"/>
          <w:szCs w:val="18"/>
          <w:color w:val="auto"/>
          <w:vertAlign w:val="superscript"/>
        </w:rPr>
      </w:pPr>
      <w:r>
        <w:rPr>
          <w:rFonts w:ascii="Arial" w:cs="Arial" w:eastAsia="Arial" w:hAnsi="Arial"/>
          <w:sz w:val="12"/>
          <w:szCs w:val="12"/>
          <w:color w:val="auto"/>
        </w:rPr>
        <w:t>See "Non-GAAP Financial Information" at the end of this item for a reconciliation of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299720</wp:posOffset>
            </wp:positionV>
            <wp:extent cx="222885"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ectPr>
          <w:pgSz w:w="11900" w:h="16838" w:orient="portrait"/>
          <w:cols w:equalWidth="0" w:num="1">
            <w:col w:w="11420"/>
          </w:cols>
          <w:pgMar w:left="240" w:top="249" w:right="2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8380"/>
        <w:spacing w:after="0"/>
        <w:tabs>
          <w:tab w:leader="none" w:pos="1114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FY2019 Form 10-Q</w:t>
      </w:r>
      <w:r>
        <w:rPr>
          <w:sz w:val="20"/>
          <w:szCs w:val="20"/>
          <w:color w:val="auto"/>
        </w:rPr>
        <w:tab/>
      </w:r>
      <w:r>
        <w:rPr>
          <w:rFonts w:ascii="Arial" w:cs="Arial" w:eastAsia="Arial" w:hAnsi="Arial"/>
          <w:sz w:val="14"/>
          <w:szCs w:val="14"/>
          <w:color w:val="FFFFFF"/>
          <w:highlight w:val="black"/>
        </w:rPr>
        <w:t>27</w:t>
      </w:r>
    </w:p>
    <w:p>
      <w:pPr>
        <w:sectPr>
          <w:pgSz w:w="11900" w:h="16838" w:orient="portrait"/>
          <w:cols w:equalWidth="0" w:num="1">
            <w:col w:w="11420"/>
          </w:cols>
          <w:pgMar w:left="240" w:top="249" w:right="239" w:bottom="1440" w:gutter="0" w:footer="0" w:header="0"/>
          <w:type w:val="continuous"/>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January 31, 2019 compared to January 31, 2018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Revenues decreased $20.0 million, or 4.1%, from the prior year period primarily due to a delay in overall industry filings.</w:t>
      </w:r>
    </w:p>
    <w:p>
      <w:pPr>
        <w:spacing w:after="0" w:line="11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U.S. assisted tax preparation fees decreased $10.5 million, or 3.9%, primarily due to lower tax return volume slightly offset by a higher net average charge for assisted tax preparation returns primarily due to the discontinuation of our Free Federal 1040EZ promotion.</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U.S. royalties decreased $3.2 million, or 6.9%, primarily due to lower franchise tax return volume somewhat offset by a higher net average charge.</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Revenues from RTs decreased $3.3 million, or 6.5%, primarily due to lower tax return volume.</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Revenues from POM decreased $3.4 million, or 16.9%, due to a change in the claims pattern used to recognize revenue.</w:t>
      </w:r>
    </w:p>
    <w:p>
      <w:pPr>
        <w:spacing w:after="0" w:line="117" w:lineRule="exact"/>
        <w:rPr>
          <w:sz w:val="20"/>
          <w:szCs w:val="20"/>
          <w:color w:val="auto"/>
        </w:rPr>
      </w:pPr>
    </w:p>
    <w:p>
      <w:pPr>
        <w:jc w:val="both"/>
        <w:ind w:firstLine="243"/>
        <w:spacing w:after="0" w:line="250" w:lineRule="auto"/>
        <w:rPr>
          <w:sz w:val="20"/>
          <w:szCs w:val="20"/>
          <w:color w:val="auto"/>
        </w:rPr>
      </w:pPr>
      <w:r>
        <w:rPr>
          <w:rFonts w:ascii="Arial" w:cs="Arial" w:eastAsia="Arial" w:hAnsi="Arial"/>
          <w:sz w:val="18"/>
          <w:szCs w:val="18"/>
          <w:color w:val="auto"/>
        </w:rPr>
        <w:t>Total operating expenses increased $20.8 million, or 3.5%, from the prior year. Marketing and advertising increased $8.7 million, or 13.5%, due to higher online, direct mail and television expenses. Bad debt increased $4.7 million, or 16.0%, primarily due to lower estimated bad debt rates on H&amp;R Block Instant Refund</w:t>
      </w:r>
      <w:r>
        <w:rPr>
          <w:rFonts w:ascii="Arial" w:cs="Arial" w:eastAsia="Arial" w:hAnsi="Arial"/>
          <w:sz w:val="27"/>
          <w:szCs w:val="27"/>
          <w:color w:val="auto"/>
          <w:vertAlign w:val="superscript"/>
        </w:rPr>
        <w:t>TM</w:t>
      </w:r>
      <w:r>
        <w:rPr>
          <w:rFonts w:ascii="Arial" w:cs="Arial" w:eastAsia="Arial" w:hAnsi="Arial"/>
          <w:sz w:val="18"/>
          <w:szCs w:val="18"/>
          <w:color w:val="auto"/>
        </w:rPr>
        <w:t xml:space="preserve"> receivables in the prior year.</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expenses increased $8.1 million, or 8.8%. The components of other expenses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Three months ended January 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 Change</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 Change</w:t>
            </w:r>
          </w:p>
        </w:tc>
      </w:tr>
      <w:tr>
        <w:trPr>
          <w:trHeight w:val="257"/>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Consulting and outsourced services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24,812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23,515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1,297</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5.5 %</w:t>
            </w:r>
          </w:p>
        </w:tc>
      </w:tr>
      <w:tr>
        <w:trPr>
          <w:trHeight w:val="260"/>
        </w:trPr>
        <w:tc>
          <w:tcPr>
            <w:tcW w:w="5080" w:type="dxa"/>
            <w:vAlign w:val="bottom"/>
            <w:gridSpan w:val="2"/>
          </w:tcPr>
          <w:p>
            <w:pPr>
              <w:ind w:left="40"/>
              <w:spacing w:after="0"/>
              <w:rPr>
                <w:sz w:val="20"/>
                <w:szCs w:val="20"/>
                <w:color w:val="auto"/>
              </w:rPr>
            </w:pPr>
            <w:r>
              <w:rPr>
                <w:rFonts w:ascii="Arial" w:cs="Arial" w:eastAsia="Arial" w:hAnsi="Arial"/>
                <w:sz w:val="16"/>
                <w:szCs w:val="16"/>
                <w:color w:val="auto"/>
              </w:rPr>
              <w:t>Bank partner fees</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23,461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24,239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(778)</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(3.2)%</w:t>
            </w:r>
          </w:p>
        </w:tc>
      </w:tr>
      <w:tr>
        <w:trPr>
          <w:trHeight w:val="280"/>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Client claims and refunds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6,063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7,282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(16.7)%</w:t>
            </w:r>
          </w:p>
        </w:tc>
      </w:tr>
      <w:tr>
        <w:trPr>
          <w:trHeight w:val="260"/>
        </w:trPr>
        <w:tc>
          <w:tcPr>
            <w:tcW w:w="5080" w:type="dxa"/>
            <w:vAlign w:val="bottom"/>
            <w:gridSpan w:val="2"/>
          </w:tcPr>
          <w:p>
            <w:pPr>
              <w:ind w:left="40"/>
              <w:spacing w:after="0"/>
              <w:rPr>
                <w:sz w:val="20"/>
                <w:szCs w:val="20"/>
                <w:color w:val="auto"/>
              </w:rPr>
            </w:pPr>
            <w:r>
              <w:rPr>
                <w:rFonts w:ascii="Arial" w:cs="Arial" w:eastAsia="Arial" w:hAnsi="Arial"/>
                <w:sz w:val="16"/>
                <w:szCs w:val="16"/>
                <w:color w:val="auto"/>
              </w:rPr>
              <w:t>Employee travel and related expenses</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9,309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12,849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(3,540)</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(27.6)%</w:t>
            </w:r>
          </w:p>
        </w:tc>
      </w:tr>
      <w:tr>
        <w:trPr>
          <w:trHeight w:val="280"/>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Software and IT maintenance expenses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14,255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10,174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4,081</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40.1 %</w:t>
            </w:r>
          </w:p>
        </w:tc>
      </w:tr>
      <w:tr>
        <w:trPr>
          <w:trHeight w:val="260"/>
        </w:trPr>
        <w:tc>
          <w:tcPr>
            <w:tcW w:w="5080" w:type="dxa"/>
            <w:vAlign w:val="bottom"/>
            <w:gridSpan w:val="2"/>
          </w:tcPr>
          <w:p>
            <w:pPr>
              <w:ind w:left="40"/>
              <w:spacing w:after="0"/>
              <w:rPr>
                <w:sz w:val="20"/>
                <w:szCs w:val="20"/>
                <w:color w:val="auto"/>
              </w:rPr>
            </w:pPr>
            <w:r>
              <w:rPr>
                <w:rFonts w:ascii="Arial" w:cs="Arial" w:eastAsia="Arial" w:hAnsi="Arial"/>
                <w:sz w:val="16"/>
                <w:szCs w:val="16"/>
                <w:color w:val="auto"/>
              </w:rPr>
              <w:t>Credit card/bank charges</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3,274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3,682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(408)</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(11.1)%</w:t>
            </w:r>
          </w:p>
        </w:tc>
      </w:tr>
      <w:tr>
        <w:trPr>
          <w:trHeight w:val="280"/>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Insurance</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4,680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5,028</w:t>
            </w:r>
          </w:p>
        </w:tc>
        <w:tc>
          <w:tcPr>
            <w:tcW w:w="170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60"/>
        </w:trPr>
        <w:tc>
          <w:tcPr>
            <w:tcW w:w="5080" w:type="dxa"/>
            <w:vAlign w:val="bottom"/>
            <w:gridSpan w:val="2"/>
          </w:tcPr>
          <w:p>
            <w:pPr>
              <w:ind w:left="40"/>
              <w:spacing w:after="0"/>
              <w:rPr>
                <w:sz w:val="20"/>
                <w:szCs w:val="20"/>
                <w:color w:val="auto"/>
              </w:rPr>
            </w:pPr>
            <w:r>
              <w:rPr>
                <w:rFonts w:ascii="Arial" w:cs="Arial" w:eastAsia="Arial" w:hAnsi="Arial"/>
                <w:sz w:val="16"/>
                <w:szCs w:val="16"/>
                <w:color w:val="auto"/>
              </w:rPr>
              <w:t>Legal fees and settlements</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4,842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703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4,139</w:t>
            </w:r>
          </w:p>
        </w:tc>
        <w:tc>
          <w:tcPr>
            <w:tcW w:w="170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r>
      <w:tr>
        <w:trPr>
          <w:trHeight w:val="273"/>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9,821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10,308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50"/>
        </w:trPr>
        <w:tc>
          <w:tcPr>
            <w:tcW w:w="49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100,517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92,404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8,113</w:t>
            </w:r>
          </w:p>
        </w:tc>
        <w:tc>
          <w:tcPr>
            <w:tcW w:w="17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8.8 %</w:t>
            </w:r>
          </w:p>
        </w:tc>
      </w:tr>
      <w:tr>
        <w:trPr>
          <w:trHeight w:val="122"/>
        </w:trPr>
        <w:tc>
          <w:tcPr>
            <w:tcW w:w="498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11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11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12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600" w:type="dxa"/>
            <w:vAlign w:val="bottom"/>
            <w:tcBorders>
              <w:bottom w:val="single" w:sz="8" w:color="auto"/>
            </w:tcBorders>
            <w:shd w:val="clear" w:color="auto" w:fill="CCEEFF"/>
          </w:tcPr>
          <w:p>
            <w:pPr>
              <w:spacing w:after="0"/>
              <w:rPr>
                <w:sz w:val="10"/>
                <w:szCs w:val="10"/>
                <w:color w:val="auto"/>
              </w:rPr>
            </w:pPr>
          </w:p>
        </w:tc>
      </w:tr>
    </w:tbl>
    <w:p>
      <w:pPr>
        <w:spacing w:after="0" w:line="10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Insurance expenses increased $5.0 million due to higher estimated property insurance reserves.</w:t>
      </w:r>
    </w:p>
    <w:p>
      <w:pPr>
        <w:spacing w:after="0" w:line="117"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recorded an income tax benefit in the current year of $38.9 million compared to income tax expense in the prior year of $122.1 million for the three months ended January 31. The change compared to the prior year is primarily due to the impacts of the Tax Legislation. See Item 1, note 7 to the consolidated financial statements for additional discussion.</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business is highly seasonal and results for the quarter ended January 31 may not be indicative of results for the entire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231775"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31775" cy="13716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400" w:hanging="290"/>
        <w:spacing w:after="0"/>
        <w:tabs>
          <w:tab w:leader="none" w:pos="400" w:val="left"/>
        </w:tabs>
        <w:numPr>
          <w:ilvl w:val="0"/>
          <w:numId w:val="21"/>
        </w:numPr>
        <w:rPr>
          <w:rFonts w:ascii="Arial" w:cs="Arial" w:eastAsia="Arial" w:hAnsi="Arial"/>
          <w:sz w:val="14"/>
          <w:szCs w:val="14"/>
          <w:color w:val="FFFFFF"/>
          <w:highlight w:val="black"/>
        </w:rPr>
      </w:pPr>
      <w:r>
        <w:rPr>
          <w:rFonts w:ascii="Arial" w:cs="Arial" w:eastAsia="Arial" w:hAnsi="Arial"/>
          <w:sz w:val="14"/>
          <w:szCs w:val="14"/>
          <w:color w:val="auto"/>
        </w:rPr>
        <w:t xml:space="preserve">Q3 FY2019 Form 10-Q | </w:t>
      </w:r>
      <w:r>
        <w:rPr>
          <w:rFonts w:ascii="Arial" w:cs="Arial" w:eastAsia="Arial" w:hAnsi="Arial"/>
          <w:sz w:val="14"/>
          <w:szCs w:val="14"/>
          <w:b w:val="1"/>
          <w:bCs w:val="1"/>
          <w:color w:val="auto"/>
        </w:rPr>
        <w:t>H&amp;R Block, Inc.</w:t>
      </w:r>
    </w:p>
    <w:p>
      <w:pPr>
        <w:sectPr>
          <w:pgSz w:w="11900" w:h="16838" w:orient="portrait"/>
          <w:cols w:equalWidth="0" w:num="1">
            <w:col w:w="11420"/>
          </w:cols>
          <w:pgMar w:left="240" w:top="249"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Consolidated – Financial Results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color w:val="auto"/>
              </w:rPr>
              <w:t>(in 000s, except per share amounts)</w:t>
            </w:r>
          </w:p>
        </w:tc>
      </w:tr>
      <w:tr>
        <w:trPr>
          <w:trHeight w:val="263"/>
        </w:trPr>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Nine months ended January 31,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2018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 Change</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 Change</w:t>
            </w:r>
          </w:p>
        </w:tc>
      </w:tr>
      <w:tr>
        <w:trPr>
          <w:trHeight w:val="270"/>
        </w:trPr>
        <w:tc>
          <w:tcPr>
            <w:tcW w:w="5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60"/>
        </w:trPr>
        <w:tc>
          <w:tcPr>
            <w:tcW w:w="5540" w:type="dxa"/>
            <w:vAlign w:val="bottom"/>
            <w:gridSpan w:val="2"/>
          </w:tcPr>
          <w:p>
            <w:pPr>
              <w:ind w:left="180"/>
              <w:spacing w:after="0"/>
              <w:rPr>
                <w:sz w:val="20"/>
                <w:szCs w:val="20"/>
                <w:color w:val="auto"/>
              </w:rPr>
            </w:pPr>
            <w:r>
              <w:rPr>
                <w:rFonts w:ascii="Arial" w:cs="Arial" w:eastAsia="Arial" w:hAnsi="Arial"/>
                <w:sz w:val="16"/>
                <w:szCs w:val="16"/>
                <w:color w:val="auto"/>
              </w:rPr>
              <w:t>U.S. assisted tax preparation</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329,569</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333,956</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(4,387)</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(1.3)%</w:t>
            </w:r>
          </w:p>
        </w:tc>
      </w:tr>
      <w:tr>
        <w:trPr>
          <w:trHeight w:val="280"/>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U.S. royalties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57,898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59,395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60"/>
        </w:trPr>
        <w:tc>
          <w:tcPr>
            <w:tcW w:w="5540" w:type="dxa"/>
            <w:vAlign w:val="bottom"/>
            <w:gridSpan w:val="2"/>
          </w:tcPr>
          <w:p>
            <w:pPr>
              <w:ind w:left="180"/>
              <w:spacing w:after="0"/>
              <w:rPr>
                <w:sz w:val="20"/>
                <w:szCs w:val="20"/>
                <w:color w:val="auto"/>
              </w:rPr>
            </w:pPr>
            <w:r>
              <w:rPr>
                <w:rFonts w:ascii="Arial" w:cs="Arial" w:eastAsia="Arial" w:hAnsi="Arial"/>
                <w:sz w:val="16"/>
                <w:szCs w:val="16"/>
                <w:color w:val="auto"/>
              </w:rPr>
              <w:t>U.S. DIY tax preparation</w:t>
            </w: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37,660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38,811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(1,151)</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(3.0)%</w:t>
            </w:r>
          </w:p>
        </w:tc>
      </w:tr>
      <w:tr>
        <w:trPr>
          <w:trHeight w:val="280"/>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International revenues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96,980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100,659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(3,679)</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60"/>
        </w:trPr>
        <w:tc>
          <w:tcPr>
            <w:tcW w:w="5540" w:type="dxa"/>
            <w:vAlign w:val="bottom"/>
            <w:gridSpan w:val="2"/>
          </w:tcPr>
          <w:p>
            <w:pPr>
              <w:ind w:left="180"/>
              <w:spacing w:after="0"/>
              <w:rPr>
                <w:sz w:val="20"/>
                <w:szCs w:val="20"/>
                <w:color w:val="auto"/>
              </w:rPr>
            </w:pPr>
            <w:r>
              <w:rPr>
                <w:rFonts w:ascii="Arial" w:cs="Arial" w:eastAsia="Arial" w:hAnsi="Arial"/>
                <w:sz w:val="16"/>
                <w:szCs w:val="16"/>
                <w:color w:val="auto"/>
              </w:rPr>
              <w:t>Revenues from Refund Transfers</w:t>
            </w: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49,466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54,721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(5,255)</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(9.6)%</w:t>
            </w:r>
          </w:p>
        </w:tc>
      </w:tr>
      <w:tr>
        <w:trPr>
          <w:trHeight w:val="280"/>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Revenues from Emerald Card®</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38,704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40,292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(1,588)</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60"/>
        </w:trPr>
        <w:tc>
          <w:tcPr>
            <w:tcW w:w="5540" w:type="dxa"/>
            <w:vAlign w:val="bottom"/>
            <w:gridSpan w:val="2"/>
          </w:tcPr>
          <w:p>
            <w:pPr>
              <w:ind w:left="180"/>
              <w:spacing w:after="0"/>
              <w:rPr>
                <w:sz w:val="20"/>
                <w:szCs w:val="20"/>
                <w:color w:val="auto"/>
              </w:rPr>
            </w:pPr>
            <w:r>
              <w:rPr>
                <w:rFonts w:ascii="Arial" w:cs="Arial" w:eastAsia="Arial" w:hAnsi="Arial"/>
                <w:sz w:val="16"/>
                <w:szCs w:val="16"/>
                <w:color w:val="auto"/>
              </w:rPr>
              <w:t>Revenues from Peace of Mind® Extended Service Plan</w:t>
            </w: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77,491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76,495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996</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1.3 %</w:t>
            </w:r>
          </w:p>
        </w:tc>
      </w:tr>
      <w:tr>
        <w:trPr>
          <w:trHeight w:val="280"/>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Revenues from Tax Identity Shield®</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17,639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7,329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10,310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140.7 %</w:t>
            </w:r>
          </w:p>
        </w:tc>
      </w:tr>
      <w:tr>
        <w:trPr>
          <w:trHeight w:val="270"/>
        </w:trPr>
        <w:tc>
          <w:tcPr>
            <w:tcW w:w="5540" w:type="dxa"/>
            <w:vAlign w:val="bottom"/>
            <w:gridSpan w:val="2"/>
          </w:tcPr>
          <w:p>
            <w:pPr>
              <w:ind w:left="180"/>
              <w:spacing w:after="0" w:line="270" w:lineRule="exact"/>
              <w:rPr>
                <w:sz w:val="20"/>
                <w:szCs w:val="20"/>
                <w:color w:val="auto"/>
              </w:rPr>
            </w:pPr>
            <w:r>
              <w:rPr>
                <w:rFonts w:ascii="Arial" w:cs="Arial" w:eastAsia="Arial" w:hAnsi="Arial"/>
                <w:sz w:val="16"/>
                <w:szCs w:val="16"/>
                <w:color w:val="auto"/>
              </w:rPr>
              <w:t>Interest and fee income on Emerald Advance</w:t>
            </w:r>
            <w:r>
              <w:rPr>
                <w:rFonts w:ascii="Arial" w:cs="Arial" w:eastAsia="Arial" w:hAnsi="Arial"/>
                <w:sz w:val="27"/>
                <w:szCs w:val="27"/>
                <w:color w:val="auto"/>
                <w:vertAlign w:val="superscript"/>
              </w:rPr>
              <w:t>TM</w:t>
            </w:r>
          </w:p>
        </w:tc>
        <w:tc>
          <w:tcPr>
            <w:tcW w:w="30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31,768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32,333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(565)</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(1.7)%</w:t>
            </w:r>
          </w:p>
        </w:tc>
      </w:tr>
      <w:tr>
        <w:trPr>
          <w:trHeight w:val="264"/>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25,263</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23,091</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2,172</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9.4 %</w:t>
            </w:r>
          </w:p>
        </w:tc>
      </w:tr>
      <w:tr>
        <w:trPr>
          <w:trHeight w:val="250"/>
        </w:trPr>
        <w:tc>
          <w:tcPr>
            <w:tcW w:w="55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Total revenues</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762,438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767,082</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(4,644)</w:t>
            </w:r>
          </w:p>
        </w:tc>
        <w:tc>
          <w:tcPr>
            <w:tcW w:w="15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(0.6)%</w:t>
            </w:r>
          </w:p>
        </w:tc>
      </w:tr>
      <w:tr>
        <w:trPr>
          <w:trHeight w:val="122"/>
        </w:trPr>
        <w:tc>
          <w:tcPr>
            <w:tcW w:w="5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r>
      <w:tr>
        <w:trPr>
          <w:trHeight w:val="260"/>
        </w:trPr>
        <w:tc>
          <w:tcPr>
            <w:tcW w:w="5540" w:type="dxa"/>
            <w:vAlign w:val="bottom"/>
            <w:gridSpan w:val="2"/>
          </w:tcPr>
          <w:p>
            <w:pPr>
              <w:ind w:left="40"/>
              <w:spacing w:after="0"/>
              <w:rPr>
                <w:sz w:val="20"/>
                <w:szCs w:val="20"/>
                <w:color w:val="auto"/>
              </w:rPr>
            </w:pPr>
            <w:r>
              <w:rPr>
                <w:rFonts w:ascii="Arial" w:cs="Arial" w:eastAsia="Arial" w:hAnsi="Arial"/>
                <w:sz w:val="16"/>
                <w:szCs w:val="16"/>
                <w:color w:val="auto"/>
              </w:rPr>
              <w:t>Compensation and benefits:</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80"/>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Field wages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262,792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261,866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926</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60"/>
        </w:trPr>
        <w:tc>
          <w:tcPr>
            <w:tcW w:w="5540" w:type="dxa"/>
            <w:vAlign w:val="bottom"/>
            <w:gridSpan w:val="2"/>
          </w:tcPr>
          <w:p>
            <w:pPr>
              <w:ind w:left="180"/>
              <w:spacing w:after="0"/>
              <w:rPr>
                <w:sz w:val="20"/>
                <w:szCs w:val="20"/>
                <w:color w:val="auto"/>
              </w:rPr>
            </w:pPr>
            <w:r>
              <w:rPr>
                <w:rFonts w:ascii="Arial" w:cs="Arial" w:eastAsia="Arial" w:hAnsi="Arial"/>
                <w:sz w:val="16"/>
                <w:szCs w:val="16"/>
                <w:color w:val="auto"/>
              </w:rPr>
              <w:t>Other wages</w:t>
            </w: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152,111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140,637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11,474</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8.2 %</w:t>
            </w:r>
          </w:p>
        </w:tc>
      </w:tr>
      <w:tr>
        <w:trPr>
          <w:trHeight w:val="273"/>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Benefits and other compensation</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89,887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86,384</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3,503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4.1 %</w:t>
            </w:r>
          </w:p>
        </w:tc>
      </w:tr>
      <w:tr>
        <w:trPr>
          <w:trHeight w:val="247"/>
        </w:trPr>
        <w:tc>
          <w:tcPr>
            <w:tcW w:w="5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504,790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488,887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15,903</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3.3 %</w:t>
            </w:r>
          </w:p>
        </w:tc>
      </w:tr>
      <w:tr>
        <w:trPr>
          <w:trHeight w:val="280"/>
        </w:trPr>
        <w:tc>
          <w:tcPr>
            <w:tcW w:w="5540" w:type="dxa"/>
            <w:vAlign w:val="bottom"/>
            <w:gridSpan w:val="2"/>
            <w:shd w:val="clear" w:color="auto" w:fill="CCEEFF"/>
          </w:tcPr>
          <w:p>
            <w:pPr>
              <w:ind w:left="40"/>
              <w:spacing w:after="0" w:line="280" w:lineRule="exact"/>
              <w:rPr>
                <w:sz w:val="20"/>
                <w:szCs w:val="20"/>
                <w:color w:val="auto"/>
              </w:rPr>
            </w:pPr>
            <w:r>
              <w:rPr>
                <w:rFonts w:ascii="Arial" w:cs="Arial" w:eastAsia="Arial" w:hAnsi="Arial"/>
                <w:sz w:val="16"/>
                <w:szCs w:val="16"/>
                <w:color w:val="auto"/>
              </w:rPr>
              <w:t xml:space="preserve">Occupancy </w:t>
            </w:r>
            <w:r>
              <w:rPr>
                <w:rFonts w:ascii="Arial" w:cs="Arial" w:eastAsia="Arial" w:hAnsi="Arial"/>
                <w:sz w:val="27"/>
                <w:szCs w:val="27"/>
                <w:color w:val="auto"/>
                <w:vertAlign w:val="superscript"/>
              </w:rPr>
              <w:t>(1)</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290,013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282,755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7,258</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2.6 %</w:t>
            </w:r>
          </w:p>
        </w:tc>
      </w:tr>
      <w:tr>
        <w:trPr>
          <w:trHeight w:val="260"/>
        </w:trPr>
        <w:tc>
          <w:tcPr>
            <w:tcW w:w="5540" w:type="dxa"/>
            <w:vAlign w:val="bottom"/>
            <w:gridSpan w:val="2"/>
          </w:tcPr>
          <w:p>
            <w:pPr>
              <w:ind w:left="40"/>
              <w:spacing w:after="0"/>
              <w:rPr>
                <w:sz w:val="20"/>
                <w:szCs w:val="20"/>
                <w:color w:val="auto"/>
              </w:rPr>
            </w:pPr>
            <w:r>
              <w:rPr>
                <w:rFonts w:ascii="Arial" w:cs="Arial" w:eastAsia="Arial" w:hAnsi="Arial"/>
                <w:sz w:val="16"/>
                <w:szCs w:val="16"/>
                <w:color w:val="auto"/>
              </w:rPr>
              <w:t>Marketing and advertising</w:t>
            </w: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88,356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82,875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5,481</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6.6 %</w:t>
            </w:r>
          </w:p>
        </w:tc>
      </w:tr>
      <w:tr>
        <w:trPr>
          <w:trHeight w:val="280"/>
        </w:trPr>
        <w:tc>
          <w:tcPr>
            <w:tcW w:w="5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126,013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136,878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260"/>
        </w:trPr>
        <w:tc>
          <w:tcPr>
            <w:tcW w:w="5540" w:type="dxa"/>
            <w:vAlign w:val="bottom"/>
            <w:gridSpan w:val="2"/>
          </w:tcPr>
          <w:p>
            <w:pPr>
              <w:ind w:left="40"/>
              <w:spacing w:after="0"/>
              <w:rPr>
                <w:sz w:val="20"/>
                <w:szCs w:val="20"/>
                <w:color w:val="auto"/>
              </w:rPr>
            </w:pPr>
            <w:r>
              <w:rPr>
                <w:rFonts w:ascii="Arial" w:cs="Arial" w:eastAsia="Arial" w:hAnsi="Arial"/>
                <w:sz w:val="16"/>
                <w:szCs w:val="16"/>
                <w:color w:val="auto"/>
              </w:rPr>
              <w:t>Bad debt</w:t>
            </w: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33,191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33,429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(238)</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(0.7)%</w:t>
            </w:r>
          </w:p>
        </w:tc>
      </w:tr>
      <w:tr>
        <w:trPr>
          <w:trHeight w:val="280"/>
        </w:trPr>
        <w:tc>
          <w:tcPr>
            <w:tcW w:w="5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Supplies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15,343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12,052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3,291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27.3 %</w:t>
            </w:r>
          </w:p>
        </w:tc>
      </w:tr>
      <w:tr>
        <w:trPr>
          <w:trHeight w:val="270"/>
        </w:trPr>
        <w:tc>
          <w:tcPr>
            <w:tcW w:w="554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7"/>
                <w:szCs w:val="27"/>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240,212</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228,652</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11,560</w:t>
            </w:r>
          </w:p>
        </w:tc>
        <w:tc>
          <w:tcPr>
            <w:tcW w:w="15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5.1 %</w:t>
            </w:r>
          </w:p>
        </w:tc>
      </w:tr>
      <w:tr>
        <w:trPr>
          <w:trHeight w:val="244"/>
        </w:trPr>
        <w:tc>
          <w:tcPr>
            <w:tcW w:w="55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1,297,918</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1,265,528</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32,390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2.6 %</w:t>
            </w:r>
          </w:p>
        </w:tc>
      </w:tr>
      <w:tr>
        <w:trPr>
          <w:trHeight w:val="247"/>
        </w:trPr>
        <w:tc>
          <w:tcPr>
            <w:tcW w:w="5540" w:type="dxa"/>
            <w:vAlign w:val="bottom"/>
            <w:gridSpan w:val="2"/>
          </w:tcPr>
          <w:p>
            <w:pPr>
              <w:ind w:left="40"/>
              <w:spacing w:after="0"/>
              <w:rPr>
                <w:sz w:val="20"/>
                <w:szCs w:val="20"/>
                <w:color w:val="auto"/>
              </w:rPr>
            </w:pPr>
            <w:r>
              <w:rPr>
                <w:rFonts w:ascii="Arial" w:cs="Arial" w:eastAsia="Arial" w:hAnsi="Arial"/>
                <w:sz w:val="16"/>
                <w:szCs w:val="16"/>
                <w:color w:val="auto"/>
              </w:rPr>
              <w:t>Other income (expense), net</w:t>
            </w:r>
          </w:p>
        </w:tc>
        <w:tc>
          <w:tcPr>
            <w:tcW w:w="30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11,275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3,259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8,016</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246.0 %</w:t>
            </w:r>
          </w:p>
        </w:tc>
      </w:tr>
      <w:tr>
        <w:trPr>
          <w:trHeight w:val="273"/>
        </w:trPr>
        <w:tc>
          <w:tcPr>
            <w:tcW w:w="5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expense on borrowings</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(65,214)</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(67,102)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1,888</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2.8 %</w:t>
            </w:r>
          </w:p>
        </w:tc>
      </w:tr>
      <w:tr>
        <w:trPr>
          <w:trHeight w:val="247"/>
        </w:trPr>
        <w:tc>
          <w:tcPr>
            <w:tcW w:w="5540" w:type="dxa"/>
            <w:vAlign w:val="bottom"/>
            <w:gridSpan w:val="2"/>
          </w:tcPr>
          <w:p>
            <w:pPr>
              <w:ind w:left="40"/>
              <w:spacing w:after="0"/>
              <w:rPr>
                <w:sz w:val="20"/>
                <w:szCs w:val="20"/>
                <w:color w:val="auto"/>
              </w:rPr>
            </w:pPr>
            <w:r>
              <w:rPr>
                <w:rFonts w:ascii="Arial" w:cs="Arial" w:eastAsia="Arial" w:hAnsi="Arial"/>
                <w:sz w:val="16"/>
                <w:szCs w:val="16"/>
                <w:color w:val="auto"/>
              </w:rPr>
              <w:t>Pretax loss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(589,419)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(562,289)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(27,130)</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(4.8)%</w:t>
            </w:r>
          </w:p>
        </w:tc>
      </w:tr>
      <w:tr>
        <w:trPr>
          <w:trHeight w:val="273"/>
        </w:trPr>
        <w:tc>
          <w:tcPr>
            <w:tcW w:w="5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tax benefit</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(149,906)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(43,234)</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106,672</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246.7 %</w:t>
            </w:r>
          </w:p>
        </w:tc>
      </w:tr>
      <w:tr>
        <w:trPr>
          <w:trHeight w:val="247"/>
        </w:trPr>
        <w:tc>
          <w:tcPr>
            <w:tcW w:w="5540" w:type="dxa"/>
            <w:vAlign w:val="bottom"/>
            <w:gridSpan w:val="2"/>
          </w:tcPr>
          <w:p>
            <w:pPr>
              <w:ind w:left="40"/>
              <w:spacing w:after="0"/>
              <w:rPr>
                <w:sz w:val="20"/>
                <w:szCs w:val="20"/>
                <w:color w:val="auto"/>
              </w:rPr>
            </w:pPr>
            <w:r>
              <w:rPr>
                <w:rFonts w:ascii="Arial" w:cs="Arial" w:eastAsia="Arial" w:hAnsi="Arial"/>
                <w:sz w:val="16"/>
                <w:szCs w:val="16"/>
                <w:color w:val="auto"/>
              </w:rPr>
              <w:t>Net loss from continuing operations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(439,513)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(519,055)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79,542</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15.3 %</w:t>
            </w:r>
          </w:p>
        </w:tc>
      </w:tr>
      <w:tr>
        <w:trPr>
          <w:trHeight w:val="273"/>
        </w:trPr>
        <w:tc>
          <w:tcPr>
            <w:tcW w:w="5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loss from discontinued operations</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(15,887)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(10,723)</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(5,164)</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(48.2)%</w:t>
            </w:r>
          </w:p>
        </w:tc>
      </w:tr>
      <w:tr>
        <w:trPr>
          <w:trHeight w:val="250"/>
        </w:trPr>
        <w:tc>
          <w:tcPr>
            <w:tcW w:w="55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(455,400)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(529,778)</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74,378</w:t>
            </w:r>
          </w:p>
        </w:tc>
        <w:tc>
          <w:tcPr>
            <w:tcW w:w="15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14.0 %</w:t>
            </w:r>
          </w:p>
        </w:tc>
      </w:tr>
      <w:tr>
        <w:trPr>
          <w:trHeight w:val="122"/>
        </w:trPr>
        <w:tc>
          <w:tcPr>
            <w:tcW w:w="5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r>
      <w:tr>
        <w:trPr>
          <w:trHeight w:val="266"/>
        </w:trPr>
        <w:tc>
          <w:tcPr>
            <w:tcW w:w="5540" w:type="dxa"/>
            <w:vAlign w:val="bottom"/>
            <w:gridSpan w:val="2"/>
          </w:tcPr>
          <w:p>
            <w:pPr>
              <w:ind w:left="40"/>
              <w:spacing w:after="0"/>
              <w:rPr>
                <w:sz w:val="20"/>
                <w:szCs w:val="20"/>
                <w:color w:val="auto"/>
              </w:rPr>
            </w:pPr>
            <w:r>
              <w:rPr>
                <w:rFonts w:ascii="Arial" w:cs="Arial" w:eastAsia="Arial" w:hAnsi="Arial"/>
                <w:sz w:val="15"/>
                <w:szCs w:val="15"/>
                <w:color w:val="auto"/>
              </w:rPr>
              <w:t>Basic and diluted loss per share:</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4"/>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Continuing operations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0.36</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14.5 %</w:t>
            </w:r>
          </w:p>
        </w:tc>
      </w:tr>
      <w:tr>
        <w:trPr>
          <w:trHeight w:val="266"/>
        </w:trPr>
        <w:tc>
          <w:tcPr>
            <w:tcW w:w="5540" w:type="dxa"/>
            <w:vAlign w:val="bottom"/>
            <w:tcBorders>
              <w:bottom w:val="single" w:sz="8" w:color="CCEEFF"/>
            </w:tcBorders>
            <w:gridSpan w:val="2"/>
          </w:tcPr>
          <w:p>
            <w:pPr>
              <w:ind w:left="180"/>
              <w:spacing w:after="0"/>
              <w:rPr>
                <w:sz w:val="20"/>
                <w:szCs w:val="20"/>
                <w:color w:val="auto"/>
              </w:rPr>
            </w:pPr>
            <w:r>
              <w:rPr>
                <w:rFonts w:ascii="Arial" w:cs="Arial" w:eastAsia="Arial" w:hAnsi="Arial"/>
                <w:sz w:val="15"/>
                <w:szCs w:val="15"/>
                <w:color w:val="auto"/>
              </w:rPr>
              <w:t>Discontinued operations</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(0.08)</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5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(60.0)%</w:t>
            </w:r>
          </w:p>
        </w:tc>
      </w:tr>
      <w:tr>
        <w:trPr>
          <w:trHeight w:val="250"/>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Consolidated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(2.21)</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13.0 %</w:t>
            </w:r>
          </w:p>
        </w:tc>
      </w:tr>
      <w:tr>
        <w:trPr>
          <w:trHeight w:val="119"/>
        </w:trPr>
        <w:tc>
          <w:tcPr>
            <w:tcW w:w="5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r>
      <w:tr>
        <w:trPr>
          <w:trHeight w:val="270"/>
        </w:trPr>
        <w:tc>
          <w:tcPr>
            <w:tcW w:w="55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6"/>
                <w:szCs w:val="16"/>
                <w:color w:val="auto"/>
              </w:rPr>
              <w:t xml:space="preserve">EBITDA from continuing operations </w:t>
            </w:r>
            <w:r>
              <w:rPr>
                <w:rFonts w:ascii="Arial" w:cs="Arial" w:eastAsia="Arial" w:hAnsi="Arial"/>
                <w:sz w:val="27"/>
                <w:szCs w:val="27"/>
                <w:color w:val="auto"/>
                <w:vertAlign w:val="superscript"/>
              </w:rPr>
              <w:t>(2)</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(398,192)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(358,309)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(39,883)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0" w:lineRule="exact"/>
        <w:rPr>
          <w:sz w:val="20"/>
          <w:szCs w:val="20"/>
          <w:color w:val="auto"/>
        </w:rPr>
      </w:pPr>
    </w:p>
    <w:p>
      <w:pPr>
        <w:ind w:left="200" w:hanging="192"/>
        <w:spacing w:after="0" w:line="182" w:lineRule="auto"/>
        <w:tabs>
          <w:tab w:leader="none" w:pos="200" w:val="left"/>
        </w:tabs>
        <w:numPr>
          <w:ilvl w:val="0"/>
          <w:numId w:val="22"/>
        </w:numPr>
        <w:rPr>
          <w:rFonts w:ascii="Arial" w:cs="Arial" w:eastAsia="Arial" w:hAnsi="Arial"/>
          <w:sz w:val="23"/>
          <w:szCs w:val="23"/>
          <w:color w:val="auto"/>
          <w:vertAlign w:val="superscript"/>
        </w:rPr>
      </w:pPr>
      <w:r>
        <w:rPr>
          <w:rFonts w:ascii="Arial" w:cs="Arial" w:eastAsia="Arial" w:hAnsi="Arial"/>
          <w:sz w:val="14"/>
          <w:szCs w:val="14"/>
          <w:color w:val="auto"/>
        </w:rPr>
        <w:t>We reclassified $28.6 million of software and information technology (IT) maintenance expense from occupancy to other expenses for the nine months ended January 31, 2018 to conform to the current period presentation.</w:t>
      </w:r>
    </w:p>
    <w:p>
      <w:pPr>
        <w:spacing w:after="0" w:line="1" w:lineRule="exact"/>
        <w:rPr>
          <w:rFonts w:ascii="Arial" w:cs="Arial" w:eastAsia="Arial" w:hAnsi="Arial"/>
          <w:sz w:val="23"/>
          <w:szCs w:val="23"/>
          <w:color w:val="auto"/>
          <w:vertAlign w:val="superscript"/>
        </w:rPr>
      </w:pPr>
    </w:p>
    <w:p>
      <w:pPr>
        <w:ind w:left="200" w:hanging="192"/>
        <w:spacing w:after="0" w:line="199" w:lineRule="auto"/>
        <w:tabs>
          <w:tab w:leader="none" w:pos="200" w:val="left"/>
        </w:tabs>
        <w:numPr>
          <w:ilvl w:val="0"/>
          <w:numId w:val="22"/>
        </w:numPr>
        <w:rPr>
          <w:rFonts w:ascii="Arial" w:cs="Arial" w:eastAsia="Arial" w:hAnsi="Arial"/>
          <w:sz w:val="18"/>
          <w:szCs w:val="18"/>
          <w:color w:val="auto"/>
          <w:vertAlign w:val="superscript"/>
        </w:rPr>
      </w:pPr>
      <w:r>
        <w:rPr>
          <w:rFonts w:ascii="Arial" w:cs="Arial" w:eastAsia="Arial" w:hAnsi="Arial"/>
          <w:sz w:val="12"/>
          <w:szCs w:val="12"/>
          <w:color w:val="auto"/>
        </w:rPr>
        <w:t>See "Non-GAAP Financial Information" at the end of this item for a reconciliation of non-GAAP measures.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January 31, 2019 compared to January 31,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Revenues decreased $4.6 million, or 0.6%, from the prior year period primarily due to a delay in overall industry filings.</w:t>
      </w:r>
    </w:p>
    <w:p>
      <w:pPr>
        <w:spacing w:after="0" w:line="117" w:lineRule="exact"/>
        <w:rPr>
          <w:sz w:val="20"/>
          <w:szCs w:val="20"/>
          <w:color w:val="auto"/>
        </w:rPr>
      </w:pPr>
    </w:p>
    <w:p>
      <w:pPr>
        <w:ind w:firstLine="243"/>
        <w:spacing w:after="0" w:line="262" w:lineRule="auto"/>
        <w:rPr>
          <w:sz w:val="20"/>
          <w:szCs w:val="20"/>
          <w:color w:val="auto"/>
        </w:rPr>
      </w:pPr>
      <w:r>
        <w:rPr>
          <w:rFonts w:ascii="Arial" w:cs="Arial" w:eastAsia="Arial" w:hAnsi="Arial"/>
          <w:sz w:val="18"/>
          <w:szCs w:val="18"/>
          <w:color w:val="auto"/>
        </w:rPr>
        <w:t>U.S. assisted tax preparation fees decreased $4.4 million, or 1.3%, primarily due to an 8.0% decline in tax return volume slightly offset by a 7.2% increase in net average charge primarily due to the discontinuation of our Free Federal 1040EZ promotion.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296545</wp:posOffset>
            </wp:positionV>
            <wp:extent cx="222885"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ectPr>
          <w:pgSz w:w="11900" w:h="16838" w:orient="portrait"/>
          <w:cols w:equalWidth="0" w:num="1">
            <w:col w:w="11420"/>
          </w:cols>
          <w:pgMar w:left="240" w:top="249" w:right="23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ind w:left="8380"/>
        <w:spacing w:after="0"/>
        <w:tabs>
          <w:tab w:leader="none" w:pos="1114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FY2019 Form 10-Q</w:t>
      </w:r>
      <w:r>
        <w:rPr>
          <w:sz w:val="20"/>
          <w:szCs w:val="20"/>
          <w:color w:val="auto"/>
        </w:rPr>
        <w:tab/>
      </w:r>
      <w:r>
        <w:rPr>
          <w:rFonts w:ascii="Arial" w:cs="Arial" w:eastAsia="Arial" w:hAnsi="Arial"/>
          <w:sz w:val="14"/>
          <w:szCs w:val="14"/>
          <w:color w:val="FFFFFF"/>
          <w:highlight w:val="black"/>
        </w:rPr>
        <w:t>29</w:t>
      </w:r>
    </w:p>
    <w:p>
      <w:pPr>
        <w:sectPr>
          <w:pgSz w:w="11900" w:h="16838" w:orient="portrait"/>
          <w:cols w:equalWidth="0" w:num="1">
            <w:col w:w="11420"/>
          </w:cols>
          <w:pgMar w:left="240" w:top="249" w:right="239" w:bottom="1440" w:gutter="0" w:footer="0" w:header="0"/>
          <w:type w:val="continuous"/>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ind w:right="20" w:firstLine="243"/>
        <w:spacing w:after="0" w:line="262" w:lineRule="auto"/>
        <w:rPr>
          <w:sz w:val="20"/>
          <w:szCs w:val="20"/>
          <w:color w:val="auto"/>
        </w:rPr>
      </w:pPr>
      <w:r>
        <w:rPr>
          <w:rFonts w:ascii="Arial" w:cs="Arial" w:eastAsia="Arial" w:hAnsi="Arial"/>
          <w:sz w:val="18"/>
          <w:szCs w:val="18"/>
          <w:color w:val="auto"/>
        </w:rPr>
        <w:t>International revenues decreased $3.7 million, or 3.7%, primarily due to unfavorable exchange rates in our Australian operations and the extended tax season during the prior year in our Canadian operations.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Revenues from RTs decreased $5.3 million, or 9.6%, primarily due to lower tax return volume.</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Revenues from TIS increased $10.3 million, or 140.7% primarily due to product features that impacted revenue recognition timing.</w:t>
      </w:r>
    </w:p>
    <w:p>
      <w:pPr>
        <w:spacing w:after="0" w:line="11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Total operating expenses increased $32.4 million, or 2.6%, from the prior year period. Other wages increased $11.5 million, or 8.2%, due to higher information technology wages. Occupancy costs increased $7.3 million, or 2.6%, primarily due to lease buyout payments on previously-announced office closures related to the consolidation of field offices and higher rental rates. Marketing and advertising increased $5.5 million, or 6.6%, due to higher online advertising. Depreciation and amortization decreased $10.9 million, or 7.9%, primarily due to lower depreciation on equipment and amortization of internally developed software.</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expenses increased $11.6 million, or 5.1%. The components of other expenses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Nine months ended January 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 Change</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 Change</w:t>
            </w:r>
          </w:p>
        </w:tc>
      </w:tr>
      <w:tr>
        <w:trPr>
          <w:trHeight w:val="257"/>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Consulting and outsourced services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63,444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61,607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1,837</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3.0 %</w:t>
            </w:r>
          </w:p>
        </w:tc>
      </w:tr>
      <w:tr>
        <w:trPr>
          <w:trHeight w:val="260"/>
        </w:trPr>
        <w:tc>
          <w:tcPr>
            <w:tcW w:w="5080" w:type="dxa"/>
            <w:vAlign w:val="bottom"/>
            <w:gridSpan w:val="2"/>
          </w:tcPr>
          <w:p>
            <w:pPr>
              <w:ind w:left="40"/>
              <w:spacing w:after="0"/>
              <w:rPr>
                <w:sz w:val="20"/>
                <w:szCs w:val="20"/>
                <w:color w:val="auto"/>
              </w:rPr>
            </w:pPr>
            <w:r>
              <w:rPr>
                <w:rFonts w:ascii="Arial" w:cs="Arial" w:eastAsia="Arial" w:hAnsi="Arial"/>
                <w:sz w:val="16"/>
                <w:szCs w:val="16"/>
                <w:color w:val="auto"/>
              </w:rPr>
              <w:t>Bank partner fees</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26,294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27,235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(941)</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(3.5)%</w:t>
            </w:r>
          </w:p>
        </w:tc>
      </w:tr>
      <w:tr>
        <w:trPr>
          <w:trHeight w:val="280"/>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Client claims and refunds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28,783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33,647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(4,864)</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(14.5)%</w:t>
            </w:r>
          </w:p>
        </w:tc>
      </w:tr>
      <w:tr>
        <w:trPr>
          <w:trHeight w:val="260"/>
        </w:trPr>
        <w:tc>
          <w:tcPr>
            <w:tcW w:w="5080" w:type="dxa"/>
            <w:vAlign w:val="bottom"/>
            <w:gridSpan w:val="2"/>
          </w:tcPr>
          <w:p>
            <w:pPr>
              <w:ind w:left="40"/>
              <w:spacing w:after="0"/>
              <w:rPr>
                <w:sz w:val="20"/>
                <w:szCs w:val="20"/>
                <w:color w:val="auto"/>
              </w:rPr>
            </w:pPr>
            <w:r>
              <w:rPr>
                <w:rFonts w:ascii="Arial" w:cs="Arial" w:eastAsia="Arial" w:hAnsi="Arial"/>
                <w:sz w:val="16"/>
                <w:szCs w:val="16"/>
                <w:color w:val="auto"/>
              </w:rPr>
              <w:t>Employee travel and related expenses</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29,515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29,284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231</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0.8 %</w:t>
            </w:r>
          </w:p>
        </w:tc>
      </w:tr>
      <w:tr>
        <w:trPr>
          <w:trHeight w:val="280"/>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Software and IT maintenance expenses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44,932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28,580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16,352</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57.2 %</w:t>
            </w:r>
          </w:p>
        </w:tc>
      </w:tr>
      <w:tr>
        <w:trPr>
          <w:trHeight w:val="260"/>
        </w:trPr>
        <w:tc>
          <w:tcPr>
            <w:tcW w:w="5080" w:type="dxa"/>
            <w:vAlign w:val="bottom"/>
            <w:gridSpan w:val="2"/>
          </w:tcPr>
          <w:p>
            <w:pPr>
              <w:ind w:left="40"/>
              <w:spacing w:after="0"/>
              <w:rPr>
                <w:sz w:val="20"/>
                <w:szCs w:val="20"/>
                <w:color w:val="auto"/>
              </w:rPr>
            </w:pPr>
            <w:r>
              <w:rPr>
                <w:rFonts w:ascii="Arial" w:cs="Arial" w:eastAsia="Arial" w:hAnsi="Arial"/>
                <w:sz w:val="16"/>
                <w:szCs w:val="16"/>
                <w:color w:val="auto"/>
              </w:rPr>
              <w:t>Credit card/bank charges</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8,420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10,904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(2,484)</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(22.8)%</w:t>
            </w:r>
          </w:p>
        </w:tc>
      </w:tr>
      <w:tr>
        <w:trPr>
          <w:trHeight w:val="280"/>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Insurance</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10,979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6,765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4,214</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62.3 %</w:t>
            </w:r>
          </w:p>
        </w:tc>
      </w:tr>
      <w:tr>
        <w:trPr>
          <w:trHeight w:val="260"/>
        </w:trPr>
        <w:tc>
          <w:tcPr>
            <w:tcW w:w="5080" w:type="dxa"/>
            <w:vAlign w:val="bottom"/>
            <w:gridSpan w:val="2"/>
          </w:tcPr>
          <w:p>
            <w:pPr>
              <w:ind w:left="40"/>
              <w:spacing w:after="0"/>
              <w:rPr>
                <w:sz w:val="20"/>
                <w:szCs w:val="20"/>
                <w:color w:val="auto"/>
              </w:rPr>
            </w:pPr>
            <w:r>
              <w:rPr>
                <w:rFonts w:ascii="Arial" w:cs="Arial" w:eastAsia="Arial" w:hAnsi="Arial"/>
                <w:sz w:val="16"/>
                <w:szCs w:val="16"/>
                <w:color w:val="auto"/>
              </w:rPr>
              <w:t>Legal fees and settlements</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8,331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8,600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(269)</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(3.1)%</w:t>
            </w:r>
          </w:p>
        </w:tc>
      </w:tr>
      <w:tr>
        <w:trPr>
          <w:trHeight w:val="273"/>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19,514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22,030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(2,516)</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50"/>
        </w:trPr>
        <w:tc>
          <w:tcPr>
            <w:tcW w:w="49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240,212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228,652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11,560</w:t>
            </w:r>
          </w:p>
        </w:tc>
        <w:tc>
          <w:tcPr>
            <w:tcW w:w="17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5.1 %</w:t>
            </w:r>
          </w:p>
        </w:tc>
      </w:tr>
      <w:tr>
        <w:trPr>
          <w:trHeight w:val="122"/>
        </w:trPr>
        <w:tc>
          <w:tcPr>
            <w:tcW w:w="498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11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11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12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600" w:type="dxa"/>
            <w:vAlign w:val="bottom"/>
            <w:tcBorders>
              <w:bottom w:val="single" w:sz="8" w:color="auto"/>
            </w:tcBorders>
            <w:shd w:val="clear" w:color="auto" w:fill="CCEEFF"/>
          </w:tcPr>
          <w:p>
            <w:pPr>
              <w:spacing w:after="0"/>
              <w:rPr>
                <w:sz w:val="10"/>
                <w:szCs w:val="10"/>
                <w:color w:val="auto"/>
              </w:rPr>
            </w:pPr>
          </w:p>
        </w:tc>
      </w:tr>
    </w:tbl>
    <w:p>
      <w:pPr>
        <w:spacing w:after="0" w:line="10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increase in software and IT maintenance expenses of $16.4 million, or 57.2%, is due to increased investments in information technology.</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recorded an income tax benefit in the current year of $149.9 million compared to $ 43.2 million in the prior year for the nine months ended January 31. The change compared to the prior year is primarily due to the impacts of the Tax Legislation. See Item 1, note 7 to the consolidated financial statements for additional discussion.</w:t>
      </w:r>
    </w:p>
    <w:p>
      <w:pPr>
        <w:spacing w:after="0" w:line="9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Total U.S. return volume decreased 1.2% through February 28, 2019 compared to the prior year period, as an increase in DIY returns of 6.4% was offset by a 6.5% decrease in assisted returns. Our business is highly seasonal and results for the nine months ended January 31, as well as results for the period ended February 28, may not be indicative of results for the entire fiscal year.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These comments should be read in conjunction with the consolidated balance sheets and consolidated statements of cash flows included in Part 1, Item 1.</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CAPITAL RESOURCES AND LIQUIDITY </w:t>
      </w:r>
      <w:r>
        <w:rPr>
          <w:rFonts w:ascii="Arial" w:cs="Arial" w:eastAsia="Arial" w:hAnsi="Arial"/>
          <w:sz w:val="18"/>
          <w:szCs w:val="18"/>
          <w:color w:val="auto"/>
        </w:rPr>
        <w:t>–</w:t>
      </w:r>
    </w:p>
    <w:p>
      <w:pPr>
        <w:spacing w:after="0" w:line="117"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 Our primary sources of capital and liquidity include cash from operations (including changes in working capital), draws on our</w:t>
      </w:r>
      <w:r>
        <w:rPr>
          <w:rFonts w:ascii="Arial" w:cs="Arial" w:eastAsia="Arial" w:hAnsi="Arial"/>
          <w:sz w:val="18"/>
          <w:szCs w:val="18"/>
          <w:b w:val="1"/>
          <w:bCs w:val="1"/>
          <w:color w:val="auto"/>
        </w:rPr>
        <w:t xml:space="preserve"> </w:t>
      </w:r>
      <w:r>
        <w:rPr>
          <w:rFonts w:ascii="Arial" w:cs="Arial" w:eastAsia="Arial" w:hAnsi="Arial"/>
          <w:sz w:val="18"/>
          <w:szCs w:val="18"/>
          <w:color w:val="auto"/>
        </w:rPr>
        <w:t>2018 CLOC, and issuances of debt. We use our sources of liquidity primarily to fund working capital, service and repay debt, pay dividends, repurchase shares of our common stock, and acquire businesses.</w:t>
      </w:r>
    </w:p>
    <w:p>
      <w:pPr>
        <w:spacing w:after="0" w:line="8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operations are highly seasonal and substantially all of our revenues and cash flow are generated during the period from February through April. Therefore, we require the use of cash to fund losses and working capital needs from May through January, and typically rely on available cash balances from the prior tax season and borrowings to meet our off-season liquidity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23177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1775" cy="13716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400" w:hanging="290"/>
        <w:spacing w:after="0"/>
        <w:tabs>
          <w:tab w:leader="none" w:pos="400" w:val="left"/>
        </w:tabs>
        <w:numPr>
          <w:ilvl w:val="0"/>
          <w:numId w:val="23"/>
        </w:numPr>
        <w:rPr>
          <w:rFonts w:ascii="Arial" w:cs="Arial" w:eastAsia="Arial" w:hAnsi="Arial"/>
          <w:sz w:val="14"/>
          <w:szCs w:val="14"/>
          <w:color w:val="FFFFFF"/>
          <w:highlight w:val="black"/>
        </w:rPr>
      </w:pPr>
      <w:r>
        <w:rPr>
          <w:rFonts w:ascii="Arial" w:cs="Arial" w:eastAsia="Arial" w:hAnsi="Arial"/>
          <w:sz w:val="14"/>
          <w:szCs w:val="14"/>
          <w:color w:val="auto"/>
        </w:rPr>
        <w:t xml:space="preserve">Q3 FY2019 Form 10-Q | </w:t>
      </w:r>
      <w:r>
        <w:rPr>
          <w:rFonts w:ascii="Arial" w:cs="Arial" w:eastAsia="Arial" w:hAnsi="Arial"/>
          <w:sz w:val="14"/>
          <w:szCs w:val="14"/>
          <w:b w:val="1"/>
          <w:bCs w:val="1"/>
          <w:color w:val="auto"/>
        </w:rPr>
        <w:t>H&amp;R Block, Inc.</w:t>
      </w:r>
    </w:p>
    <w:p>
      <w:pPr>
        <w:sectPr>
          <w:pgSz w:w="11900" w:h="16838" w:orient="portrait"/>
          <w:cols w:equalWidth="0" w:num="1">
            <w:col w:w="11420"/>
          </w:cols>
          <w:pgMar w:left="240" w:top="249"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Given the likely availability of a number of liquidity options discussed herein, we believe that, in the absence of any unexpected developments, our existing sources of capital as of January 31, 2019 are sufficient to meet our operating, investing and financing needs.</w:t>
      </w:r>
    </w:p>
    <w:p>
      <w:pPr>
        <w:spacing w:after="0" w:line="66"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b w:val="1"/>
          <w:bCs w:val="1"/>
          <w:color w:val="auto"/>
        </w:rPr>
        <w:t xml:space="preserve">DISCUSSION OF CONSOLIDATED STATEMENTS OF CASH FLOWS </w:t>
      </w:r>
      <w:r>
        <w:rPr>
          <w:rFonts w:ascii="Arial" w:cs="Arial" w:eastAsia="Arial" w:hAnsi="Arial"/>
          <w:sz w:val="18"/>
          <w:szCs w:val="18"/>
          <w:color w:val="auto"/>
        </w:rPr>
        <w:t>– The following table summarizes our statements of cash flows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nine months ended January 31, 2019 and 2018. See Item 1 for the complete consolidated statements of cash flows for these periods.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4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(in 000s)</w:t>
            </w:r>
          </w:p>
        </w:tc>
      </w:tr>
      <w:tr>
        <w:trPr>
          <w:trHeight w:val="263"/>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Nine months ended January 31,</w:t>
            </w:r>
          </w:p>
        </w:tc>
        <w:tc>
          <w:tcPr>
            <w:tcW w:w="14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2018</w:t>
            </w:r>
          </w:p>
        </w:tc>
      </w:tr>
      <w:tr>
        <w:trPr>
          <w:trHeight w:val="270"/>
        </w:trPr>
        <w:tc>
          <w:tcPr>
            <w:tcW w:w="6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cash provided by (used in):</w:t>
            </w:r>
          </w:p>
        </w:tc>
        <w:tc>
          <w:tcPr>
            <w:tcW w:w="8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60"/>
        </w:trPr>
        <w:tc>
          <w:tcPr>
            <w:tcW w:w="6540" w:type="dxa"/>
            <w:vAlign w:val="bottom"/>
            <w:gridSpan w:val="2"/>
          </w:tcPr>
          <w:p>
            <w:pPr>
              <w:ind w:left="180"/>
              <w:spacing w:after="0"/>
              <w:rPr>
                <w:sz w:val="20"/>
                <w:szCs w:val="20"/>
                <w:color w:val="auto"/>
              </w:rPr>
            </w:pPr>
            <w:r>
              <w:rPr>
                <w:rFonts w:ascii="Arial" w:cs="Arial" w:eastAsia="Arial" w:hAnsi="Arial"/>
                <w:sz w:val="16"/>
                <w:szCs w:val="16"/>
                <w:color w:val="auto"/>
              </w:rPr>
              <w:t>Operating activities</w:t>
            </w:r>
          </w:p>
        </w:tc>
        <w:tc>
          <w:tcPr>
            <w:tcW w:w="800" w:type="dxa"/>
            <w:vAlign w:val="bottom"/>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(1,347,456)</w:t>
            </w:r>
          </w:p>
        </w:tc>
        <w:tc>
          <w:tcPr>
            <w:tcW w:w="100" w:type="dxa"/>
            <w:vAlign w:val="bottom"/>
          </w:tcPr>
          <w:p>
            <w:pPr>
              <w:spacing w:after="0"/>
              <w:rPr>
                <w:sz w:val="22"/>
                <w:szCs w:val="22"/>
                <w:color w:val="auto"/>
              </w:rPr>
            </w:pPr>
          </w:p>
        </w:tc>
        <w:tc>
          <w:tcPr>
            <w:tcW w:w="82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(1,357,701)</w:t>
            </w:r>
          </w:p>
        </w:tc>
      </w:tr>
      <w:tr>
        <w:trPr>
          <w:trHeight w:val="280"/>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Investing activities</w:t>
            </w:r>
          </w:p>
        </w:tc>
        <w:tc>
          <w:tcPr>
            <w:tcW w:w="8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(119,259)</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(122,573)</w:t>
            </w:r>
          </w:p>
        </w:tc>
      </w:tr>
      <w:tr>
        <w:trPr>
          <w:trHeight w:val="260"/>
        </w:trPr>
        <w:tc>
          <w:tcPr>
            <w:tcW w:w="6540" w:type="dxa"/>
            <w:vAlign w:val="bottom"/>
            <w:gridSpan w:val="2"/>
          </w:tcPr>
          <w:p>
            <w:pPr>
              <w:ind w:left="180"/>
              <w:spacing w:after="0"/>
              <w:rPr>
                <w:sz w:val="20"/>
                <w:szCs w:val="20"/>
                <w:color w:val="auto"/>
              </w:rPr>
            </w:pPr>
            <w:r>
              <w:rPr>
                <w:rFonts w:ascii="Arial" w:cs="Arial" w:eastAsia="Arial" w:hAnsi="Arial"/>
                <w:sz w:val="16"/>
                <w:szCs w:val="16"/>
                <w:color w:val="auto"/>
              </w:rPr>
              <w:t>Financing activities</w:t>
            </w:r>
          </w:p>
        </w:tc>
        <w:tc>
          <w:tcPr>
            <w:tcW w:w="80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b w:val="1"/>
                <w:bCs w:val="1"/>
                <w:color w:val="auto"/>
              </w:rPr>
              <w:t>110,383</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631,342</w:t>
            </w:r>
          </w:p>
        </w:tc>
      </w:tr>
      <w:tr>
        <w:trPr>
          <w:trHeight w:val="273"/>
        </w:trPr>
        <w:tc>
          <w:tcPr>
            <w:tcW w:w="6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Effects of exchange rates on cash</w:t>
            </w:r>
          </w:p>
        </w:tc>
        <w:tc>
          <w:tcPr>
            <w:tcW w:w="80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(2,217)</w:t>
            </w:r>
          </w:p>
        </w:tc>
        <w:tc>
          <w:tcPr>
            <w:tcW w:w="10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1,792</w:t>
            </w:r>
          </w:p>
        </w:tc>
      </w:tr>
      <w:tr>
        <w:trPr>
          <w:trHeight w:val="250"/>
        </w:trPr>
        <w:tc>
          <w:tcPr>
            <w:tcW w:w="65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change in cash, cash equivalents and restricted cash</w:t>
            </w:r>
          </w:p>
        </w:tc>
        <w:tc>
          <w:tcPr>
            <w:tcW w:w="8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(1,358,549)</w:t>
            </w:r>
          </w:p>
        </w:tc>
        <w:tc>
          <w:tcPr>
            <w:tcW w:w="1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(847,140)</w:t>
            </w:r>
          </w:p>
        </w:tc>
      </w:tr>
      <w:tr>
        <w:trPr>
          <w:trHeight w:val="122"/>
        </w:trPr>
        <w:tc>
          <w:tcPr>
            <w:tcW w:w="640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spacing w:after="0"/>
              <w:rPr>
                <w:sz w:val="10"/>
                <w:szCs w:val="10"/>
                <w:color w:val="auto"/>
              </w:rPr>
            </w:pPr>
          </w:p>
        </w:tc>
        <w:tc>
          <w:tcPr>
            <w:tcW w:w="158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spacing w:after="0"/>
              <w:rPr>
                <w:sz w:val="10"/>
                <w:szCs w:val="10"/>
                <w:color w:val="auto"/>
              </w:rPr>
            </w:pPr>
          </w:p>
        </w:tc>
        <w:tc>
          <w:tcPr>
            <w:tcW w:w="1580" w:type="dxa"/>
            <w:vAlign w:val="bottom"/>
            <w:tcBorders>
              <w:bottom w:val="single" w:sz="8" w:color="auto"/>
            </w:tcBorders>
            <w:shd w:val="clear" w:color="auto" w:fill="CCEEFF"/>
          </w:tcPr>
          <w:p>
            <w:pPr>
              <w:spacing w:after="0"/>
              <w:rPr>
                <w:sz w:val="10"/>
                <w:szCs w:val="10"/>
                <w:color w:val="auto"/>
              </w:rPr>
            </w:pPr>
          </w:p>
        </w:tc>
      </w:tr>
    </w:tbl>
    <w:p>
      <w:pPr>
        <w:spacing w:after="0" w:line="8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Cash used in operations decreased, primarily due to changes in tax balances resulting from the Tax Legislation.</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Cash used in investing activities totaled $ 119.3 million for the nine months ended January 31, 2019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$122.6 million in the prior year period. This change resulted primarily from lower franchise loans funded compared to the prior year period.</w:t>
      </w:r>
    </w:p>
    <w:p>
      <w:pPr>
        <w:spacing w:after="0" w:line="45"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Cash provided by financing activities totaled $ 110.4 million for the nine months ended January 31, 2019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$631.3 million in the prior year period. This change resulted primarily from lower borrowings under the 2018 CLOC and share repurchases completed in the current year.</w:t>
      </w:r>
    </w:p>
    <w:p>
      <w:pPr>
        <w:spacing w:after="0" w:line="6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CASH REQUIREMENTS </w:t>
      </w:r>
      <w:r>
        <w:rPr>
          <w:rFonts w:ascii="Arial" w:cs="Arial" w:eastAsia="Arial" w:hAnsi="Arial"/>
          <w:sz w:val="18"/>
          <w:szCs w:val="18"/>
          <w:color w:val="auto"/>
        </w:rPr>
        <w:t>–</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b w:val="1"/>
          <w:bCs w:val="1"/>
          <w:color w:val="auto"/>
        </w:rPr>
        <w:t xml:space="preserve">Dividends and Share Repurchases. </w:t>
      </w:r>
      <w:r>
        <w:rPr>
          <w:rFonts w:ascii="Arial" w:cs="Arial" w:eastAsia="Arial" w:hAnsi="Arial"/>
          <w:sz w:val="18"/>
          <w:szCs w:val="18"/>
          <w:color w:val="auto"/>
        </w:rPr>
        <w:t>Returning capital to shareholders in the form of dividends and the repurchase of outstanding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has historically been a significant component of our capital allocation plan.</w:t>
      </w:r>
    </w:p>
    <w:p>
      <w:pPr>
        <w:spacing w:after="0" w:line="67" w:lineRule="exact"/>
        <w:rPr>
          <w:sz w:val="20"/>
          <w:szCs w:val="20"/>
          <w:color w:val="auto"/>
        </w:rPr>
      </w:pPr>
    </w:p>
    <w:p>
      <w:pPr>
        <w:jc w:val="both"/>
        <w:ind w:right="20" w:firstLine="243"/>
        <w:spacing w:after="0" w:line="256" w:lineRule="auto"/>
        <w:rPr>
          <w:sz w:val="20"/>
          <w:szCs w:val="20"/>
          <w:color w:val="auto"/>
        </w:rPr>
      </w:pPr>
      <w:r>
        <w:rPr>
          <w:rFonts w:ascii="Arial" w:cs="Arial" w:eastAsia="Arial" w:hAnsi="Arial"/>
          <w:sz w:val="18"/>
          <w:szCs w:val="18"/>
          <w:color w:val="auto"/>
        </w:rPr>
        <w:t>We have consistently paid quarterly dividends. Dividends paid totaled $154.9 million and $150.3 million for the nine months ended January 31, 2019 and 2018, respectively. Although we have historically paid dividends and plan to continue to do so, there can be no assurances that circumstances will not change in the future that could affect our ability or decisions to pay dividends.</w:t>
      </w:r>
    </w:p>
    <w:p>
      <w:pPr>
        <w:spacing w:after="0" w:line="9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September 2015, we announced that our Board of Directors approved a $ 3.5 billion share repurchase program, effective through June 2019. As a part of the repurchase program, in the current year, we purchased $ 109.4 million of our common stock at an average price of $23.29 per share. See Item 1, note 3 to the consolidated financial statements for additional information. Although we may continue to repurchase shares, there is no assurance that we will purchase up the full Board authorization.</w:t>
      </w:r>
    </w:p>
    <w:p>
      <w:pPr>
        <w:spacing w:after="0" w:line="74"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b w:val="1"/>
          <w:bCs w:val="1"/>
          <w:color w:val="auto"/>
        </w:rPr>
        <w:t xml:space="preserve">Capital Investment. </w:t>
      </w:r>
      <w:r>
        <w:rPr>
          <w:rFonts w:ascii="Arial" w:cs="Arial" w:eastAsia="Arial" w:hAnsi="Arial"/>
          <w:sz w:val="18"/>
          <w:szCs w:val="18"/>
          <w:color w:val="auto"/>
        </w:rPr>
        <w:t>Capital expenditures totaled $80.0 million and $77.9 million for the nine months ended January 31, 2019 and 2018,</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Our capital expenditures relate primarily to recurring improvements to retail offices, as well as investments in computers, software and related assets. In addition to our capital expenditures, we also made payments to acquire franchisee and competitor businesses totaling $42.4 million and $39.4 million for the nine months ended January 31, 2019 and 2018, respectively.</w:t>
      </w:r>
    </w:p>
    <w:p>
      <w:pPr>
        <w:spacing w:after="0" w:line="69"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b w:val="1"/>
          <w:bCs w:val="1"/>
          <w:color w:val="auto"/>
        </w:rPr>
        <w:t xml:space="preserve">FINANCING RESOURCES </w:t>
      </w:r>
      <w:r>
        <w:rPr>
          <w:rFonts w:ascii="Arial" w:cs="Arial" w:eastAsia="Arial" w:hAnsi="Arial"/>
          <w:sz w:val="18"/>
          <w:szCs w:val="18"/>
          <w:color w:val="auto"/>
        </w:rPr>
        <w:t>– We had an outstanding balance of $385.0 million as of January 31, 2019 on our 2018 CLOC, and we may</w:t>
      </w:r>
      <w:r>
        <w:rPr>
          <w:rFonts w:ascii="Arial" w:cs="Arial" w:eastAsia="Arial" w:hAnsi="Arial"/>
          <w:sz w:val="18"/>
          <w:szCs w:val="18"/>
          <w:b w:val="1"/>
          <w:bCs w:val="1"/>
          <w:color w:val="auto"/>
        </w:rPr>
        <w:t xml:space="preserve"> </w:t>
      </w:r>
      <w:r>
        <w:rPr>
          <w:rFonts w:ascii="Arial" w:cs="Arial" w:eastAsia="Arial" w:hAnsi="Arial"/>
          <w:sz w:val="18"/>
          <w:szCs w:val="18"/>
          <w:color w:val="auto"/>
        </w:rPr>
        <w:t>borrow up to the full capacity of $2.0 billion. See Item 1, note 6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283210</wp:posOffset>
            </wp:positionV>
            <wp:extent cx="222885"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8380"/>
        <w:spacing w:after="0"/>
        <w:tabs>
          <w:tab w:leader="none" w:pos="1114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FY2019 Form 10-Q</w:t>
      </w:r>
      <w:r>
        <w:rPr>
          <w:sz w:val="20"/>
          <w:szCs w:val="20"/>
          <w:color w:val="auto"/>
        </w:rPr>
        <w:tab/>
      </w:r>
      <w:r>
        <w:rPr>
          <w:rFonts w:ascii="Arial" w:cs="Arial" w:eastAsia="Arial" w:hAnsi="Arial"/>
          <w:sz w:val="14"/>
          <w:szCs w:val="14"/>
          <w:color w:val="FFFFFF"/>
          <w:highlight w:val="black"/>
        </w:rPr>
        <w:t>31</w:t>
      </w:r>
    </w:p>
    <w:p>
      <w:pPr>
        <w:sectPr>
          <w:pgSz w:w="11900" w:h="16838" w:orient="portrait"/>
          <w:cols w:equalWidth="0" w:num="1">
            <w:col w:w="11420"/>
          </w:cols>
          <w:pgMar w:left="240" w:top="249"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provides ratings for debt issued by Block Financial as of January 31, 2019 and April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1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As of</w:t>
            </w:r>
          </w:p>
        </w:tc>
        <w:tc>
          <w:tcPr>
            <w:tcW w:w="25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January 31, 2019</w:t>
            </w:r>
          </w:p>
        </w:tc>
        <w:tc>
          <w:tcPr>
            <w:tcW w:w="1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April 30, 2018</w:t>
            </w:r>
          </w:p>
        </w:tc>
        <w:tc>
          <w:tcPr>
            <w:tcW w:w="1140" w:type="dxa"/>
            <w:vAlign w:val="bottom"/>
            <w:tcBorders>
              <w:bottom w:val="single" w:sz="8" w:color="auto"/>
            </w:tcBorders>
          </w:tcPr>
          <w:p>
            <w:pPr>
              <w:spacing w:after="0"/>
              <w:rPr>
                <w:sz w:val="19"/>
                <w:szCs w:val="19"/>
                <w:color w:val="auto"/>
              </w:rPr>
            </w:pPr>
          </w:p>
        </w:tc>
      </w:tr>
      <w:tr>
        <w:trPr>
          <w:trHeight w:val="264"/>
        </w:trPr>
        <w:tc>
          <w:tcPr>
            <w:tcW w:w="210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Short-term</w:t>
            </w:r>
          </w:p>
        </w:tc>
        <w:tc>
          <w:tcPr>
            <w:tcW w:w="15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Long-term</w:t>
            </w:r>
          </w:p>
        </w:tc>
        <w:tc>
          <w:tcPr>
            <w:tcW w:w="13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Outlook</w:t>
            </w:r>
          </w:p>
        </w:tc>
        <w:tc>
          <w:tcPr>
            <w:tcW w:w="13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Short-term</w:t>
            </w:r>
          </w:p>
        </w:tc>
        <w:tc>
          <w:tcPr>
            <w:tcW w:w="14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Long-term</w:t>
            </w: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Outlook</w:t>
            </w:r>
          </w:p>
        </w:tc>
      </w:tr>
      <w:tr>
        <w:trPr>
          <w:trHeight w:val="270"/>
        </w:trPr>
        <w:tc>
          <w:tcPr>
            <w:tcW w:w="2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Moody's</w:t>
            </w:r>
          </w:p>
        </w:tc>
        <w:tc>
          <w:tcPr>
            <w:tcW w:w="2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P-3</w:t>
            </w:r>
          </w:p>
        </w:tc>
        <w:tc>
          <w:tcPr>
            <w:tcW w:w="158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Baa3</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Negative</w:t>
            </w:r>
          </w:p>
        </w:tc>
        <w:tc>
          <w:tcPr>
            <w:tcW w:w="1300" w:type="dxa"/>
            <w:vAlign w:val="bottom"/>
            <w:shd w:val="clear" w:color="auto" w:fill="CCEEFF"/>
          </w:tcPr>
          <w:p>
            <w:pPr>
              <w:ind w:left="920"/>
              <w:spacing w:after="0"/>
              <w:rPr>
                <w:sz w:val="20"/>
                <w:szCs w:val="20"/>
                <w:color w:val="auto"/>
              </w:rPr>
            </w:pPr>
            <w:r>
              <w:rPr>
                <w:rFonts w:ascii="Arial" w:cs="Arial" w:eastAsia="Arial" w:hAnsi="Arial"/>
                <w:sz w:val="16"/>
                <w:szCs w:val="16"/>
                <w:color w:val="auto"/>
              </w:rPr>
              <w:t>P-3</w:t>
            </w:r>
          </w:p>
        </w:tc>
        <w:tc>
          <w:tcPr>
            <w:tcW w:w="14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Baa3</w:t>
            </w:r>
          </w:p>
        </w:tc>
        <w:tc>
          <w:tcPr>
            <w:tcW w:w="11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Stable</w:t>
            </w:r>
          </w:p>
        </w:tc>
      </w:tr>
      <w:tr>
        <w:trPr>
          <w:trHeight w:val="264"/>
        </w:trPr>
        <w:tc>
          <w:tcPr>
            <w:tcW w:w="21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S&amp;P</w:t>
            </w: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A-2</w:t>
            </w:r>
          </w:p>
        </w:tc>
        <w:tc>
          <w:tcPr>
            <w:tcW w:w="15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BBB</w:t>
            </w: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Stable</w:t>
            </w:r>
          </w:p>
        </w:tc>
        <w:tc>
          <w:tcPr>
            <w:tcW w:w="130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A-2</w:t>
            </w:r>
          </w:p>
        </w:tc>
        <w:tc>
          <w:tcPr>
            <w:tcW w:w="14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BBB</w:t>
            </w:r>
          </w:p>
        </w:tc>
        <w:tc>
          <w:tcPr>
            <w:tcW w:w="114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Stable</w:t>
            </w:r>
          </w:p>
        </w:tc>
      </w:tr>
    </w:tbl>
    <w:p>
      <w:pPr>
        <w:spacing w:after="0" w:line="107" w:lineRule="exact"/>
        <w:rPr>
          <w:sz w:val="20"/>
          <w:szCs w:val="20"/>
          <w:color w:val="auto"/>
        </w:rPr>
      </w:pPr>
    </w:p>
    <w:p>
      <w:pPr>
        <w:jc w:val="both"/>
        <w:ind w:right="20" w:firstLine="230"/>
        <w:spacing w:after="0" w:line="262" w:lineRule="auto"/>
        <w:rPr>
          <w:sz w:val="20"/>
          <w:szCs w:val="20"/>
          <w:color w:val="auto"/>
        </w:rPr>
      </w:pPr>
      <w:r>
        <w:rPr>
          <w:rFonts w:ascii="Arial" w:cs="Arial" w:eastAsia="Arial" w:hAnsi="Arial"/>
          <w:sz w:val="18"/>
          <w:szCs w:val="18"/>
          <w:color w:val="auto"/>
        </w:rPr>
        <w:t>Other than as described above, there have been no material changes in our borrowings from those reported as of April 30, 2018 in our Annual Report on Form 10-K.</w:t>
      </w:r>
    </w:p>
    <w:p>
      <w:pPr>
        <w:spacing w:after="0" w:line="66"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8"/>
          <w:szCs w:val="18"/>
          <w:b w:val="1"/>
          <w:bCs w:val="1"/>
          <w:color w:val="auto"/>
        </w:rPr>
        <w:t xml:space="preserve">CASH AND OTHER ASSETS </w:t>
      </w:r>
      <w:r>
        <w:rPr>
          <w:rFonts w:ascii="Arial" w:cs="Arial" w:eastAsia="Arial" w:hAnsi="Arial"/>
          <w:sz w:val="18"/>
          <w:szCs w:val="18"/>
          <w:color w:val="auto"/>
        </w:rPr>
        <w:t>– As of January 31, 2019, we held cash and cash equivalents, excluding restricted amounts, of $203.2</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including $86.5 million held by our foreign subsidiaries.</w:t>
      </w:r>
    </w:p>
    <w:p>
      <w:pPr>
        <w:spacing w:after="0" w:line="45" w:lineRule="exact"/>
        <w:rPr>
          <w:sz w:val="20"/>
          <w:szCs w:val="20"/>
          <w:color w:val="auto"/>
        </w:rPr>
      </w:pPr>
    </w:p>
    <w:p>
      <w:pPr>
        <w:jc w:val="both"/>
        <w:ind w:firstLine="230"/>
        <w:spacing w:after="0" w:line="269" w:lineRule="auto"/>
        <w:rPr>
          <w:sz w:val="20"/>
          <w:szCs w:val="20"/>
          <w:color w:val="auto"/>
        </w:rPr>
      </w:pPr>
      <w:r>
        <w:rPr>
          <w:rFonts w:ascii="Arial" w:cs="Arial" w:eastAsia="Arial" w:hAnsi="Arial"/>
          <w:sz w:val="18"/>
          <w:szCs w:val="18"/>
          <w:b w:val="1"/>
          <w:bCs w:val="1"/>
          <w:color w:val="auto"/>
        </w:rPr>
        <w:t xml:space="preserve">Foreign Operations. </w:t>
      </w:r>
      <w:r>
        <w:rPr>
          <w:rFonts w:ascii="Arial" w:cs="Arial" w:eastAsia="Arial" w:hAnsi="Arial"/>
          <w:sz w:val="18"/>
          <w:szCs w:val="18"/>
          <w:color w:val="auto"/>
        </w:rPr>
        <w:t>Seasonal borrowing needs of our Canadian operations are typically funded by our U.S. operations. To mitigate foreign</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exchange rate risk, we sometimes enter into foreign exchange forward contracts. There were no forward contracts outstanding as of January 31, 2019.</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do not currently intend to repatriate any non-borrowed funds held by our foreign subsidiaries.</w:t>
      </w:r>
    </w:p>
    <w:p>
      <w:pPr>
        <w:spacing w:after="0" w:line="11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impact of changes in foreign exchange rates during the period on our international cash balances resulted in a decrease of $2.2 million during the nine months ended January 31, 2019 compared to an increase of $1.8 million in the prior year.</w:t>
      </w:r>
    </w:p>
    <w:p>
      <w:pPr>
        <w:spacing w:after="0" w:line="66"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8"/>
          <w:szCs w:val="18"/>
          <w:b w:val="1"/>
          <w:bCs w:val="1"/>
          <w:color w:val="auto"/>
        </w:rPr>
        <w:t xml:space="preserve">CONTRACTUAL OBLIGATIONS AND COMMERCIAL COMMITMENTS </w:t>
      </w:r>
      <w:r>
        <w:rPr>
          <w:rFonts w:ascii="Arial" w:cs="Arial" w:eastAsia="Arial" w:hAnsi="Arial"/>
          <w:sz w:val="18"/>
          <w:szCs w:val="18"/>
          <w:color w:val="auto"/>
        </w:rPr>
        <w:t>– EAs are originated by Axos. We purchase a 90% participation</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at par, in all EAs originated by Axos in accordance with our participation agreement. At January 31, 2019, the principal balance of purchased participation interests totaled $360.6 million.</w:t>
      </w:r>
    </w:p>
    <w:p>
      <w:pPr>
        <w:spacing w:after="0" w:line="82" w:lineRule="exact"/>
        <w:rPr>
          <w:sz w:val="20"/>
          <w:szCs w:val="20"/>
          <w:color w:val="auto"/>
        </w:rPr>
      </w:pPr>
    </w:p>
    <w:p>
      <w:pPr>
        <w:jc w:val="both"/>
        <w:ind w:right="20" w:firstLine="243"/>
        <w:spacing w:after="0" w:line="256" w:lineRule="auto"/>
        <w:rPr>
          <w:sz w:val="20"/>
          <w:szCs w:val="20"/>
          <w:color w:val="auto"/>
        </w:rPr>
      </w:pPr>
      <w:r>
        <w:rPr>
          <w:rFonts w:ascii="Arial" w:cs="Arial" w:eastAsia="Arial" w:hAnsi="Arial"/>
          <w:sz w:val="18"/>
          <w:szCs w:val="18"/>
          <w:color w:val="auto"/>
        </w:rPr>
        <w:t>As discussed further in Item 1, note 9 to the consolidated financial statements, we have provided limited guarantees under our Refund Advance Program Agreement of up to $7.5 million related to loans to clients prior to the IRS accepting electronic filing, with additional limited guarantees for the remaining loans, up to $57 million in the aggregate, which would cover certain incremental loan losses.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October 2018, we exercised a purchase option to acquire an office building previously recorded as a capital lease.</w:t>
      </w:r>
    </w:p>
    <w:p>
      <w:pPr>
        <w:spacing w:after="0" w:line="11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Other than as described above, there have been no other material changes in our contractual obligations and commercial commitments from those reported as of April 30, 2018 in our Annual Report on Form 10-K.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November 17, 2017, the Consumer Financial Protection Bureau (CFPB) published its final rule changing the regulation of certain consumer credit products, including payday loans, vehicle title loans, and high-cost installment loans (Payday Rule). Certain limited provisions of the Payday Rule became effective on January 16, 2018, but most provisions do not become effective until August 19, 2019. On November 6, 2018, a judge from the U.S. District Court for the Western District of Texas issued a stay of the August 19, 2019 compliance date until further notice from the Court. On February 6, 2019, the CFPB issued a notice of proposed rulemaking to delay the August 19, 2019 compliance date for the mandatory underwriting provisions of the Payday Rule for 15 months, until November 19, 2020. Also on February 6, 2019, the CFPB issued a separate notice of proposed rulemaking to rescind the Payday Rule’s mandatory underwriting requirements, including the ability to repay determination, for certain loans.</w:t>
      </w:r>
    </w:p>
    <w:p>
      <w:pPr>
        <w:spacing w:after="0" w:line="98" w:lineRule="exact"/>
        <w:rPr>
          <w:sz w:val="20"/>
          <w:szCs w:val="20"/>
          <w:color w:val="auto"/>
        </w:rPr>
      </w:pPr>
    </w:p>
    <w:p>
      <w:pPr>
        <w:jc w:val="both"/>
        <w:ind w:firstLine="243"/>
        <w:spacing w:after="0" w:line="227" w:lineRule="auto"/>
        <w:rPr>
          <w:sz w:val="20"/>
          <w:szCs w:val="20"/>
          <w:color w:val="auto"/>
        </w:rPr>
      </w:pPr>
      <w:r>
        <w:rPr>
          <w:rFonts w:ascii="Arial" w:cs="Arial" w:eastAsia="Arial" w:hAnsi="Arial"/>
          <w:sz w:val="18"/>
          <w:szCs w:val="18"/>
          <w:color w:val="auto"/>
        </w:rPr>
        <w:t>Given these judicial and regulatory developments, we are unsure whether, when, or in what form the Payday Rule may go into effect. The outcomes of the rulemaking process and litigation are unclear. Depending on how the Payday Rule is revised during the pending rulemaking process, the Payday Rule may have a material adverse impact on the Emerald Advance</w:t>
      </w:r>
      <w:r>
        <w:rPr>
          <w:rFonts w:ascii="Arial" w:cs="Arial" w:eastAsia="Arial" w:hAnsi="Arial"/>
          <w:sz w:val="27"/>
          <w:szCs w:val="27"/>
          <w:color w:val="auto"/>
          <w:vertAlign w:val="superscript"/>
        </w:rPr>
        <w:t>TM</w:t>
      </w:r>
      <w:r>
        <w:rPr>
          <w:rFonts w:ascii="Arial" w:cs="Arial" w:eastAsia="Arial" w:hAnsi="Arial"/>
          <w:sz w:val="18"/>
          <w:szCs w:val="18"/>
          <w:color w:val="auto"/>
        </w:rPr>
        <w:t xml:space="preserve"> product, our business, and our consolidated financial position, results of operations, and cash flows. We will continue to analyze the potential impact on the Company as the court case and the CFPB’s pending rulemaking process progress.</w:t>
      </w:r>
    </w:p>
    <w:p>
      <w:pPr>
        <w:spacing w:after="0" w:line="112" w:lineRule="exact"/>
        <w:rPr>
          <w:sz w:val="20"/>
          <w:szCs w:val="20"/>
          <w:color w:val="auto"/>
        </w:rPr>
      </w:pPr>
    </w:p>
    <w:p>
      <w:pPr>
        <w:jc w:val="both"/>
        <w:ind w:right="20" w:firstLine="243"/>
        <w:spacing w:after="0" w:line="262" w:lineRule="auto"/>
        <w:rPr>
          <w:sz w:val="20"/>
          <w:szCs w:val="20"/>
          <w:color w:val="auto"/>
        </w:rPr>
      </w:pPr>
      <w:r>
        <w:rPr>
          <w:rFonts w:ascii="Arial" w:cs="Arial" w:eastAsia="Arial" w:hAnsi="Arial"/>
          <w:sz w:val="18"/>
          <w:szCs w:val="18"/>
          <w:color w:val="auto"/>
        </w:rPr>
        <w:t>There have been no other material changes in our regulatory environment from what was reported as of April 30, 2018 in our Annual Report on Form 10-K.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Non-GAAP financial measures should not be considered as a substitute for, or superior to, measures of financial performance prepared in accordance with GAAP. Because these measures are not measures of financial performance under GAAP and are susceptible to varying calculations, they may not be comparable to similarly titled measures for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231775"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1775" cy="13716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400" w:hanging="290"/>
        <w:spacing w:after="0"/>
        <w:tabs>
          <w:tab w:leader="none" w:pos="400" w:val="left"/>
        </w:tabs>
        <w:numPr>
          <w:ilvl w:val="0"/>
          <w:numId w:val="24"/>
        </w:numPr>
        <w:rPr>
          <w:rFonts w:ascii="Arial" w:cs="Arial" w:eastAsia="Arial" w:hAnsi="Arial"/>
          <w:sz w:val="14"/>
          <w:szCs w:val="14"/>
          <w:color w:val="FFFFFF"/>
          <w:highlight w:val="black"/>
        </w:rPr>
      </w:pPr>
      <w:r>
        <w:rPr>
          <w:rFonts w:ascii="Arial" w:cs="Arial" w:eastAsia="Arial" w:hAnsi="Arial"/>
          <w:sz w:val="14"/>
          <w:szCs w:val="14"/>
          <w:color w:val="auto"/>
        </w:rPr>
        <w:t xml:space="preserve">Q3 FY2019 Form 10-Q | </w:t>
      </w:r>
      <w:r>
        <w:rPr>
          <w:rFonts w:ascii="Arial" w:cs="Arial" w:eastAsia="Arial" w:hAnsi="Arial"/>
          <w:sz w:val="14"/>
          <w:szCs w:val="14"/>
          <w:b w:val="1"/>
          <w:bCs w:val="1"/>
          <w:color w:val="auto"/>
        </w:rPr>
        <w:t>H&amp;R Block, Inc.</w:t>
      </w:r>
    </w:p>
    <w:p>
      <w:pPr>
        <w:sectPr>
          <w:pgSz w:w="11900" w:h="16838" w:orient="portrait"/>
          <w:cols w:equalWidth="0" w:num="1">
            <w:col w:w="11420"/>
          </w:cols>
          <w:pgMar w:left="240" w:top="249"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ind w:right="20" w:firstLine="243"/>
        <w:spacing w:after="0" w:line="262" w:lineRule="auto"/>
        <w:rPr>
          <w:sz w:val="20"/>
          <w:szCs w:val="20"/>
          <w:color w:val="auto"/>
        </w:rPr>
      </w:pPr>
      <w:r>
        <w:rPr>
          <w:rFonts w:ascii="Arial" w:cs="Arial" w:eastAsia="Arial" w:hAnsi="Arial"/>
          <w:sz w:val="18"/>
          <w:szCs w:val="18"/>
          <w:color w:val="auto"/>
        </w:rPr>
        <w:t>We consider our non-GAAP financial measures to be performance measures and a useful metric for management and investors to evaluate and compare the ongoing operating performance of our business.</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may consider whether significant items that arise in the future should be excluded from our non-GAAP financial measures.</w:t>
      </w:r>
    </w:p>
    <w:p>
      <w:pPr>
        <w:spacing w:after="0" w:line="117" w:lineRule="exact"/>
        <w:rPr>
          <w:sz w:val="20"/>
          <w:szCs w:val="20"/>
          <w:color w:val="auto"/>
        </w:rPr>
      </w:pPr>
    </w:p>
    <w:p>
      <w:pPr>
        <w:jc w:val="both"/>
        <w:ind w:firstLine="230"/>
        <w:spacing w:after="0" w:line="254" w:lineRule="auto"/>
        <w:rPr>
          <w:sz w:val="20"/>
          <w:szCs w:val="20"/>
          <w:color w:val="auto"/>
        </w:rPr>
      </w:pPr>
      <w:r>
        <w:rPr>
          <w:rFonts w:ascii="Arial" w:cs="Arial" w:eastAsia="Arial" w:hAnsi="Arial"/>
          <w:sz w:val="18"/>
          <w:szCs w:val="18"/>
          <w:color w:val="auto"/>
        </w:rPr>
        <w:t>We measure the performance of our business using a variety of metrics, including earnings before interest, taxes, depreciation and amortization (EBITDA) from continuing operations, EBITDA margin from continuing operations, and free cash flow. We also use EBITDA from continuing operations and pretax income of continuing operations, each subject to permitted adjustments, as performance metrics in incentive compensation calculations for our employees.</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a reconciliation of EBITDA from continuing operations to net loss: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(in 000s)</w:t>
            </w:r>
          </w:p>
        </w:tc>
      </w:tr>
      <w:tr>
        <w:trPr>
          <w:trHeight w:val="263"/>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120" w:type="dxa"/>
            <w:vAlign w:val="bottom"/>
            <w:tcBorders>
              <w:bottom w:val="single" w:sz="8" w:color="auto"/>
            </w:tcBorders>
            <w:gridSpan w:val="5"/>
          </w:tcPr>
          <w:p>
            <w:pPr>
              <w:ind w:left="180"/>
              <w:spacing w:after="0"/>
              <w:rPr>
                <w:sz w:val="20"/>
                <w:szCs w:val="20"/>
                <w:color w:val="auto"/>
              </w:rPr>
            </w:pPr>
            <w:r>
              <w:rPr>
                <w:rFonts w:ascii="Arial" w:cs="Arial" w:eastAsia="Arial" w:hAnsi="Arial"/>
                <w:sz w:val="16"/>
                <w:szCs w:val="16"/>
                <w:color w:val="auto"/>
              </w:rPr>
              <w:t>Three months ended January 31,</w:t>
            </w:r>
          </w:p>
        </w:tc>
        <w:tc>
          <w:tcPr>
            <w:tcW w:w="320" w:type="dxa"/>
            <w:vAlign w:val="bottom"/>
            <w:tcBorders>
              <w:bottom w:val="single" w:sz="8" w:color="auto"/>
            </w:tcBorders>
          </w:tcPr>
          <w:p>
            <w:pPr>
              <w:spacing w:after="0"/>
              <w:rPr>
                <w:sz w:val="22"/>
                <w:szCs w:val="22"/>
                <w:color w:val="auto"/>
              </w:rPr>
            </w:pPr>
          </w:p>
        </w:tc>
        <w:tc>
          <w:tcPr>
            <w:tcW w:w="298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6"/>
                <w:szCs w:val="16"/>
                <w:color w:val="auto"/>
              </w:rPr>
              <w:t>Nine months ended January 31,</w:t>
            </w:r>
          </w:p>
        </w:tc>
      </w:tr>
      <w:tr>
        <w:trPr>
          <w:trHeight w:val="264"/>
        </w:trPr>
        <w:tc>
          <w:tcPr>
            <w:tcW w:w="4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2018</w:t>
            </w:r>
          </w:p>
        </w:tc>
      </w:tr>
      <w:tr>
        <w:trPr>
          <w:trHeight w:val="25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loss - as reported</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(126,454)</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(245,645)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(455,400)</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(529,778)</w:t>
            </w:r>
          </w:p>
        </w:tc>
      </w:tr>
      <w:tr>
        <w:trPr>
          <w:trHeight w:val="264"/>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Discontinued operations, net</w:t>
            </w: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6,675</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2,720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15,887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10,723</w:t>
            </w:r>
          </w:p>
        </w:tc>
      </w:tr>
      <w:tr>
        <w:trPr>
          <w:trHeight w:val="25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loss from continuing operations - as reported</w:t>
            </w:r>
          </w:p>
        </w:tc>
        <w:tc>
          <w:tcPr>
            <w:tcW w:w="3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(119,779)</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(242,925)</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(439,513)</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(519,055)</w:t>
            </w:r>
          </w:p>
        </w:tc>
      </w:tr>
      <w:tr>
        <w:trPr>
          <w:trHeight w:val="254"/>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Add back:</w:t>
            </w: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0"/>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Income taxes of continuing operations</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(38,885)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122,120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(149,906)</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(43,234)</w:t>
            </w:r>
          </w:p>
        </w:tc>
      </w:tr>
      <w:tr>
        <w:trPr>
          <w:trHeight w:val="26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Interest expense of continuing operations</w:t>
            </w:r>
          </w:p>
        </w:tc>
        <w:tc>
          <w:tcPr>
            <w:tcW w:w="30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b w:val="1"/>
                <w:bCs w:val="1"/>
                <w:color w:val="auto"/>
              </w:rPr>
              <w:t>22,833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24,560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b w:val="1"/>
                <w:bCs w:val="1"/>
                <w:color w:val="auto"/>
              </w:rPr>
              <w:t>65,214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67,102</w:t>
            </w:r>
          </w:p>
        </w:tc>
      </w:tr>
      <w:tr>
        <w:trPr>
          <w:trHeight w:val="273"/>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Depreciation and amortization of continuing operations</w:t>
            </w:r>
          </w:p>
        </w:tc>
        <w:tc>
          <w:tcPr>
            <w:tcW w:w="3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44,088</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48,488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126,013</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136,878</w:t>
            </w:r>
          </w:p>
        </w:tc>
      </w:tr>
      <w:tr>
        <w:trPr>
          <w:trHeight w:val="250"/>
        </w:trPr>
        <w:tc>
          <w:tcPr>
            <w:tcW w:w="45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28,036</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195,168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41,321</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160,746</w:t>
            </w:r>
          </w:p>
        </w:tc>
      </w:tr>
      <w:tr>
        <w:trPr>
          <w:trHeight w:val="25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EBITDA from continuing operations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(91,743)</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(47,757)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(398,192)</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(358,309)</w:t>
            </w:r>
          </w:p>
        </w:tc>
      </w:tr>
      <w:tr>
        <w:trPr>
          <w:trHeight w:val="122"/>
        </w:trPr>
        <w:tc>
          <w:tcPr>
            <w:tcW w:w="45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report and other documents filed with the SEC may contain forward-looking statements. In addition, our senior management may make forward-looking statements orally to analysts, investors, the media and others. Forward-looking statements can be identified by the fact that they do not relate strictly to historical or current facts. They often include words or variation of words such as "expects," "anticipates," "intends," "plans," "believes," "commits," "seeks," "estimates," "projects," "forecasts," "targets," "would," "will," "should," "goal," "could," "may" or other similar expressions. Forward-looking statements provide management's current expectations or predictions of future conditions, events or results. All statements that address operating performance, events or developments that we expect or anticipate will occur in the future are forward-looking statements. They may include estimates of revenues, client trajectory, income, effective tax rate, earnings per share, cost savings, capital expenditures, dividends, share repurchases, liquidity, capital structure, market share, industry volumes or other financial items, descriptions of management's plans or objectives for future operations, services or products, or descriptions of assumptions underlying any of the above. All forward-looking statements speak only as of the date they are made and reflect the Company's good faith beliefs, assumptions and expectations, but they are not guarantees of future performance or events. Furthermore, the Company disclaims any obligation to publicly update or revise any forward-looking statement to reflect changes in underlying assumptions, factors, or expectations, new information, data or methods, future events or other changes, except as required by law.</w:t>
      </w:r>
    </w:p>
    <w:p>
      <w:pPr>
        <w:spacing w:after="0" w:line="103"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By their nature, forward-looking statements are subject to risks and uncertainties that could cause actual results to differ materially from those suggested by the forward-looking statements. Factors that might cause such differences include, but are not limited to, a variety of economic, competitive, operational and regulatory factors, many of which are beyond the Company's control. In addition, factors that may cause the Company’s actual effective tax rate to differ from estimates include the Company’s actual results from operations compared to current estimates, future discrete items, changes in interpretations and assumptions the Company has made, and future actions of the Company. Investors should understand that it is not possible to predict or identify all such factors and, consequently, should not consider any such list to be a complete set of all potential risks or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303530</wp:posOffset>
            </wp:positionV>
            <wp:extent cx="222885"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8380"/>
        <w:spacing w:after="0"/>
        <w:tabs>
          <w:tab w:leader="none" w:pos="1114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FY2019 Form 10-Q</w:t>
      </w:r>
      <w:r>
        <w:rPr>
          <w:sz w:val="20"/>
          <w:szCs w:val="20"/>
          <w:color w:val="auto"/>
        </w:rPr>
        <w:tab/>
      </w:r>
      <w:r>
        <w:rPr>
          <w:rFonts w:ascii="Arial" w:cs="Arial" w:eastAsia="Arial" w:hAnsi="Arial"/>
          <w:sz w:val="14"/>
          <w:szCs w:val="14"/>
          <w:color w:val="FFFFFF"/>
          <w:highlight w:val="black"/>
        </w:rPr>
        <w:t>33</w:t>
      </w:r>
    </w:p>
    <w:p>
      <w:pPr>
        <w:sectPr>
          <w:pgSz w:w="11900" w:h="16838" w:orient="portrait"/>
          <w:cols w:equalWidth="0" w:num="1">
            <w:col w:w="11420"/>
          </w:cols>
          <w:pgMar w:left="240" w:top="249"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Details about risks, uncertainties and assumptions that could affect various aspects of our business are included throughout our Annual Report on Form 10-K for the fiscal year ended April 30, 2018 and are also described from time to time in other filings with the SEC. Investors should carefully consider all of these risks, and should pay particular attention to Item 1A, "Risk Factors," and Item 7 under "Critical Accounting Policies" of our Annual Report on Form 10-K for the fiscal year ended April 30, 2018.</w:t>
      </w:r>
    </w:p>
    <w:p>
      <w:pPr>
        <w:spacing w:after="0" w:line="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our market risks from those reported at April 30, 2018 in our Annual Report on Form 10-K.</w:t>
      </w:r>
    </w:p>
    <w:p>
      <w:pPr>
        <w:spacing w:after="0" w:line="9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tab/>
        <w:t>CONTROLS AND PROCEDURES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EVALUATION OF DISCLOSURE CONTROLS AND PROCEDURES </w:t>
      </w:r>
      <w:r>
        <w:rPr>
          <w:rFonts w:ascii="Arial" w:cs="Arial" w:eastAsia="Arial" w:hAnsi="Arial"/>
          <w:sz w:val="18"/>
          <w:szCs w:val="18"/>
          <w:color w:val="auto"/>
        </w:rPr>
        <w:t>– As of the end of the period covered by this Form 10-Q,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supervision and with the participation of our Chief Executive Officer and Chief Financial Officer, evaluated the effectiveness of the design and operation of our disclosure controls and procedures (as defined in Exchange Act Rules 13a-15(e) and 15d-15(e)). Based on this evaluation, our Chief Executive Officer and Chief Financial Officer have concluded that our disclosure controls and procedures were effective as of the end of the period covered by this Quarterly Report on Form 10-Q.</w:t>
      </w:r>
    </w:p>
    <w:p>
      <w:pPr>
        <w:spacing w:after="0" w:line="12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 xml:space="preserve">CHANGES IN INTERNAL CONTROL OVER FINANCIAL REPORTING </w:t>
      </w:r>
      <w:r>
        <w:rPr>
          <w:rFonts w:ascii="Arial" w:cs="Arial" w:eastAsia="Arial" w:hAnsi="Arial"/>
          <w:sz w:val="18"/>
          <w:szCs w:val="18"/>
          <w:color w:val="auto"/>
        </w:rPr>
        <w:t>– There were no changes during the last fiscal quarter that materially</w:t>
      </w:r>
      <w:r>
        <w:rPr>
          <w:rFonts w:ascii="Arial" w:cs="Arial" w:eastAsia="Arial" w:hAnsi="Arial"/>
          <w:sz w:val="18"/>
          <w:szCs w:val="18"/>
          <w:b w:val="1"/>
          <w:bCs w:val="1"/>
          <w:color w:val="auto"/>
        </w:rPr>
        <w:t xml:space="preserve"> </w:t>
      </w:r>
      <w:r>
        <w:rPr>
          <w:rFonts w:ascii="Arial" w:cs="Arial" w:eastAsia="Arial" w:hAnsi="Arial"/>
          <w:sz w:val="18"/>
          <w:szCs w:val="18"/>
          <w:color w:val="auto"/>
        </w:rPr>
        <w:t>affected, or are reasonably likely to materially affect, our internal control over financial reporting.</w:t>
      </w:r>
    </w:p>
    <w:p>
      <w:pPr>
        <w:spacing w:after="0" w:line="9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tab/>
        <w:t>LEGAL PROCEEDINGS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our material pending legal proceedings, see discussion in Part I, Item 1, note 10 to the consolidated financial statements.</w:t>
      </w:r>
    </w:p>
    <w:p>
      <w:pPr>
        <w:spacing w:after="0" w:line="9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Except as described in Part I, Item 2, Regulatory Environment, there have been no material changes in our risk factors from those reported at April 30, 2018 in our Annual Report on Form 10-K.</w:t>
      </w:r>
    </w:p>
    <w:p>
      <w:pPr>
        <w:spacing w:after="0" w:line="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purchases of H&amp;R Block common stock during the third quarter of fiscal year 2019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color w:val="auto"/>
              </w:rPr>
              <w:t>(in 000s, except per share amounts)</w:t>
            </w:r>
          </w:p>
        </w:tc>
      </w:tr>
      <w:tr>
        <w:trPr>
          <w:trHeight w:val="272"/>
        </w:trPr>
        <w:tc>
          <w:tcPr>
            <w:tcW w:w="2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00" w:type="dxa"/>
            <w:vAlign w:val="bottom"/>
          </w:tcPr>
          <w:p>
            <w:pPr>
              <w:jc w:val="right"/>
              <w:ind w:right="20"/>
              <w:spacing w:after="0"/>
              <w:rPr>
                <w:sz w:val="20"/>
                <w:szCs w:val="20"/>
                <w:color w:val="auto"/>
              </w:rPr>
            </w:pPr>
            <w:r>
              <w:rPr>
                <w:rFonts w:ascii="Arial" w:cs="Arial" w:eastAsia="Arial" w:hAnsi="Arial"/>
                <w:sz w:val="16"/>
                <w:szCs w:val="16"/>
                <w:color w:val="auto"/>
              </w:rPr>
              <w:t>Total Number of Shares</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520" w:type="dxa"/>
            <w:vAlign w:val="bottom"/>
          </w:tcPr>
          <w:p>
            <w:pPr>
              <w:jc w:val="right"/>
              <w:ind w:right="21"/>
              <w:spacing w:after="0"/>
              <w:rPr>
                <w:sz w:val="20"/>
                <w:szCs w:val="20"/>
                <w:color w:val="auto"/>
              </w:rPr>
            </w:pPr>
            <w:r>
              <w:rPr>
                <w:rFonts w:ascii="Arial" w:cs="Arial" w:eastAsia="Arial" w:hAnsi="Arial"/>
                <w:sz w:val="16"/>
                <w:szCs w:val="16"/>
                <w:color w:val="auto"/>
              </w:rPr>
              <w:t>Maximum Dollar Value of</w:t>
            </w:r>
          </w:p>
        </w:tc>
      </w:tr>
      <w:tr>
        <w:trPr>
          <w:trHeight w:val="189"/>
        </w:trPr>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Average</w:t>
            </w:r>
          </w:p>
        </w:tc>
        <w:tc>
          <w:tcPr>
            <w:tcW w:w="2500" w:type="dxa"/>
            <w:vAlign w:val="bottom"/>
          </w:tcPr>
          <w:p>
            <w:pPr>
              <w:jc w:val="right"/>
              <w:ind w:right="60"/>
              <w:spacing w:after="0"/>
              <w:rPr>
                <w:sz w:val="20"/>
                <w:szCs w:val="20"/>
                <w:color w:val="auto"/>
              </w:rPr>
            </w:pPr>
            <w:r>
              <w:rPr>
                <w:rFonts w:ascii="Arial" w:cs="Arial" w:eastAsia="Arial" w:hAnsi="Arial"/>
                <w:sz w:val="16"/>
                <w:szCs w:val="16"/>
                <w:color w:val="auto"/>
              </w:rPr>
              <w:t>Purchased as Part of</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tcPr>
          <w:p>
            <w:pPr>
              <w:jc w:val="right"/>
              <w:ind w:right="81"/>
              <w:spacing w:after="0"/>
              <w:rPr>
                <w:sz w:val="20"/>
                <w:szCs w:val="20"/>
                <w:color w:val="auto"/>
              </w:rPr>
            </w:pPr>
            <w:r>
              <w:rPr>
                <w:rFonts w:ascii="Arial" w:cs="Arial" w:eastAsia="Arial" w:hAnsi="Arial"/>
                <w:sz w:val="16"/>
                <w:szCs w:val="16"/>
                <w:color w:val="auto"/>
              </w:rPr>
              <w:t>Shares that May Yet Be</w:t>
            </w:r>
          </w:p>
        </w:tc>
      </w:tr>
      <w:tr>
        <w:trPr>
          <w:trHeight w:val="187"/>
        </w:trPr>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jc w:val="right"/>
              <w:ind w:right="40"/>
              <w:spacing w:after="0"/>
              <w:rPr>
                <w:sz w:val="20"/>
                <w:szCs w:val="20"/>
                <w:color w:val="auto"/>
              </w:rPr>
            </w:pPr>
            <w:r>
              <w:rPr>
                <w:rFonts w:ascii="Arial" w:cs="Arial" w:eastAsia="Arial" w:hAnsi="Arial"/>
                <w:sz w:val="16"/>
                <w:szCs w:val="16"/>
                <w:color w:val="auto"/>
              </w:rPr>
              <w:t>Total Number of</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Price Paid</w:t>
            </w:r>
          </w:p>
        </w:tc>
        <w:tc>
          <w:tcPr>
            <w:tcW w:w="2500" w:type="dxa"/>
            <w:vAlign w:val="bottom"/>
          </w:tcPr>
          <w:p>
            <w:pPr>
              <w:jc w:val="right"/>
              <w:ind w:right="60"/>
              <w:spacing w:after="0"/>
              <w:rPr>
                <w:sz w:val="20"/>
                <w:szCs w:val="20"/>
                <w:color w:val="auto"/>
              </w:rPr>
            </w:pPr>
            <w:r>
              <w:rPr>
                <w:rFonts w:ascii="Arial" w:cs="Arial" w:eastAsia="Arial" w:hAnsi="Arial"/>
                <w:sz w:val="16"/>
                <w:szCs w:val="16"/>
                <w:color w:val="auto"/>
              </w:rPr>
              <w:t>Publicly Announced Plans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tcPr>
          <w:p>
            <w:pPr>
              <w:jc w:val="right"/>
              <w:ind w:right="81"/>
              <w:spacing w:after="0"/>
              <w:rPr>
                <w:sz w:val="20"/>
                <w:szCs w:val="20"/>
                <w:color w:val="auto"/>
              </w:rPr>
            </w:pPr>
            <w:r>
              <w:rPr>
                <w:rFonts w:ascii="Arial" w:cs="Arial" w:eastAsia="Arial" w:hAnsi="Arial"/>
                <w:sz w:val="16"/>
                <w:szCs w:val="16"/>
                <w:color w:val="auto"/>
              </w:rPr>
              <w:t>Purchased Under the Plans</w:t>
            </w:r>
          </w:p>
        </w:tc>
      </w:tr>
      <w:tr>
        <w:trPr>
          <w:trHeight w:val="217"/>
        </w:trPr>
        <w:tc>
          <w:tcPr>
            <w:tcW w:w="2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960" w:type="dxa"/>
            <w:vAlign w:val="bottom"/>
            <w:tcBorders>
              <w:bottom w:val="single" w:sz="8" w:color="auto"/>
            </w:tcBorders>
          </w:tcPr>
          <w:p>
            <w:pPr>
              <w:jc w:val="right"/>
              <w:ind w:right="40"/>
              <w:spacing w:after="0" w:line="216" w:lineRule="exact"/>
              <w:rPr>
                <w:sz w:val="20"/>
                <w:szCs w:val="20"/>
                <w:color w:val="auto"/>
              </w:rPr>
            </w:pPr>
            <w:r>
              <w:rPr>
                <w:rFonts w:ascii="Arial" w:cs="Arial" w:eastAsia="Arial" w:hAnsi="Arial"/>
                <w:sz w:val="15"/>
                <w:szCs w:val="15"/>
                <w:color w:val="auto"/>
              </w:rPr>
              <w:t xml:space="preserve">Shares Purchased </w:t>
            </w:r>
            <w:r>
              <w:rPr>
                <w:rFonts w:ascii="Arial" w:cs="Arial" w:eastAsia="Arial" w:hAnsi="Arial"/>
                <w:sz w:val="25"/>
                <w:szCs w:val="25"/>
                <w:color w:val="auto"/>
                <w:vertAlign w:val="superscript"/>
              </w:rPr>
              <w:t>(1)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per Share</w:t>
            </w:r>
          </w:p>
        </w:tc>
        <w:tc>
          <w:tcPr>
            <w:tcW w:w="100" w:type="dxa"/>
            <w:vAlign w:val="bottom"/>
            <w:tcBorders>
              <w:bottom w:val="single" w:sz="8" w:color="CCEEFF"/>
            </w:tcBorders>
          </w:tcPr>
          <w:p>
            <w:pPr>
              <w:spacing w:after="0"/>
              <w:rPr>
                <w:sz w:val="18"/>
                <w:szCs w:val="18"/>
                <w:color w:val="auto"/>
              </w:rPr>
            </w:pPr>
          </w:p>
        </w:tc>
        <w:tc>
          <w:tcPr>
            <w:tcW w:w="2500" w:type="dxa"/>
            <w:vAlign w:val="bottom"/>
            <w:tcBorders>
              <w:bottom w:val="single" w:sz="8" w:color="auto"/>
            </w:tcBorders>
          </w:tcPr>
          <w:p>
            <w:pPr>
              <w:jc w:val="right"/>
              <w:ind w:right="20"/>
              <w:spacing w:after="0" w:line="216" w:lineRule="exact"/>
              <w:rPr>
                <w:sz w:val="20"/>
                <w:szCs w:val="20"/>
                <w:color w:val="auto"/>
              </w:rPr>
            </w:pPr>
            <w:r>
              <w:rPr>
                <w:rFonts w:ascii="Arial" w:cs="Arial" w:eastAsia="Arial" w:hAnsi="Arial"/>
                <w:sz w:val="15"/>
                <w:szCs w:val="15"/>
                <w:color w:val="auto"/>
              </w:rPr>
              <w:t xml:space="preserve">or Programs </w:t>
            </w:r>
            <w:r>
              <w:rPr>
                <w:rFonts w:ascii="Arial" w:cs="Arial" w:eastAsia="Arial" w:hAnsi="Arial"/>
                <w:sz w:val="25"/>
                <w:szCs w:val="25"/>
                <w:color w:val="auto"/>
                <w:vertAlign w:val="superscript"/>
              </w:rPr>
              <w:t>(2)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jc w:val="right"/>
              <w:ind w:right="21"/>
              <w:spacing w:after="0" w:line="216" w:lineRule="exact"/>
              <w:rPr>
                <w:sz w:val="20"/>
                <w:szCs w:val="20"/>
                <w:color w:val="auto"/>
              </w:rPr>
            </w:pPr>
            <w:r>
              <w:rPr>
                <w:rFonts w:ascii="Arial" w:cs="Arial" w:eastAsia="Arial" w:hAnsi="Arial"/>
                <w:sz w:val="15"/>
                <w:szCs w:val="15"/>
                <w:color w:val="auto"/>
              </w:rPr>
              <w:t xml:space="preserve">or Programs </w:t>
            </w:r>
            <w:r>
              <w:rPr>
                <w:rFonts w:ascii="Arial" w:cs="Arial" w:eastAsia="Arial" w:hAnsi="Arial"/>
                <w:sz w:val="25"/>
                <w:szCs w:val="25"/>
                <w:color w:val="auto"/>
                <w:vertAlign w:val="superscript"/>
              </w:rPr>
              <w:t>(2)</w:t>
            </w:r>
          </w:p>
        </w:tc>
      </w:tr>
      <w:tr>
        <w:trPr>
          <w:trHeight w:val="250"/>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November 1 - November 30</w:t>
            </w:r>
          </w:p>
        </w:tc>
        <w:tc>
          <w:tcPr>
            <w:tcW w:w="196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25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252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1,086,148</w:t>
            </w:r>
          </w:p>
        </w:tc>
      </w:tr>
      <w:tr>
        <w:trPr>
          <w:trHeight w:val="260"/>
        </w:trPr>
        <w:tc>
          <w:tcPr>
            <w:tcW w:w="2760" w:type="dxa"/>
            <w:vAlign w:val="bottom"/>
            <w:gridSpan w:val="2"/>
          </w:tcPr>
          <w:p>
            <w:pPr>
              <w:ind w:left="40"/>
              <w:spacing w:after="0"/>
              <w:rPr>
                <w:sz w:val="20"/>
                <w:szCs w:val="20"/>
                <w:color w:val="auto"/>
              </w:rPr>
            </w:pPr>
            <w:r>
              <w:rPr>
                <w:rFonts w:ascii="Arial" w:cs="Arial" w:eastAsia="Arial" w:hAnsi="Arial"/>
                <w:sz w:val="16"/>
                <w:szCs w:val="16"/>
                <w:color w:val="auto"/>
              </w:rPr>
              <w:t>December 1 - December 31</w:t>
            </w:r>
          </w:p>
        </w:tc>
        <w:tc>
          <w:tcPr>
            <w:tcW w:w="1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25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2520" w:type="dxa"/>
            <w:vAlign w:val="bottom"/>
          </w:tcPr>
          <w:p>
            <w:pPr>
              <w:jc w:val="right"/>
              <w:ind w:right="21"/>
              <w:spacing w:after="0"/>
              <w:rPr>
                <w:sz w:val="20"/>
                <w:szCs w:val="20"/>
                <w:color w:val="auto"/>
              </w:rPr>
            </w:pPr>
            <w:r>
              <w:rPr>
                <w:rFonts w:ascii="Arial" w:cs="Arial" w:eastAsia="Arial" w:hAnsi="Arial"/>
                <w:sz w:val="16"/>
                <w:szCs w:val="16"/>
                <w:b w:val="1"/>
                <w:bCs w:val="1"/>
                <w:color w:val="auto"/>
              </w:rPr>
              <w:t>1,086,148</w:t>
            </w:r>
          </w:p>
        </w:tc>
      </w:tr>
      <w:tr>
        <w:trPr>
          <w:trHeight w:val="273"/>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January 1 - January 31</w:t>
            </w:r>
          </w:p>
        </w:tc>
        <w:tc>
          <w:tcPr>
            <w:tcW w:w="1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527</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23.42</w:t>
            </w:r>
          </w:p>
        </w:tc>
        <w:tc>
          <w:tcPr>
            <w:tcW w:w="100" w:type="dxa"/>
            <w:vAlign w:val="bottom"/>
            <w:shd w:val="clear" w:color="auto" w:fill="CCEEFF"/>
          </w:tcPr>
          <w:p>
            <w:pPr>
              <w:spacing w:after="0"/>
              <w:rPr>
                <w:sz w:val="23"/>
                <w:szCs w:val="23"/>
                <w:color w:val="auto"/>
              </w:rPr>
            </w:pPr>
          </w:p>
        </w:tc>
        <w:tc>
          <w:tcPr>
            <w:tcW w:w="25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525</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252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1,073,854</w:t>
            </w:r>
          </w:p>
        </w:tc>
      </w:tr>
      <w:tr>
        <w:trPr>
          <w:trHeight w:val="250"/>
        </w:trPr>
        <w:tc>
          <w:tcPr>
            <w:tcW w:w="26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527</w:t>
            </w:r>
          </w:p>
        </w:tc>
        <w:tc>
          <w:tcPr>
            <w:tcW w:w="32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b w:val="1"/>
                <w:bCs w:val="1"/>
                <w:color w:val="auto"/>
              </w:rPr>
              <w:t>23.42</w:t>
            </w:r>
          </w:p>
        </w:tc>
        <w:tc>
          <w:tcPr>
            <w:tcW w:w="100" w:type="dxa"/>
            <w:vAlign w:val="bottom"/>
            <w:tcBorders>
              <w:bottom w:val="single" w:sz="8" w:color="CCEEFF"/>
            </w:tcBorders>
          </w:tcPr>
          <w:p>
            <w:pPr>
              <w:spacing w:after="0"/>
              <w:rPr>
                <w:sz w:val="21"/>
                <w:szCs w:val="21"/>
                <w:color w:val="auto"/>
              </w:rPr>
            </w:pPr>
          </w:p>
        </w:tc>
        <w:tc>
          <w:tcPr>
            <w:tcW w:w="25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525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520" w:type="dxa"/>
            <w:vAlign w:val="bottom"/>
            <w:tcBorders>
              <w:bottom w:val="single" w:sz="8" w:color="CCEEFF"/>
            </w:tcBorders>
          </w:tcPr>
          <w:p>
            <w:pPr>
              <w:spacing w:after="0"/>
              <w:rPr>
                <w:sz w:val="21"/>
                <w:szCs w:val="21"/>
                <w:color w:val="auto"/>
              </w:rPr>
            </w:pPr>
          </w:p>
        </w:tc>
      </w:tr>
      <w:tr>
        <w:trPr>
          <w:trHeight w:val="122"/>
        </w:trPr>
        <w:tc>
          <w:tcPr>
            <w:tcW w:w="2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520" w:type="dxa"/>
            <w:vAlign w:val="bottom"/>
            <w:shd w:val="clear" w:color="auto" w:fill="CCEEFF"/>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60" w:hanging="325"/>
        <w:spacing w:after="0" w:line="190" w:lineRule="auto"/>
        <w:tabs>
          <w:tab w:leader="none" w:pos="360" w:val="left"/>
        </w:tabs>
        <w:numPr>
          <w:ilvl w:val="0"/>
          <w:numId w:val="25"/>
        </w:numPr>
        <w:rPr>
          <w:rFonts w:ascii="Arial" w:cs="Arial" w:eastAsia="Arial" w:hAnsi="Arial"/>
          <w:sz w:val="24"/>
          <w:szCs w:val="24"/>
          <w:color w:val="auto"/>
          <w:vertAlign w:val="superscript"/>
        </w:rPr>
      </w:pPr>
      <w:r>
        <w:rPr>
          <w:rFonts w:ascii="Arial" w:cs="Arial" w:eastAsia="Arial" w:hAnsi="Arial"/>
          <w:sz w:val="14"/>
          <w:szCs w:val="14"/>
          <w:color w:val="auto"/>
        </w:rPr>
        <w:t>We purchased approximately 2 thousand shares in connection with funding employee income tax withholding obligations arising upon the lapse of restrictions on restricted shares and restricted share units.</w:t>
      </w:r>
    </w:p>
    <w:p>
      <w:pPr>
        <w:spacing w:after="0" w:line="1" w:lineRule="exact"/>
        <w:rPr>
          <w:rFonts w:ascii="Arial" w:cs="Arial" w:eastAsia="Arial" w:hAnsi="Arial"/>
          <w:sz w:val="24"/>
          <w:szCs w:val="24"/>
          <w:color w:val="auto"/>
          <w:vertAlign w:val="superscript"/>
        </w:rPr>
      </w:pPr>
    </w:p>
    <w:p>
      <w:pPr>
        <w:ind w:left="360" w:hanging="325"/>
        <w:spacing w:after="0" w:line="199" w:lineRule="auto"/>
        <w:tabs>
          <w:tab w:leader="none" w:pos="360" w:val="left"/>
        </w:tabs>
        <w:numPr>
          <w:ilvl w:val="0"/>
          <w:numId w:val="25"/>
        </w:numPr>
        <w:rPr>
          <w:rFonts w:ascii="Arial" w:cs="Arial" w:eastAsia="Arial" w:hAnsi="Arial"/>
          <w:sz w:val="18"/>
          <w:szCs w:val="18"/>
          <w:color w:val="auto"/>
          <w:vertAlign w:val="superscript"/>
        </w:rPr>
      </w:pPr>
      <w:r>
        <w:rPr>
          <w:rFonts w:ascii="Arial" w:cs="Arial" w:eastAsia="Arial" w:hAnsi="Arial"/>
          <w:sz w:val="12"/>
          <w:szCs w:val="12"/>
          <w:color w:val="auto"/>
        </w:rPr>
        <w:t>In September 2015, we announced that our Board of Directors approved a $3.5 billion share repurchase program, effective through June 2019.</w:t>
      </w:r>
    </w:p>
    <w:p>
      <w:pPr>
        <w:spacing w:after="0" w:line="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9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231775"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31775" cy="13716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400" w:hanging="290"/>
        <w:spacing w:after="0"/>
        <w:tabs>
          <w:tab w:leader="none" w:pos="400" w:val="left"/>
        </w:tabs>
        <w:numPr>
          <w:ilvl w:val="0"/>
          <w:numId w:val="26"/>
        </w:numPr>
        <w:rPr>
          <w:rFonts w:ascii="Arial" w:cs="Arial" w:eastAsia="Arial" w:hAnsi="Arial"/>
          <w:sz w:val="14"/>
          <w:szCs w:val="14"/>
          <w:color w:val="FFFFFF"/>
          <w:highlight w:val="black"/>
        </w:rPr>
      </w:pPr>
      <w:r>
        <w:rPr>
          <w:rFonts w:ascii="Arial" w:cs="Arial" w:eastAsia="Arial" w:hAnsi="Arial"/>
          <w:sz w:val="14"/>
          <w:szCs w:val="14"/>
          <w:color w:val="auto"/>
        </w:rPr>
        <w:t xml:space="preserve">Q3 FY2019 Form 10-Q | </w:t>
      </w:r>
      <w:r>
        <w:rPr>
          <w:rFonts w:ascii="Arial" w:cs="Arial" w:eastAsia="Arial" w:hAnsi="Arial"/>
          <w:sz w:val="14"/>
          <w:szCs w:val="14"/>
          <w:b w:val="1"/>
          <w:bCs w:val="1"/>
          <w:color w:val="auto"/>
        </w:rPr>
        <w:t>H&amp;R Block, Inc.</w:t>
      </w:r>
    </w:p>
    <w:p>
      <w:pPr>
        <w:sectPr>
          <w:pgSz w:w="11900" w:h="16838" w:orient="portrait"/>
          <w:cols w:equalWidth="0" w:num="1">
            <w:col w:w="11420"/>
          </w:cols>
          <w:pgMar w:left="240" w:top="249"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9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tab/>
        <w:t>EXHIBITS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numbered in accordance with the Exhibit Table of Item 601 of Regulation S-K:</w:t>
      </w:r>
    </w:p>
    <w:p>
      <w:pPr>
        <w:spacing w:after="0" w:line="279" w:lineRule="exact"/>
        <w:rPr>
          <w:sz w:val="20"/>
          <w:szCs w:val="20"/>
          <w:color w:val="auto"/>
        </w:rPr>
      </w:pPr>
    </w:p>
    <w:p>
      <w:pPr>
        <w:spacing w:after="0"/>
        <w:tabs>
          <w:tab w:leader="none" w:pos="800" w:val="left"/>
        </w:tabs>
        <w:rPr>
          <w:rFonts w:ascii="Arial" w:cs="Arial" w:eastAsia="Arial" w:hAnsi="Arial"/>
          <w:sz w:val="17"/>
          <w:szCs w:val="17"/>
          <w:u w:val="single" w:color="auto"/>
          <w:color w:val="0000FF"/>
        </w:rPr>
      </w:pPr>
      <w:r>
        <w:rPr>
          <w:rFonts w:ascii="Arial" w:cs="Arial" w:eastAsia="Arial" w:hAnsi="Arial"/>
          <w:sz w:val="18"/>
          <w:szCs w:val="18"/>
          <w:color w:val="auto"/>
        </w:rPr>
        <w:t>31.1</w:t>
      </w:r>
      <w:r>
        <w:rPr>
          <w:sz w:val="20"/>
          <w:szCs w:val="20"/>
          <w:color w:val="auto"/>
        </w:rPr>
        <w:tab/>
      </w:r>
      <w:hyperlink w:anchor="page39">
        <w:r>
          <w:rPr>
            <w:rFonts w:ascii="Arial" w:cs="Arial" w:eastAsia="Arial" w:hAnsi="Arial"/>
            <w:sz w:val="17"/>
            <w:szCs w:val="17"/>
            <w:u w:val="single" w:color="auto"/>
            <w:color w:val="0000FF"/>
          </w:rPr>
          <w:t>Certification by Chief Executive Officer pursuant to Section 302 of the Sarbanes-Oxley Act of 2002.</w:t>
        </w:r>
      </w:hyperlink>
    </w:p>
    <w:p>
      <w:pPr>
        <w:spacing w:after="0" w:line="9" w:lineRule="exact"/>
        <w:rPr>
          <w:sz w:val="20"/>
          <w:szCs w:val="20"/>
          <w:color w:val="auto"/>
        </w:rPr>
      </w:pPr>
    </w:p>
    <w:p>
      <w:pPr>
        <w:spacing w:after="0"/>
        <w:tabs>
          <w:tab w:leader="none" w:pos="800" w:val="left"/>
        </w:tabs>
        <w:rPr>
          <w:rFonts w:ascii="Arial" w:cs="Arial" w:eastAsia="Arial" w:hAnsi="Arial"/>
          <w:sz w:val="17"/>
          <w:szCs w:val="17"/>
          <w:u w:val="single" w:color="auto"/>
          <w:color w:val="0000FF"/>
        </w:rPr>
      </w:pPr>
      <w:r>
        <w:rPr>
          <w:rFonts w:ascii="Arial" w:cs="Arial" w:eastAsia="Arial" w:hAnsi="Arial"/>
          <w:sz w:val="18"/>
          <w:szCs w:val="18"/>
          <w:color w:val="auto"/>
        </w:rPr>
        <w:t>31.2</w:t>
      </w:r>
      <w:r>
        <w:rPr>
          <w:sz w:val="20"/>
          <w:szCs w:val="20"/>
          <w:color w:val="auto"/>
        </w:rPr>
        <w:tab/>
      </w:r>
      <w:hyperlink w:anchor="page40">
        <w:r>
          <w:rPr>
            <w:rFonts w:ascii="Arial" w:cs="Arial" w:eastAsia="Arial" w:hAnsi="Arial"/>
            <w:sz w:val="17"/>
            <w:szCs w:val="17"/>
            <w:u w:val="single" w:color="auto"/>
            <w:color w:val="0000FF"/>
          </w:rPr>
          <w:t>Certification by Chief Financial Officer pursuant to Section 302 of the Sarbanes-Oxley Act of 2002.</w:t>
        </w:r>
      </w:hyperlink>
    </w:p>
    <w:p>
      <w:pPr>
        <w:spacing w:after="0" w:line="9" w:lineRule="exact"/>
        <w:rPr>
          <w:sz w:val="20"/>
          <w:szCs w:val="20"/>
          <w:color w:val="auto"/>
        </w:rPr>
      </w:pPr>
    </w:p>
    <w:p>
      <w:pPr>
        <w:spacing w:after="0"/>
        <w:tabs>
          <w:tab w:leader="none" w:pos="800" w:val="left"/>
        </w:tabs>
        <w:rPr>
          <w:rFonts w:ascii="Arial" w:cs="Arial" w:eastAsia="Arial" w:hAnsi="Arial"/>
          <w:sz w:val="17"/>
          <w:szCs w:val="17"/>
          <w:u w:val="single" w:color="auto"/>
          <w:color w:val="0000FF"/>
        </w:rPr>
      </w:pPr>
      <w:r>
        <w:rPr>
          <w:rFonts w:ascii="Arial" w:cs="Arial" w:eastAsia="Arial" w:hAnsi="Arial"/>
          <w:sz w:val="18"/>
          <w:szCs w:val="18"/>
          <w:color w:val="auto"/>
        </w:rPr>
        <w:t>32.1</w:t>
      </w:r>
      <w:r>
        <w:rPr>
          <w:sz w:val="20"/>
          <w:szCs w:val="20"/>
          <w:color w:val="auto"/>
        </w:rPr>
        <w:tab/>
      </w:r>
      <w:hyperlink w:anchor="page41">
        <w:r>
          <w:rPr>
            <w:rFonts w:ascii="Arial" w:cs="Arial" w:eastAsia="Arial" w:hAnsi="Arial"/>
            <w:sz w:val="17"/>
            <w:szCs w:val="17"/>
            <w:u w:val="single" w:color="auto"/>
            <w:color w:val="0000FF"/>
          </w:rPr>
          <w:t>Certification by Chief Executive Officer pursuant to 18 U.S.C. 1350, as adopted by Section 906 of the Sarbanes-Oxley Act of 2002.</w:t>
        </w:r>
      </w:hyperlink>
    </w:p>
    <w:p>
      <w:pPr>
        <w:spacing w:after="0" w:line="9" w:lineRule="exact"/>
        <w:rPr>
          <w:sz w:val="20"/>
          <w:szCs w:val="20"/>
          <w:color w:val="auto"/>
        </w:rPr>
      </w:pPr>
    </w:p>
    <w:p>
      <w:pPr>
        <w:spacing w:after="0"/>
        <w:tabs>
          <w:tab w:leader="none" w:pos="800" w:val="left"/>
        </w:tabs>
        <w:rPr>
          <w:rFonts w:ascii="Arial" w:cs="Arial" w:eastAsia="Arial" w:hAnsi="Arial"/>
          <w:sz w:val="17"/>
          <w:szCs w:val="17"/>
          <w:u w:val="single" w:color="auto"/>
          <w:color w:val="0000FF"/>
        </w:rPr>
      </w:pPr>
      <w:r>
        <w:rPr>
          <w:rFonts w:ascii="Arial" w:cs="Arial" w:eastAsia="Arial" w:hAnsi="Arial"/>
          <w:sz w:val="18"/>
          <w:szCs w:val="18"/>
          <w:color w:val="auto"/>
        </w:rPr>
        <w:t>32.2</w:t>
      </w:r>
      <w:r>
        <w:rPr>
          <w:sz w:val="20"/>
          <w:szCs w:val="20"/>
          <w:color w:val="auto"/>
        </w:rPr>
        <w:tab/>
      </w:r>
      <w:hyperlink w:anchor="page42">
        <w:r>
          <w:rPr>
            <w:rFonts w:ascii="Arial" w:cs="Arial" w:eastAsia="Arial" w:hAnsi="Arial"/>
            <w:sz w:val="17"/>
            <w:szCs w:val="17"/>
            <w:u w:val="single" w:color="auto"/>
            <w:color w:val="0000FF"/>
          </w:rPr>
          <w:t>Certification by Chief Financial Officer pursuant to 18 U.S.C. 1350, as adopted by Section 906 of the Sarbanes-Oxley Act of 2002</w:t>
        </w:r>
      </w:hyperlink>
      <w:r>
        <w:rPr>
          <w:rFonts w:ascii="Arial" w:cs="Arial" w:eastAsia="Arial" w:hAnsi="Arial"/>
          <w:sz w:val="17"/>
          <w:szCs w:val="17"/>
          <w:color w:val="000000"/>
        </w:rPr>
        <w:t>.</w:t>
      </w:r>
    </w:p>
    <w:p>
      <w:pPr>
        <w:spacing w:after="0" w:line="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101.INS</w:t>
      </w:r>
      <w:r>
        <w:rPr>
          <w:sz w:val="20"/>
          <w:szCs w:val="20"/>
          <w:color w:val="auto"/>
        </w:rPr>
        <w:tab/>
      </w:r>
      <w:r>
        <w:rPr>
          <w:rFonts w:ascii="Arial" w:cs="Arial" w:eastAsia="Arial" w:hAnsi="Arial"/>
          <w:sz w:val="17"/>
          <w:szCs w:val="17"/>
          <w:color w:val="auto"/>
        </w:rPr>
        <w:t>XBRL Instance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101.SCH XBRL Taxonomy Extension Schema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101.CAL XBRL Extension Calculation Linkbase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101.LAB  XBRL Taxonomy Extension Label Linkbase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101.PRE XBRL Taxonomy Extension Presentation Linkbase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101.DEF XBRL Taxonomy Extension Definition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314960</wp:posOffset>
            </wp:positionV>
            <wp:extent cx="222885"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FY2019 Form 10-Q</w:t>
      </w:r>
      <w:r>
        <w:rPr>
          <w:sz w:val="20"/>
          <w:szCs w:val="20"/>
          <w:color w:val="auto"/>
        </w:rPr>
        <w:tab/>
      </w:r>
      <w:r>
        <w:rPr>
          <w:rFonts w:ascii="Arial" w:cs="Arial" w:eastAsia="Arial" w:hAnsi="Arial"/>
          <w:sz w:val="14"/>
          <w:szCs w:val="14"/>
          <w:color w:val="FFFFFF"/>
          <w:highlight w:val="black"/>
        </w:rPr>
        <w:t>35</w:t>
      </w:r>
    </w:p>
    <w:p>
      <w:pPr>
        <w:sectPr>
          <w:pgSz w:w="11900" w:h="16838" w:orient="portrait"/>
          <w:cols w:equalWidth="0" w:num="1">
            <w:col w:w="11320"/>
          </w:cols>
          <w:pgMar w:left="240" w:top="249" w:right="3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3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H&amp;R BLOCK, INC.</w:t>
      </w:r>
    </w:p>
    <w:p>
      <w:pPr>
        <w:spacing w:after="0" w:line="374"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Jeffrey J. Jones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Jeffrey J. Jones II</w:t>
      </w:r>
    </w:p>
    <w:p>
      <w:pPr>
        <w:spacing w:after="0" w:line="5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5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March 8, 2019</w:t>
      </w:r>
    </w:p>
    <w:p>
      <w:pPr>
        <w:spacing w:after="0" w:line="374"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Tony G. Bowen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Tony G. Bowen</w:t>
      </w:r>
    </w:p>
    <w:p>
      <w:pPr>
        <w:spacing w:after="0" w:line="5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March 8, 2019</w:t>
      </w:r>
    </w:p>
    <w:p>
      <w:pPr>
        <w:spacing w:after="0" w:line="374"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Kellie J. Logerwell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Kellie J. Logerwell</w:t>
      </w:r>
    </w:p>
    <w:p>
      <w:pPr>
        <w:spacing w:after="0" w:line="5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5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March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231775"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31775" cy="13716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400" w:hanging="290"/>
        <w:spacing w:after="0"/>
        <w:tabs>
          <w:tab w:leader="none" w:pos="400" w:val="left"/>
        </w:tabs>
        <w:numPr>
          <w:ilvl w:val="0"/>
          <w:numId w:val="27"/>
        </w:numPr>
        <w:rPr>
          <w:rFonts w:ascii="Arial" w:cs="Arial" w:eastAsia="Arial" w:hAnsi="Arial"/>
          <w:sz w:val="14"/>
          <w:szCs w:val="14"/>
          <w:color w:val="FFFFFF"/>
          <w:highlight w:val="black"/>
        </w:rPr>
      </w:pPr>
      <w:r>
        <w:rPr>
          <w:rFonts w:ascii="Arial" w:cs="Arial" w:eastAsia="Arial" w:hAnsi="Arial"/>
          <w:sz w:val="14"/>
          <w:szCs w:val="14"/>
          <w:color w:val="auto"/>
        </w:rPr>
        <w:t xml:space="preserve">Q3 FY2019 Form 10-Q | </w:t>
      </w:r>
      <w:r>
        <w:rPr>
          <w:rFonts w:ascii="Arial" w:cs="Arial" w:eastAsia="Arial" w:hAnsi="Arial"/>
          <w:sz w:val="14"/>
          <w:szCs w:val="14"/>
          <w:b w:val="1"/>
          <w:bCs w:val="1"/>
          <w:color w:val="auto"/>
        </w:rPr>
        <w:t>H&amp;R Block, Inc.</w:t>
      </w:r>
    </w:p>
    <w:p>
      <w:pPr>
        <w:sectPr>
          <w:pgSz w:w="11900" w:h="16838" w:orient="portrait"/>
          <w:cols w:equalWidth="0" w:num="1">
            <w:col w:w="11400"/>
          </w:cols>
          <w:pgMar w:left="240" w:top="249" w:right="25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31.1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Jeffrey J. Jones II, Chief Executive Officer, certify that:</w:t>
      </w:r>
    </w:p>
    <w:p>
      <w:pPr>
        <w:spacing w:after="0" w:line="225" w:lineRule="exact"/>
        <w:rPr>
          <w:sz w:val="20"/>
          <w:szCs w:val="20"/>
          <w:color w:val="auto"/>
        </w:rPr>
      </w:pPr>
    </w:p>
    <w:p>
      <w:pPr>
        <w:ind w:left="200" w:hanging="192"/>
        <w:spacing w:after="0"/>
        <w:tabs>
          <w:tab w:leader="none" w:pos="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H&amp;R Block, Inc.;</w:t>
      </w:r>
    </w:p>
    <w:p>
      <w:pPr>
        <w:spacing w:after="0" w:line="225" w:lineRule="exact"/>
        <w:rPr>
          <w:rFonts w:ascii="Arial" w:cs="Arial" w:eastAsia="Arial" w:hAnsi="Arial"/>
          <w:sz w:val="18"/>
          <w:szCs w:val="18"/>
          <w:color w:val="auto"/>
        </w:rPr>
      </w:pPr>
    </w:p>
    <w:p>
      <w:pPr>
        <w:ind w:right="280" w:firstLine="8"/>
        <w:spacing w:after="0" w:line="256" w:lineRule="auto"/>
        <w:tabs>
          <w:tab w:leader="none" w:pos="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20" w:firstLine="8"/>
        <w:spacing w:after="0" w:line="262" w:lineRule="auto"/>
        <w:tabs>
          <w:tab w:leader="none" w:pos="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right="120" w:firstLine="8"/>
        <w:spacing w:after="0" w:line="250" w:lineRule="auto"/>
        <w:tabs>
          <w:tab w:leader="none" w:pos="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225" w:lineRule="exact"/>
        <w:rPr>
          <w:sz w:val="20"/>
          <w:szCs w:val="20"/>
          <w:color w:val="auto"/>
        </w:rPr>
      </w:pPr>
    </w:p>
    <w:p>
      <w:pPr>
        <w:ind w:right="100" w:firstLine="8"/>
        <w:spacing w:after="0" w:line="256" w:lineRule="auto"/>
        <w:tabs>
          <w:tab w:leader="none" w:pos="27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right="380" w:firstLine="8"/>
        <w:spacing w:after="0" w:line="256" w:lineRule="auto"/>
        <w:tabs>
          <w:tab w:leader="none" w:pos="27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right="340" w:firstLine="8"/>
        <w:spacing w:after="0" w:line="262" w:lineRule="auto"/>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8"/>
          <w:szCs w:val="18"/>
          <w:color w:val="auto"/>
        </w:rPr>
      </w:pPr>
    </w:p>
    <w:p>
      <w:pPr>
        <w:ind w:right="200" w:firstLine="8"/>
        <w:spacing w:after="0" w:line="256" w:lineRule="auto"/>
        <w:tabs>
          <w:tab w:leader="none" w:pos="27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sz w:val="20"/>
          <w:szCs w:val="20"/>
          <w:color w:val="auto"/>
        </w:rPr>
      </w:pPr>
    </w:p>
    <w:p>
      <w:pPr>
        <w:ind w:right="160" w:firstLine="8"/>
        <w:spacing w:after="0" w:line="291" w:lineRule="auto"/>
        <w:tabs>
          <w:tab w:leader="none" w:pos="2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sz w:val="20"/>
          <w:szCs w:val="20"/>
          <w:color w:val="auto"/>
        </w:rPr>
      </w:pPr>
    </w:p>
    <w:p>
      <w:pPr>
        <w:ind w:right="820" w:firstLine="8"/>
        <w:spacing w:after="0" w:line="262" w:lineRule="auto"/>
        <w:tabs>
          <w:tab w:leader="none" w:pos="27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right="420" w:firstLine="8"/>
        <w:spacing w:after="0" w:line="262" w:lineRule="auto"/>
        <w:tabs>
          <w:tab w:leader="none" w:pos="27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0" w:lineRule="exact"/>
        <w:rPr>
          <w:sz w:val="20"/>
          <w:szCs w:val="20"/>
          <w:color w:val="auto"/>
        </w:rPr>
      </w:pPr>
    </w:p>
    <w:p>
      <w:pPr>
        <w:ind w:left="40"/>
        <w:spacing w:after="0"/>
        <w:tabs>
          <w:tab w:leader="none" w:pos="600" w:val="left"/>
          <w:tab w:leader="none" w:pos="6860" w:val="left"/>
        </w:tabs>
        <w:rPr>
          <w:sz w:val="20"/>
          <w:szCs w:val="20"/>
          <w:color w:val="auto"/>
        </w:rPr>
      </w:pPr>
      <w:r>
        <w:rPr>
          <w:rFonts w:ascii="Arial" w:cs="Arial" w:eastAsia="Arial" w:hAnsi="Arial"/>
          <w:sz w:val="18"/>
          <w:szCs w:val="18"/>
          <w:color w:val="auto"/>
        </w:rPr>
        <w:t>Date:</w:t>
        <w:tab/>
        <w:t>March 8, 2019</w:t>
      </w:r>
      <w:r>
        <w:rPr>
          <w:sz w:val="20"/>
          <w:szCs w:val="20"/>
          <w:color w:val="auto"/>
        </w:rPr>
        <w:tab/>
      </w:r>
      <w:r>
        <w:rPr>
          <w:rFonts w:ascii="Arial" w:cs="Arial" w:eastAsia="Arial" w:hAnsi="Arial"/>
          <w:sz w:val="17"/>
          <w:szCs w:val="17"/>
          <w:color w:val="auto"/>
        </w:rPr>
        <w:t>/s/ Jeffrey J. Jones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Jeffrey J. Jones II</w:t>
      </w:r>
    </w:p>
    <w:p>
      <w:pPr>
        <w:spacing w:after="0" w:line="4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Executive Officer</w:t>
      </w:r>
    </w:p>
    <w:p>
      <w:pPr>
        <w:ind w:left="6880"/>
        <w:spacing w:after="0"/>
        <w:rPr>
          <w:sz w:val="20"/>
          <w:szCs w:val="20"/>
          <w:color w:val="auto"/>
        </w:rPr>
      </w:pPr>
      <w:r>
        <w:rPr>
          <w:rFonts w:ascii="Arial" w:cs="Arial" w:eastAsia="Arial" w:hAnsi="Arial"/>
          <w:sz w:val="18"/>
          <w:szCs w:val="18"/>
          <w:color w:val="auto"/>
        </w:rPr>
        <w:t>H&amp;R Block, Inc.</w:t>
      </w:r>
    </w:p>
    <w:p>
      <w:pPr>
        <w:sectPr>
          <w:pgSz w:w="11900" w:h="16838" w:orient="portrait"/>
          <w:cols w:equalWidth="0" w:num="1">
            <w:col w:w="11420"/>
          </w:cols>
          <w:pgMar w:left="240" w:top="14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31.2</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Tony G. Bowen, Chief Financial Officer, certify that:</w:t>
      </w:r>
    </w:p>
    <w:p>
      <w:pPr>
        <w:spacing w:after="0" w:line="225" w:lineRule="exact"/>
        <w:rPr>
          <w:sz w:val="20"/>
          <w:szCs w:val="20"/>
          <w:color w:val="auto"/>
        </w:rPr>
      </w:pPr>
    </w:p>
    <w:p>
      <w:pPr>
        <w:ind w:left="200" w:hanging="192"/>
        <w:spacing w:after="0"/>
        <w:tabs>
          <w:tab w:leader="none" w:pos="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H&amp;R Block, Inc.;</w:t>
      </w:r>
    </w:p>
    <w:p>
      <w:pPr>
        <w:spacing w:after="0" w:line="225" w:lineRule="exact"/>
        <w:rPr>
          <w:rFonts w:ascii="Arial" w:cs="Arial" w:eastAsia="Arial" w:hAnsi="Arial"/>
          <w:sz w:val="18"/>
          <w:szCs w:val="18"/>
          <w:color w:val="auto"/>
        </w:rPr>
      </w:pPr>
    </w:p>
    <w:p>
      <w:pPr>
        <w:ind w:right="280" w:firstLine="8"/>
        <w:spacing w:after="0" w:line="256" w:lineRule="auto"/>
        <w:tabs>
          <w:tab w:leader="none" w:pos="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20" w:firstLine="8"/>
        <w:spacing w:after="0" w:line="262" w:lineRule="auto"/>
        <w:tabs>
          <w:tab w:leader="none" w:pos="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right="120" w:firstLine="8"/>
        <w:spacing w:after="0" w:line="250" w:lineRule="auto"/>
        <w:tabs>
          <w:tab w:leader="none" w:pos="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225" w:lineRule="exact"/>
        <w:rPr>
          <w:sz w:val="20"/>
          <w:szCs w:val="20"/>
          <w:color w:val="auto"/>
        </w:rPr>
      </w:pPr>
    </w:p>
    <w:p>
      <w:pPr>
        <w:ind w:right="100" w:firstLine="8"/>
        <w:spacing w:after="0" w:line="256" w:lineRule="auto"/>
        <w:tabs>
          <w:tab w:leader="none" w:pos="27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right="380" w:firstLine="8"/>
        <w:spacing w:after="0" w:line="256" w:lineRule="auto"/>
        <w:tabs>
          <w:tab w:leader="none" w:pos="27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right="340" w:firstLine="8"/>
        <w:spacing w:after="0" w:line="262" w:lineRule="auto"/>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8"/>
          <w:szCs w:val="18"/>
          <w:color w:val="auto"/>
        </w:rPr>
      </w:pPr>
    </w:p>
    <w:p>
      <w:pPr>
        <w:ind w:right="200" w:firstLine="8"/>
        <w:spacing w:after="0" w:line="256" w:lineRule="auto"/>
        <w:tabs>
          <w:tab w:leader="none" w:pos="27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sz w:val="20"/>
          <w:szCs w:val="20"/>
          <w:color w:val="auto"/>
        </w:rPr>
      </w:pPr>
    </w:p>
    <w:p>
      <w:pPr>
        <w:ind w:right="160" w:firstLine="8"/>
        <w:spacing w:after="0" w:line="291" w:lineRule="auto"/>
        <w:tabs>
          <w:tab w:leader="none" w:pos="2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sz w:val="20"/>
          <w:szCs w:val="20"/>
          <w:color w:val="auto"/>
        </w:rPr>
      </w:pPr>
    </w:p>
    <w:p>
      <w:pPr>
        <w:ind w:right="820" w:firstLine="8"/>
        <w:spacing w:after="0" w:line="262" w:lineRule="auto"/>
        <w:tabs>
          <w:tab w:leader="none" w:pos="27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right="420" w:firstLine="8"/>
        <w:spacing w:after="0" w:line="262" w:lineRule="auto"/>
        <w:tabs>
          <w:tab w:leader="none" w:pos="27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0" w:lineRule="exact"/>
        <w:rPr>
          <w:sz w:val="20"/>
          <w:szCs w:val="20"/>
          <w:color w:val="auto"/>
        </w:rPr>
      </w:pPr>
    </w:p>
    <w:p>
      <w:pPr>
        <w:ind w:left="40"/>
        <w:spacing w:after="0"/>
        <w:tabs>
          <w:tab w:leader="none" w:pos="600" w:val="left"/>
          <w:tab w:leader="none" w:pos="6860" w:val="left"/>
        </w:tabs>
        <w:rPr>
          <w:sz w:val="20"/>
          <w:szCs w:val="20"/>
          <w:color w:val="auto"/>
        </w:rPr>
      </w:pPr>
      <w:r>
        <w:rPr>
          <w:rFonts w:ascii="Arial" w:cs="Arial" w:eastAsia="Arial" w:hAnsi="Arial"/>
          <w:sz w:val="18"/>
          <w:szCs w:val="18"/>
          <w:color w:val="auto"/>
        </w:rPr>
        <w:t>Date:</w:t>
        <w:tab/>
        <w:t>March 8, 2019</w:t>
      </w:r>
      <w:r>
        <w:rPr>
          <w:sz w:val="20"/>
          <w:szCs w:val="20"/>
          <w:color w:val="auto"/>
        </w:rPr>
        <w:tab/>
      </w:r>
      <w:r>
        <w:rPr>
          <w:rFonts w:ascii="Arial" w:cs="Arial" w:eastAsia="Arial" w:hAnsi="Arial"/>
          <w:sz w:val="17"/>
          <w:szCs w:val="17"/>
          <w:color w:val="auto"/>
        </w:rPr>
        <w:t>/s/ Tony G. Bowen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Tony G. Bowen</w:t>
      </w:r>
    </w:p>
    <w:p>
      <w:pPr>
        <w:spacing w:after="0" w:line="4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ind w:left="6880"/>
        <w:spacing w:after="0"/>
        <w:rPr>
          <w:sz w:val="20"/>
          <w:szCs w:val="20"/>
          <w:color w:val="auto"/>
        </w:rPr>
      </w:pPr>
      <w:r>
        <w:rPr>
          <w:rFonts w:ascii="Arial" w:cs="Arial" w:eastAsia="Arial" w:hAnsi="Arial"/>
          <w:sz w:val="18"/>
          <w:szCs w:val="18"/>
          <w:color w:val="auto"/>
        </w:rPr>
        <w:t>H&amp;R Block, Inc.</w:t>
      </w:r>
    </w:p>
    <w:p>
      <w:pPr>
        <w:sectPr>
          <w:pgSz w:w="11900" w:h="16838" w:orient="portrait"/>
          <w:cols w:equalWidth="0" w:num="1">
            <w:col w:w="11420"/>
          </w:cols>
          <w:pgMar w:left="240" w:top="247"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32.1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47" w:lineRule="exact"/>
        <w:rPr>
          <w:sz w:val="20"/>
          <w:szCs w:val="20"/>
          <w:color w:val="auto"/>
        </w:rPr>
      </w:pPr>
    </w:p>
    <w:p>
      <w:pPr>
        <w:jc w:val="both"/>
        <w:ind w:right="20" w:firstLine="648"/>
        <w:spacing w:after="0" w:line="216" w:lineRule="exact"/>
        <w:rPr>
          <w:sz w:val="20"/>
          <w:szCs w:val="20"/>
          <w:color w:val="auto"/>
        </w:rPr>
      </w:pPr>
      <w:r>
        <w:rPr>
          <w:rFonts w:ascii="Arial" w:cs="Arial" w:eastAsia="Arial" w:hAnsi="Arial"/>
          <w:sz w:val="18"/>
          <w:szCs w:val="18"/>
          <w:color w:val="auto"/>
        </w:rPr>
        <w:t>In connection with the quarterly report of H&amp;R Block,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fiscal quarter ending January 31, 2019 as filed with the Securities and Exchange Commission on the date hereof (the “Report”), I, Jeffrey J. Jones II, Chief Executive Officer of the Company, certify pursuant to 18 U.S.C. § 1350, as adopted pursuant to § 906 of the Sarbanes-Oxley Act of 2002, that:</w:t>
      </w:r>
    </w:p>
    <w:p>
      <w:pPr>
        <w:spacing w:after="0" w:line="218"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20" w:hanging="644"/>
        <w:spacing w:after="0" w:line="262"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50"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/s/ Jeffrey J. Jones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5116195</wp:posOffset>
            </wp:positionH>
            <wp:positionV relativeFrom="paragraph">
              <wp:posOffset>14605</wp:posOffset>
            </wp:positionV>
            <wp:extent cx="213550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39"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Jeffrey J. Jones II</w:t>
      </w:r>
    </w:p>
    <w:p>
      <w:pPr>
        <w:ind w:left="808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H&amp;R Block, Inc.</w:t>
      </w:r>
    </w:p>
    <w:p>
      <w:pPr>
        <w:spacing w:after="0" w:line="50"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March 8, 2019</w:t>
      </w:r>
    </w:p>
    <w:p>
      <w:pPr>
        <w:sectPr>
          <w:pgSz w:w="11900" w:h="16838" w:orient="portrait"/>
          <w:cols w:equalWidth="0" w:num="1">
            <w:col w:w="11420"/>
          </w:cols>
          <w:pgMar w:left="240" w:top="14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Exhibit 32.2</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47" w:lineRule="exact"/>
        <w:rPr>
          <w:sz w:val="20"/>
          <w:szCs w:val="20"/>
          <w:color w:val="auto"/>
        </w:rPr>
      </w:pPr>
    </w:p>
    <w:p>
      <w:pPr>
        <w:jc w:val="both"/>
        <w:ind w:firstLine="648"/>
        <w:spacing w:after="0" w:line="216" w:lineRule="exact"/>
        <w:rPr>
          <w:sz w:val="20"/>
          <w:szCs w:val="20"/>
          <w:color w:val="auto"/>
        </w:rPr>
      </w:pPr>
      <w:r>
        <w:rPr>
          <w:rFonts w:ascii="Arial" w:cs="Arial" w:eastAsia="Arial" w:hAnsi="Arial"/>
          <w:sz w:val="18"/>
          <w:szCs w:val="18"/>
          <w:color w:val="auto"/>
        </w:rPr>
        <w:t>In connection with the quarterly report of H&amp;R Block,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fiscal quarter ending January 31, 2019 as filed with the Securities and Exchange Commission on the date hereof (the “Report”), I, Tony G. Bowen, Chief Financial Officer of the Company, certify pursuant to 18 U.S.C. § 1350, as adopted pursuant to § 906 of the Sarbanes-Oxley Act of 2002, that:</w:t>
      </w:r>
    </w:p>
    <w:p>
      <w:pPr>
        <w:spacing w:after="0" w:line="218"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20" w:hanging="644"/>
        <w:spacing w:after="0" w:line="262"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4"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/s/ Tony G. Bowen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14605</wp:posOffset>
            </wp:positionV>
            <wp:extent cx="21437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9"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Tony G. Bowen</w:t>
      </w:r>
    </w:p>
    <w:p>
      <w:pPr>
        <w:ind w:left="808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H&amp;R Block, Inc.</w:t>
      </w:r>
    </w:p>
    <w:p>
      <w:pPr>
        <w:spacing w:after="0" w:line="50"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March 8, 2019</w:t>
      </w:r>
    </w:p>
    <w:sectPr>
      <w:pgSz w:w="11900" w:h="16838" w:orient="portrait"/>
      <w:cols w:equalWidth="0" w:num="1">
        <w:col w:w="11420"/>
      </w:cols>
      <w:pgMar w:left="240" w:top="1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2"/>
      <w:numFmt w:val="bullet"/>
      <w:start w:val="1"/>
    </w:lvl>
  </w:abstractNum>
  <w:abstractNum w:abstractNumId="3">
    <w:nsid w:val="436C6125"/>
    <w:multiLevelType w:val="hybridMultilevel"/>
    <w:lvl w:ilvl="0">
      <w:lvlJc w:val="left"/>
      <w:lvlText w:val="4"/>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6"/>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8"/>
      <w:numFmt w:val="bullet"/>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10"/>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12"/>
    </w:lvl>
  </w:abstractNum>
  <w:abstractNum w:abstractNumId="13">
    <w:nsid w:val="4353D0CD"/>
    <w:multiLevelType w:val="hybridMultilevel"/>
    <w:lvl w:ilvl="0">
      <w:lvlJc w:val="left"/>
      <w:lvlText w:val="%1"/>
      <w:numFmt w:val="decimal"/>
      <w:start w:val="14"/>
    </w:lvl>
  </w:abstractNum>
  <w:abstractNum w:abstractNumId="14">
    <w:nsid w:val="B03E0C6"/>
    <w:multiLevelType w:val="hybridMultilevel"/>
    <w:lvl w:ilvl="0">
      <w:lvlJc w:val="left"/>
      <w:lvlText w:val="%1"/>
      <w:numFmt w:val="decimal"/>
      <w:start w:val="16"/>
    </w:lvl>
  </w:abstractNum>
  <w:abstractNum w:abstractNumId="15">
    <w:nsid w:val="189A769B"/>
    <w:multiLevelType w:val="hybridMultilevel"/>
    <w:lvl w:ilvl="0">
      <w:lvlJc w:val="left"/>
      <w:lvlText w:val="%1"/>
      <w:numFmt w:val="decimal"/>
      <w:start w:val="18"/>
    </w:lvl>
  </w:abstractNum>
  <w:abstractNum w:abstractNumId="16">
    <w:nsid w:val="54E49EB4"/>
    <w:multiLevelType w:val="hybridMultilevel"/>
    <w:lvl w:ilvl="0">
      <w:lvlJc w:val="left"/>
      <w:lvlText w:val="%1"/>
      <w:numFmt w:val="decimal"/>
      <w:start w:val="22"/>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1"/>
      <w:numFmt w:val="decimal"/>
      <w:start w:val="26"/>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28"/>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decimal"/>
      <w:start w:val="30"/>
    </w:lvl>
  </w:abstractNum>
  <w:abstractNum w:abstractNumId="23">
    <w:nsid w:val="1E7FF521"/>
    <w:multiLevelType w:val="hybridMultilevel"/>
    <w:lvl w:ilvl="0">
      <w:lvlJc w:val="left"/>
      <w:lvlText w:val="%1"/>
      <w:numFmt w:val="decimal"/>
      <w:start w:val="32"/>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decimal"/>
      <w:start w:val="34"/>
    </w:lvl>
  </w:abstractNum>
  <w:abstractNum w:abstractNumId="26">
    <w:nsid w:val="6CEAF087"/>
    <w:multiLevelType w:val="hybridMultilevel"/>
    <w:lvl w:ilvl="0">
      <w:lvlJc w:val="left"/>
      <w:lvlText w:val="%1"/>
      <w:numFmt w:val="decimal"/>
      <w:start w:val="36"/>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lowerLetter"/>
      <w:start w:val="1"/>
    </w:lvl>
  </w:abstractNum>
  <w:abstractNum w:abstractNumId="29">
    <w:nsid w:val="3006C83E"/>
    <w:multiLevelType w:val="hybridMultilevel"/>
    <w:lvl w:ilvl="0">
      <w:lvlJc w:val="left"/>
      <w:lvlText w:val="%1."/>
      <w:numFmt w:val="decimal"/>
      <w:start w:val="5"/>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decimal"/>
      <w:start w:val="5"/>
    </w:lvl>
  </w:abstractNum>
  <w:abstractNum w:abstractNumId="34">
    <w:nsid w:val="5072367"/>
    <w:multiLevelType w:val="hybridMultilevel"/>
    <w:lvl w:ilvl="0">
      <w:lvlJc w:val="left"/>
      <w:lvlText w:val="(%1)"/>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2019-12-28T15:00:04Z</dcterms:created>
  <dcterms:modified xsi:type="dcterms:W3CDTF">2019-12-28T15:00:04Z</dcterms:modified>
</cp:coreProperties>
</file>