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 xml:space="preserve">FORM 8-K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Date of Report (date of earliest event reported): February 3, 2026</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H&amp;R BLOCK, INC. </w:t>
      </w:r>
    </w:p>
    <w:p>
      <w:pPr>
        <w:pStyle w:val="TextBody"/>
        <w:bidi w:val="0"/>
        <w:spacing w:lineRule="auto" w:line="288" w:before="0" w:after="240"/>
        <w:jc w:val="center"/>
        <w:rPr>
          <w:rFonts w:ascii="sans-serif" w:hAnsi="sans-serif"/>
          <w:b w:val="false"/>
          <w:color w:val="000000"/>
          <w:sz w:val="20"/>
        </w:rPr>
      </w:pPr>
      <w:r>
        <w:rPr>
          <w:rFonts w:ascii="sans-serif" w:hAnsi="sans-serif"/>
          <w:b w:val="false"/>
          <w:color w:val="000000"/>
          <w:sz w:val="20"/>
        </w:rPr>
        <w:t>(Exact name of registrant as specified in charter)</w:t>
      </w:r>
    </w:p>
    <w:tbl>
      <w:tblPr>
        <w:tblW w:w="7619" w:type="dxa"/>
        <w:jc w:val="left"/>
        <w:tblInd w:w="0" w:type="dxa"/>
        <w:tblLayout w:type="fixed"/>
        <w:tblCellMar>
          <w:top w:w="28" w:type="dxa"/>
          <w:left w:w="28" w:type="dxa"/>
          <w:bottom w:w="28" w:type="dxa"/>
          <w:right w:w="28" w:type="dxa"/>
        </w:tblCellMar>
      </w:tblPr>
      <w:tblGrid>
        <w:gridCol w:w="1090"/>
        <w:gridCol w:w="959"/>
        <w:gridCol w:w="966"/>
        <w:gridCol w:w="902"/>
        <w:gridCol w:w="902"/>
        <w:gridCol w:w="910"/>
        <w:gridCol w:w="554"/>
        <w:gridCol w:w="554"/>
        <w:gridCol w:w="782"/>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Missouri</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1-06089</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44-0607856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 of</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incorporation or organization)</w:t>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Identification No.)</w:t>
            </w:r>
          </w:p>
        </w:tc>
      </w:tr>
    </w:tbl>
    <w:p>
      <w:pPr>
        <w:pStyle w:val="TextBody"/>
        <w:bidi w:val="0"/>
        <w:spacing w:before="0" w:after="24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One H&amp;R Block Way, Kansas City, MO 64105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(816) 854-3000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Not Applicable</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20" w:after="283"/>
        <w:jc w:val="both"/>
        <w:rPr/>
      </w:pPr>
      <w:r>
        <w:rPr>
          <w:color w:val="000000"/>
        </w:rPr>
        <w:t>☐    </w:t>
      </w:r>
      <w:r>
        <w:rPr>
          <w:rFonts w:ascii="sans-serif" w:hAnsi="sans-serif"/>
          <w:b w:val="false"/>
          <w:color w:val="000000"/>
          <w:sz w:val="20"/>
        </w:rPr>
        <w:t>Written communications pursuant to Rule 425 under the Securities Act (17 CFR 230.425)</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Soliciting material pursuant to Rule 14a-12 under the Exchange Act (17 CFR 240.14a-12)</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60" w:after="283"/>
        <w:ind w:left="0" w:right="0" w:hanging="270"/>
        <w:jc w:val="both"/>
        <w:rPr/>
      </w:pPr>
      <w:r>
        <w:rPr>
          <w:color w:val="000000"/>
        </w:rPr>
        <w:t>☐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9823" w:type="dxa"/>
        <w:jc w:val="center"/>
        <w:tblInd w:w="0" w:type="dxa"/>
        <w:tblLayout w:type="fixed"/>
        <w:tblCellMar>
          <w:top w:w="28" w:type="dxa"/>
          <w:left w:w="28" w:type="dxa"/>
          <w:bottom w:w="28" w:type="dxa"/>
          <w:right w:w="28" w:type="dxa"/>
        </w:tblCellMar>
      </w:tblPr>
      <w:tblGrid>
        <w:gridCol w:w="1244"/>
        <w:gridCol w:w="1093"/>
        <w:gridCol w:w="1098"/>
        <w:gridCol w:w="629"/>
        <w:gridCol w:w="629"/>
        <w:gridCol w:w="631"/>
        <w:gridCol w:w="1317"/>
        <w:gridCol w:w="1317"/>
        <w:gridCol w:w="1865"/>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Title of each class</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Trading Symbol(s)</w:t>
            </w:r>
          </w:p>
        </w:tc>
        <w:tc>
          <w:tcPr>
            <w:tcW w:w="449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Name of each exchange on which registered</w:t>
            </w:r>
          </w:p>
        </w:tc>
      </w:tr>
      <w:tr>
        <w:trPr/>
        <w:tc>
          <w:tcPr>
            <w:tcW w:w="34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Common Stock, without par value</w:t>
            </w:r>
          </w:p>
        </w:tc>
        <w:tc>
          <w:tcPr>
            <w:tcW w:w="18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HRB</w:t>
            </w:r>
          </w:p>
        </w:tc>
        <w:tc>
          <w:tcPr>
            <w:tcW w:w="449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New York Stock Exchange</w:t>
            </w:r>
          </w:p>
        </w:tc>
      </w:tr>
    </w:tbl>
    <w:p>
      <w:pPr>
        <w:pStyle w:val="TextBody"/>
        <w:bidi w:val="0"/>
        <w:spacing w:lineRule="auto" w:line="288" w:before="120" w:after="283"/>
        <w:jc w:val="both"/>
        <w:rPr/>
      </w:pPr>
      <w:r>
        <w:rPr>
          <w:rFonts w:ascii="sans-serif" w:hAnsi="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120" w:after="283"/>
        <w:jc w:val="both"/>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56"/>
        <w:jc w:val="both"/>
        <w:rPr/>
      </w:pPr>
      <w:r>
        <w:rPr>
          <w:rFonts w:ascii="sans-serif" w:hAnsi="sans-serif"/>
          <w:b/>
          <w:color w:val="000000"/>
          <w:sz w:val="24"/>
        </w:rPr>
        <w:t>Item 2.02.</w:t>
      </w:r>
      <w:r>
        <w:rPr>
          <w:color w:val="000000"/>
        </w:rPr>
        <w:t>    </w:t>
      </w:r>
      <w:r>
        <w:rPr>
          <w:rFonts w:ascii="sans-serif" w:hAnsi="sans-serif"/>
          <w:b/>
          <w:color w:val="000000"/>
          <w:sz w:val="24"/>
        </w:rPr>
        <w:t>Results of Operations and Financial Condition.</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On February 3, 2026, H&amp;R Block, Inc. (the "Company") issued a press release regarding the Company’s results of operations for the fiscal quarter ended December 31, 2025. A copy of the press release is furnished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sans-serif" w:hAnsi="sans-serif"/>
          <w:b/>
          <w:color w:val="000000"/>
          <w:sz w:val="24"/>
        </w:rPr>
        <w:t>Item 9.01.</w:t>
      </w:r>
      <w:r>
        <w:rPr>
          <w:color w:val="000000"/>
        </w:rPr>
        <w:t>    </w:t>
      </w:r>
      <w:r>
        <w:rPr>
          <w:rFonts w:ascii="sans-serif" w:hAnsi="sans-serif"/>
          <w:b/>
          <w:color w:val="000000"/>
          <w:sz w:val="24"/>
        </w:rPr>
        <w:t>Financial Statements and Exhibits.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(d) Exhibits</w:t>
      </w:r>
    </w:p>
    <w:p>
      <w:pPr>
        <w:pStyle w:val="TextBody"/>
        <w:bidi w:val="0"/>
        <w:spacing w:lineRule="auto" w:line="288" w:before="120" w:after="283"/>
        <w:jc w:val="left"/>
        <w:rPr/>
      </w:pPr>
      <w:r>
        <w:rPr>
          <w:rFonts w:ascii="sans-serif" w:hAnsi="sans-serif"/>
          <w:b w:val="false"/>
          <w:color w:val="000000"/>
          <w:sz w:val="24"/>
          <w:u w:val="single"/>
        </w:rPr>
        <w:t>Exhibit Number</w:t>
      </w:r>
      <w:r>
        <w:rPr>
          <w:color w:val="000000"/>
        </w:rPr>
        <w:t>    </w:t>
      </w:r>
      <w:r>
        <w:rPr>
          <w:rFonts w:ascii="sans-serif" w:hAnsi="sans-serif"/>
          <w:b w:val="false"/>
          <w:color w:val="000000"/>
          <w:sz w:val="24"/>
          <w:u w:val="single"/>
        </w:rPr>
        <w:t>Description</w:t>
      </w:r>
    </w:p>
    <w:p>
      <w:pPr>
        <w:pStyle w:val="TextBody"/>
        <w:bidi w:val="0"/>
        <w:spacing w:lineRule="auto" w:line="288" w:before="0" w:after="0"/>
        <w:jc w:val="left"/>
        <w:rPr/>
      </w:pPr>
      <w:hyperlink w:anchor="q2fy26earningrelease.htm">
        <w:r>
          <w:rPr>
            <w:rStyle w:val="InternetLink"/>
            <w:rFonts w:ascii="sans-serif" w:hAnsi="sans-serif"/>
            <w:b w:val="false"/>
            <w:color w:val="0000FF"/>
            <w:sz w:val="24"/>
            <w:u w:val="single"/>
          </w:rPr>
          <w:t>99.1</w:t>
        </w:r>
      </w:hyperlink>
      <w:r>
        <w:rPr>
          <w:color w:val="000000"/>
        </w:rPr>
        <w:t>    </w:t>
      </w:r>
      <w:hyperlink w:anchor="q2fy26earningrelease.htm">
        <w:r>
          <w:rPr>
            <w:rStyle w:val="InternetLink"/>
            <w:rFonts w:ascii="sans-serif" w:hAnsi="sans-serif"/>
            <w:b w:val="false"/>
            <w:color w:val="0000FF"/>
            <w:sz w:val="24"/>
            <w:u w:val="single"/>
          </w:rPr>
          <w:t>Press Release Issued February 3, 2026.</w:t>
        </w:r>
      </w:hyperlink>
    </w:p>
    <w:p>
      <w:pPr>
        <w:pStyle w:val="TextBody"/>
        <w:bidi w:val="0"/>
        <w:spacing w:lineRule="auto" w:line="288" w:before="0" w:after="0"/>
        <w:ind w:left="0" w:right="0" w:hanging="2250"/>
        <w:jc w:val="left"/>
        <w:rPr>
          <w:rFonts w:ascii="sans-serif" w:hAnsi="sans-serif"/>
          <w:b w:val="false"/>
          <w:color w:val="000000"/>
          <w:sz w:val="24"/>
        </w:rPr>
      </w:pPr>
      <w:r>
        <w:rPr>
          <w:rFonts w:ascii="sans-serif" w:hAnsi="sans-serif"/>
          <w:b w:val="false"/>
          <w:color w:val="000000"/>
          <w:sz w:val="24"/>
        </w:rPr>
        <w:t>104    Cover Page Interactive Data File (embedded within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SIGNATURES</w:t>
      </w:r>
    </w:p>
    <w:p>
      <w:pPr>
        <w:pStyle w:val="TextBody"/>
        <w:bidi w:val="0"/>
        <w:spacing w:lineRule="auto" w:line="288" w:before="120" w:after="24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hereunto duly authorized.</w:t>
      </w:r>
    </w:p>
    <w:tbl>
      <w:tblPr>
        <w:tblW w:w="8322" w:type="dxa"/>
        <w:jc w:val="left"/>
        <w:tblInd w:w="0" w:type="dxa"/>
        <w:tblLayout w:type="fixed"/>
        <w:tblCellMar>
          <w:top w:w="28" w:type="dxa"/>
          <w:left w:w="28" w:type="dxa"/>
          <w:bottom w:w="28" w:type="dxa"/>
          <w:right w:w="28" w:type="dxa"/>
        </w:tblCellMar>
      </w:tblPr>
      <w:tblGrid>
        <w:gridCol w:w="277"/>
        <w:gridCol w:w="243"/>
        <w:gridCol w:w="244"/>
        <w:gridCol w:w="719"/>
        <w:gridCol w:w="719"/>
        <w:gridCol w:w="721"/>
        <w:gridCol w:w="159"/>
        <w:gridCol w:w="159"/>
        <w:gridCol w:w="161"/>
        <w:gridCol w:w="1440"/>
        <w:gridCol w:w="1440"/>
        <w:gridCol w:w="2040"/>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H&amp;R BLOCK, INC.</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4"/>
              </w:rPr>
            </w:pPr>
            <w:r>
              <w:rPr>
                <w:rFonts w:ascii="sans-serif" w:hAnsi="sans-serif"/>
                <w:b w:val="false"/>
                <w:color w:val="000000"/>
                <w:sz w:val="24"/>
              </w:rPr>
              <w:t>Date:</w:t>
            </w:r>
          </w:p>
        </w:tc>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February 3, 2026</w:t>
            </w:r>
          </w:p>
        </w:tc>
        <w:tc>
          <w:tcPr>
            <w:tcW w:w="47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24"/>
              </w:rPr>
            </w:pPr>
            <w:r>
              <w:rPr>
                <w:rFonts w:ascii="sans-serif" w:hAnsi="sans-serif"/>
                <w:b w:val="false"/>
                <w:color w:val="000000"/>
                <w:sz w:val="24"/>
              </w:rPr>
              <w:t>By:</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/s/ 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Katharine M. Haynes</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Vice President and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drawing>
          <wp:inline distT="0" distB="0" distL="0" distR="0">
            <wp:extent cx="619125"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19125" cy="609600"/>
                    </a:xfrm>
                    <a:prstGeom prst="rect">
                      <a:avLst/>
                    </a:prstGeom>
                  </pic:spPr>
                </pic:pic>
              </a:graphicData>
            </a:graphic>
          </wp:inline>
        </w:drawing>
      </w:r>
    </w:p>
    <w:p>
      <w:pPr>
        <w:pStyle w:val="TextBody"/>
        <w:bidi w:val="0"/>
        <w:spacing w:lineRule="auto" w:line="288" w:before="12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99.1</w:t>
      </w:r>
    </w:p>
    <w:p>
      <w:pPr>
        <w:pStyle w:val="TextBody"/>
        <w:bidi w:val="0"/>
        <w:spacing w:before="120" w:after="283"/>
        <w:jc w:val="right"/>
        <w:rPr/>
      </w:pPr>
      <w:r>
        <w:rPr/>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News Release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For Immediate Release: February 3, 2026</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H&amp;R Block Reports Fiscal 2026 Second Quarter Results</w:t>
      </w:r>
    </w:p>
    <w:p>
      <w:pPr>
        <w:pStyle w:val="TextBody"/>
        <w:bidi w:val="0"/>
        <w:spacing w:lineRule="auto" w:line="288" w:before="120" w:after="283"/>
        <w:jc w:val="center"/>
        <w:rPr>
          <w:color w:val="000000"/>
          <w:shd w:fill="FFFFFF" w:val="clear"/>
        </w:rPr>
      </w:pPr>
      <w:r>
        <w:rPr>
          <w:color w:val="000000"/>
          <w:shd w:fill="FFFFFF" w:val="clear"/>
        </w:rPr>
        <w:t xml:space="preserve">— </w:t>
      </w:r>
      <w:r>
        <w:rPr>
          <w:rFonts w:ascii="Times New Roman;serif" w:hAnsi="Times New Roman;serif"/>
          <w:b/>
          <w:color w:val="000000"/>
          <w:sz w:val="22"/>
          <w:shd w:fill="FFFFFF" w:val="clear"/>
        </w:rPr>
        <w:t xml:space="preserve">Revenue Increased 11% — </w:t>
      </w:r>
    </w:p>
    <w:p>
      <w:pPr>
        <w:pStyle w:val="TextBody"/>
        <w:bidi w:val="0"/>
        <w:spacing w:lineRule="auto" w:line="288" w:before="120" w:after="283"/>
        <w:jc w:val="center"/>
        <w:rPr/>
      </w:pPr>
      <w:r>
        <w:rPr>
          <w:color w:val="000000"/>
          <w:shd w:fill="FFFFFF" w:val="clear"/>
        </w:rPr>
        <w:t xml:space="preserve">— </w:t>
      </w:r>
      <w:r>
        <w:rPr>
          <w:rFonts w:ascii="Times New Roman;serif" w:hAnsi="Times New Roman;serif"/>
          <w:b/>
          <w:color w:val="000000"/>
          <w:sz w:val="22"/>
          <w:shd w:fill="FFFFFF" w:val="clear"/>
        </w:rPr>
        <w:t xml:space="preserve">Reaffirms Full Year Outlook </w:t>
      </w:r>
      <w:r>
        <w:rPr>
          <w:color w:val="000000"/>
          <w:shd w:fill="FFFFFF" w:val="clear"/>
        </w:rPr>
        <w:t>—</w:t>
      </w:r>
    </w:p>
    <w:p>
      <w:pPr>
        <w:pStyle w:val="TextBody"/>
        <w:bidi w:val="0"/>
        <w:spacing w:before="120" w:after="283"/>
        <w:jc w:val="center"/>
        <w:rPr/>
      </w:pPr>
      <w:r>
        <w:rPr/>
      </w:r>
    </w:p>
    <w:p>
      <w:pPr>
        <w:pStyle w:val="TextBody"/>
        <w:bidi w:val="0"/>
        <w:spacing w:lineRule="auto" w:line="288" w:before="120" w:after="283"/>
        <w:jc w:val="left"/>
        <w:rPr/>
      </w:pPr>
      <w:r>
        <w:rPr>
          <w:rFonts w:ascii="Times New Roman;serif" w:hAnsi="Times New Roman;serif"/>
          <w:b w:val="false"/>
          <w:color w:val="000000"/>
          <w:sz w:val="22"/>
        </w:rPr>
        <w:t>KANSAS CITY, Mo. - H&amp;R Block, Inc. (NYSE: HRB) (the "Company") today released financial results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for its fiscal 2026 second quarter ended December 31, 2025.</w:t>
      </w:r>
    </w:p>
    <w:p>
      <w:pPr>
        <w:pStyle w:val="TextBody"/>
        <w:bidi w:val="0"/>
        <w:spacing w:lineRule="auto" w:line="276"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"Across the business, we've made tangible improvements this season, whether receiving assistance from a tax professional or filing using our award-winning online tax product," said Curtis Campbell, president and chief executive officer. "We are elevating the value we deliver through expert</w:t>
        <w:noBreakHyphen/>
        <w:t>led, technology</w:t>
        <w:noBreakHyphen/>
        <w:t>enabled experiences that are increasingly supported by thoughtful AI integration. In a year of heightened uncertainty for many filers, our client</w:t>
        <w:noBreakHyphen/>
        <w:t>first strategy and disciplined execution keep us focused on durable growth and long</w:t>
        <w:noBreakHyphen/>
        <w:t>term value."</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Fiscal 2026 Second Quarter Results and Key Financial Metrics</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"We delivered double</w:t>
        <w:noBreakHyphen/>
        <w:t>digit revenue growth in the quarter and reaffirmed our full</w:t>
        <w:noBreakHyphen/>
        <w:t>year outlook, reflecting the strength of our year-to-date performance," said Tiffany Mason, chief financial officer. "The performance across Assisted, DIY, and Wave demonstrates solid execution, and our financial fundamentals and commitment to disciplined capital allocation position us to deliver meaningful long</w:t>
        <w:noBreakHyphen/>
        <w:t>term value."</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reminds readers that its business is highly seasonal, and second quarter results consistently reflect this pattern. Historically, this period contributes modestly to annual revenue and typically generates a net loss.</w:t>
      </w:r>
    </w:p>
    <w:p>
      <w:pPr>
        <w:pStyle w:val="TextBody"/>
        <w:bidi w:val="0"/>
        <w:spacing w:lineRule="auto" w:line="276"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 the second quarter, the Company delivered total revenue of $198.9 million, an increase of $19.8 million, or 11.1%, versus the prior year. The increase was primarily the result of higher volume and net average charge (NAC) in the assisted category, strong growth in Wave subscription revenue and payments volume, and increased DIY software sales.</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Total operating expenses of $497.7 million increased by $25.4 million, or 5.4%, as expected, versus the prior year. The increase was primarily due to higher field wages as a result of higher assisted revenue and increased consulting costs.</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Net loss from continuing operations improved by $0.9 million, or 0.4%, to ($241.6) million.</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8310"/>
                <wp:effectExtent l="0" t="0" r="0" b="0"/>
                <wp:wrapNone/>
                <wp:docPr id="5" name="Frame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lineRule="auto" w:line="268" w:before="0" w:after="0"/>
                              <w:jc w:val="both"/>
                              <w:rPr/>
                            </w:pPr>
                            <w:r>
                              <w:rPr>
                                <w:rFonts w:ascii="Times New Roman;serif" w:hAnsi="Times New Roman;serif"/>
                                <w:b w:val="false"/>
                                <w:color w:val="000000"/>
                                <w:sz w:val="8"/>
                              </w:rPr>
                              <w:t>1</w:t>
                            </w:r>
                            <w:r>
                              <w:rPr>
                                <w:rFonts w:ascii="Times New Roman;serif" w:hAnsi="Times New Roman;serif"/>
                                <w:b w:val="false"/>
                                <w:color w:val="000000"/>
                                <w:sz w:val="12"/>
                              </w:rPr>
                              <w:t>All amounts in this release are unaudited. Unless otherwise noted, all comparisons refer to the current period compared to the corresponding prior year period.</w:t>
                            </w:r>
                            <w:r>
                              <w:br w:type="page"/>
                            </w:r>
                          </w:p>
                          <w:p>
                            <w:pPr>
                              <w:pStyle w:val="TextBody"/>
                              <w:bidi w:val="0"/>
                              <w:spacing w:before="0" w:after="0"/>
                              <w:jc w:val="both"/>
                              <w:rPr/>
                            </w:pPr>
                            <w:r>
                              <w:rPr/>
                            </w:r>
                          </w:p>
                          <w:p>
                            <w:pPr>
                              <w:pStyle w:val="TextBody"/>
                              <w:bidi w:val="0"/>
                              <w:spacing w:before="0" w:after="0"/>
                              <w:ind w:left="0" w:right="0" w:hanging="9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both"/>
                        <w:rPr/>
                      </w:pPr>
                      <w:r>
                        <w:rPr>
                          <w:rFonts w:ascii="Times New Roman;serif" w:hAnsi="Times New Roman;serif"/>
                          <w:b w:val="false"/>
                          <w:color w:val="000000"/>
                          <w:sz w:val="8"/>
                        </w:rPr>
                        <w:t>1</w:t>
                      </w:r>
                      <w:r>
                        <w:rPr>
                          <w:rFonts w:ascii="Times New Roman;serif" w:hAnsi="Times New Roman;serif"/>
                          <w:b w:val="false"/>
                          <w:color w:val="000000"/>
                          <w:sz w:val="12"/>
                        </w:rPr>
                        <w:t>All amounts in this release are unaudited. Unless otherwise noted, all comparisons refer to the current period compared to the corresponding prior year period.</w:t>
                      </w:r>
                    </w:p>
                    <w:p>
                      <w:pPr>
                        <w:pStyle w:val="TextBody"/>
                        <w:bidi w:val="0"/>
                        <w:spacing w:before="0" w:after="0"/>
                        <w:jc w:val="both"/>
                        <w:rPr/>
                      </w:pPr>
                      <w:r>
                        <w:rPr/>
                      </w:r>
                    </w:p>
                    <w:p>
                      <w:pPr>
                        <w:pStyle w:val="TextBody"/>
                        <w:bidi w:val="0"/>
                        <w:spacing w:before="0" w:after="0"/>
                        <w:ind w:left="0" w:right="0" w:hanging="90"/>
                        <w:jc w:val="left"/>
                        <w:rPr/>
                      </w:pPr>
                      <w:r>
                        <w:rPr/>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val="false"/>
          <w:color w:val="000000"/>
          <w:sz w:val="22"/>
          <w:shd w:fill="FFFFFF" w:val="clear"/>
        </w:rPr>
        <w:t>Loss per share from continuing operations</w:t>
      </w:r>
      <w:r>
        <w:rPr>
          <w:rFonts w:ascii="Times New Roman;serif" w:hAnsi="Times New Roman;serif"/>
          <w:b w:val="false"/>
          <w:color w:val="000000"/>
          <w:sz w:val="14"/>
          <w:shd w:fill="FFFFFF" w:val="clear"/>
        </w:rPr>
        <w:t>2</w:t>
      </w:r>
      <w:r>
        <w:rPr>
          <w:color w:val="000000"/>
          <w:shd w:fill="FFFFFF" w:val="clear"/>
        </w:rPr>
        <w:t xml:space="preserve"> </w:t>
      </w:r>
      <w:r>
        <w:rPr>
          <w:rFonts w:ascii="Times New Roman;serif" w:hAnsi="Times New Roman;serif"/>
          <w:b w:val="false"/>
          <w:color w:val="000000"/>
          <w:sz w:val="22"/>
          <w:shd w:fill="FFFFFF" w:val="clear"/>
        </w:rPr>
        <w:t>increased 6.7% to ($1.91), and adjusted loss per share from continuing operations</w:t>
      </w:r>
      <w:r>
        <w:rPr>
          <w:rFonts w:ascii="Times New Roman;serif" w:hAnsi="Times New Roman;serif"/>
          <w:b w:val="false"/>
          <w:color w:val="000000"/>
          <w:sz w:val="14"/>
          <w:shd w:fill="FFFFFF" w:val="clear"/>
        </w:rPr>
        <w:t>2</w:t>
      </w:r>
      <w:r>
        <w:rPr>
          <w:color w:val="000000"/>
          <w:shd w:fill="FFFFFF" w:val="clear"/>
        </w:rPr>
        <w:t xml:space="preserve"> </w:t>
      </w:r>
      <w:r>
        <w:rPr>
          <w:rFonts w:ascii="Times New Roman;serif" w:hAnsi="Times New Roman;serif"/>
          <w:b w:val="false"/>
          <w:color w:val="000000"/>
          <w:sz w:val="22"/>
          <w:shd w:fill="FFFFFF" w:val="clear"/>
        </w:rPr>
        <w:t>increased 6.4% to ($1.84), due to fewer shares outstanding as a result of share repurchases, partially offset by an improved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Capital Allocation</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Company reported the following related to its capital structure: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Year to date, the Company has returned $507.7 million to shareholders in the form of dividends and share repurchases.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2"/>
          <w:shd w:fill="FFFFFF" w:val="clear"/>
        </w:rPr>
        <w:t>The Company has approximately $700 million remaining on its $1.5 billion share repurchase program.</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Fiscal Year 2026 Outlook Reaffirmed</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Company continues to expect: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Revenue to be in the range of $3.875 to $3.895 billion.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EBITDA</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to be in the range of $1.015 to $1.035 billion.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Effective tax rate to be approximately 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Adjusted Diluted Earnings Per Share</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to be in the range of $4.85 to $5.00.</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276"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will host a conference call for analysts and investors to discuss second quarter 2026 results at 4:30 p.m. ET on Tuesday, February 3, 2026. To join live, participants must register at https://register-conf.media-server.com/register/BI4f5e380c7eac4ff797fe8d672ac49bf4. Once registered, the participant will receive a dial-in number and unique PIN to access the call. Please join approximately 5 minutes prior to the scheduled start time. </w:t>
      </w:r>
    </w:p>
    <w:p>
      <w:pPr>
        <w:pStyle w:val="TextBody"/>
        <w:bidi w:val="0"/>
        <w:spacing w:lineRule="auto" w:line="276"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call, along with a presentation for viewing, will also be webcast in a listen-only format for the media and general public. The webcast can be accessed directly at https://edge.media-server.com/mmc/p/c4dfnsou/lan/en/ and will be available for replay 2 hours after the call is concluded and continuing for 90 days. </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About H&amp;R Block</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H&amp;R Block, Inc. (NYSE: HRB) provides help and inspires confidence in its clients and communities everywhere through global tax preparation services, financial products, and small-business solutions. The company blends digital innovation with human expertise and care as it helps people get the best outcome at tax time and also be better with money using its mobile banking app, Spruce. Through Block Advisors and Wave, the company helps small-business owners thrive with year-round bookkeeping, payroll, advisory, and payment processing solutions. For more information, visit H&amp;R Block News.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About Non-GAAP Financial Information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This press release and the accompanying tables include non-GAAP financial information. For a description of these non-GAAP financial measures, including the reasons management uses each measure, and reconciliations of these non-GAAP financial measures to the most directly comparable financial measures prepared in accordance with generally accepted accounting principles, please see the section of the accompanying tables titled "Non-GAAP Financial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69950"/>
                <wp:effectExtent l="0" t="0" r="0" b="0"/>
                <wp:wrapNone/>
                <wp:docPr id="6" name="Frame5"/>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68" w:before="0" w:after="0"/>
                              <w:jc w:val="both"/>
                              <w:rPr/>
                            </w:pPr>
                            <w:r>
                              <w:rPr>
                                <w:rFonts w:ascii="Times New Roman;serif" w:hAnsi="Times New Roman;serif"/>
                                <w:b w:val="false"/>
                                <w:color w:val="000000"/>
                                <w:sz w:val="8"/>
                              </w:rPr>
                              <w:t>2</w:t>
                            </w:r>
                            <w:r>
                              <w:rPr>
                                <w:rFonts w:ascii="Times New Roman;serif" w:hAnsi="Times New Roman;serif"/>
                                <w:b w:val="false"/>
                                <w:color w:val="000000"/>
                                <w:sz w:val="12"/>
                              </w:rPr>
                              <w:t>All per share amounts are based on fully diluted shares at the end of the corresponding period. The Company reports non-GAAP financial measures of performance, including adjusted earnings per share (EPS), earnings before interest, tax, depreciation, and amortization (EBITDA) from continuing operations, free cash flow, and free cash flow yield, which it considers to be useful metrics for management and investors to evaluate and compare the ongoing operating performance of the Company. See "About Non-GAAP Financial Information" below for more information regarding financial measures not prepared in accordance with generally accepted accounting principles (GAAP).</w:t>
                            </w:r>
                            <w:r>
                              <w:br w:type="page"/>
                            </w:r>
                          </w:p>
                          <w:p>
                            <w:pPr>
                              <w:pStyle w:val="TextBody"/>
                              <w:bidi w:val="0"/>
                              <w:spacing w:lineRule="auto" w:line="268" w:before="0" w:after="0"/>
                              <w:jc w:val="both"/>
                              <w:rPr/>
                            </w:pPr>
                            <w:r>
                              <w:rPr>
                                <w:rFonts w:ascii="Times New Roman;serif" w:hAnsi="Times New Roman;serif"/>
                                <w:b w:val="false"/>
                                <w:color w:val="000000"/>
                                <w:sz w:val="8"/>
                              </w:rPr>
                              <w:t>3</w:t>
                            </w:r>
                            <w:r>
                              <w:rPr>
                                <w:rFonts w:ascii="Times New Roman;serif" w:hAnsi="Times New Roman;serif"/>
                                <w:b w:val="false"/>
                                <w:color w:val="000000"/>
                                <w:sz w:val="12"/>
                              </w:rPr>
                              <w:t>Adjusted Diluted Earnings Per Share (EPS) and earnings before interest, tax, depreciation, and amortization (EBITDA) from continuing operations are non-GAAP financial measures. Future period non-GAAP outlook includes adjustments for items not indicative of our core operations, which may include, without limitation, items described in the below section titled “Non-GAAP Financial Information” and in the accompanying tables. Such adjustments may be affected by changes in ongoing assumptions and judgments, as well as nonrecurring, unusual, or unanticipated charges, expenses or gains, or other items that may not directly correlate to the underlying performance of our business operations. The exact amounts of these adjustments are not currently determinable but may be significant. It is therefore not practicable to provide the comparable GAAP measures or reconcile this non-GAAP outlook to the most comparable GAAP measures.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both"/>
                        <w:rPr/>
                      </w:pPr>
                      <w:r>
                        <w:rPr>
                          <w:rFonts w:ascii="Times New Roman;serif" w:hAnsi="Times New Roman;serif"/>
                          <w:b w:val="false"/>
                          <w:color w:val="000000"/>
                          <w:sz w:val="8"/>
                        </w:rPr>
                        <w:t>2</w:t>
                      </w:r>
                      <w:r>
                        <w:rPr>
                          <w:rFonts w:ascii="Times New Roman;serif" w:hAnsi="Times New Roman;serif"/>
                          <w:b w:val="false"/>
                          <w:color w:val="000000"/>
                          <w:sz w:val="12"/>
                        </w:rPr>
                        <w:t>All per share amounts are based on fully diluted shares at the end of the corresponding period. The Company reports non-GAAP financial measures of performance, including adjusted earnings per share (EPS), earnings before interest, tax, depreciation, and amortization (EBITDA) from continuing operations, free cash flow, and free cash flow yield, which it considers to be useful metrics for management and investors to evaluate and compare the ongoing operating performance of the Company. See "About Non-GAAP Financial Information" below for more information regarding financial measures not prepared in accordance with generally accepted accounting principles (GAAP).</w:t>
                      </w:r>
                    </w:p>
                    <w:p>
                      <w:pPr>
                        <w:pStyle w:val="TextBody"/>
                        <w:bidi w:val="0"/>
                        <w:spacing w:lineRule="auto" w:line="268" w:before="0" w:after="0"/>
                        <w:jc w:val="both"/>
                        <w:rPr/>
                      </w:pPr>
                      <w:r>
                        <w:rPr>
                          <w:rFonts w:ascii="Times New Roman;serif" w:hAnsi="Times New Roman;serif"/>
                          <w:b w:val="false"/>
                          <w:color w:val="000000"/>
                          <w:sz w:val="8"/>
                        </w:rPr>
                        <w:t>3</w:t>
                      </w:r>
                      <w:r>
                        <w:rPr>
                          <w:rFonts w:ascii="Times New Roman;serif" w:hAnsi="Times New Roman;serif"/>
                          <w:b w:val="false"/>
                          <w:color w:val="000000"/>
                          <w:sz w:val="12"/>
                        </w:rPr>
                        <w:t>Adjusted Diluted Earnings Per Share (EPS) and earnings before interest, tax, depreciation, and amortization (EBITDA) from continuing operations are non-GAAP financial measures. Future period non-GAAP outlook includes adjustments for items not indicative of our core operations, which may include, without limitation, items described in the below section titled “Non-GAAP Financial Information” and in the accompanying tables. Such adjustments may be affected by changes in ongoing assumptions and judgments, as well as nonrecurring, unusual, or unanticipated charges, expenses or gains, or other items that may not directly correlate to the underlying performance of our business operations. The exact amounts of these adjustments are not currently determinable but may be significant. It is therefore not practicable to provide the comparable GAAP measures or reconcile this non-GAAP outlook to the most comparable GAAP measures.</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Forward-Looking Statements </w:t>
      </w:r>
    </w:p>
    <w:p>
      <w:pPr>
        <w:pStyle w:val="TextBody"/>
        <w:bidi w:val="0"/>
        <w:spacing w:lineRule="auto" w:line="288" w:before="12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press release contains forward-looking statements within the meaning of the securities laws.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or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products or services,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 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and regulatory factors, many of which are beyond the Company's control, that are described in our Annual Report on Form 10-K for the most recently completed fiscal year in the section entitled "Risk Factors" and additional factors we may describe from time to time in other filings with the Securities and Exchange Commission. You may get such filings for free at our website at https://investors.hrblock.com. In addition, factors that may cause the Company’s actual estimated effective tax rate to differ from estimates include the Company’s actual results from operations compared to current estimates, future discrete items, changes in interpretations and assumptions the Company has made, future actions of the Company, or increases in applicable tax rates in jurisdictions where the Company operates. You should understand that it is not possible to predict or identify all such factors and, consequently, you should not consider any such list to be a complete set of all potential risks or uncertainties.</w:t>
      </w:r>
    </w:p>
    <w:tbl>
      <w:tblPr>
        <w:tblW w:w="8370" w:type="dxa"/>
        <w:jc w:val="left"/>
        <w:tblInd w:w="0" w:type="dxa"/>
        <w:tblLayout w:type="fixed"/>
        <w:tblCellMar>
          <w:top w:w="28" w:type="dxa"/>
          <w:left w:w="28" w:type="dxa"/>
          <w:bottom w:w="28" w:type="dxa"/>
          <w:right w:w="28" w:type="dxa"/>
        </w:tblCellMar>
      </w:tblPr>
      <w:tblGrid>
        <w:gridCol w:w="677"/>
        <w:gridCol w:w="598"/>
        <w:gridCol w:w="600"/>
        <w:gridCol w:w="270"/>
        <w:gridCol w:w="270"/>
        <w:gridCol w:w="270"/>
        <w:gridCol w:w="1649"/>
        <w:gridCol w:w="1649"/>
        <w:gridCol w:w="2387"/>
      </w:tblGrid>
      <w:tr>
        <w:trPr/>
        <w:tc>
          <w:tcPr>
            <w:tcW w:w="67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r>
      <w:tr>
        <w:trPr/>
        <w:tc>
          <w:tcPr>
            <w:tcW w:w="8370" w:type="dxa"/>
            <w:gridSpan w:val="9"/>
            <w:tcBorders/>
            <w:tcMar>
              <w:top w:w="0" w:type="dxa"/>
              <w:left w:w="0" w:type="dxa"/>
              <w:bottom w:w="0" w:type="dxa"/>
              <w:right w:w="0" w:type="dxa"/>
            </w:tcMar>
            <w:vAlign w:val="center"/>
          </w:tcPr>
          <w:p>
            <w:pPr>
              <w:pStyle w:val="TableContents"/>
              <w:bidi w:val="0"/>
              <w:spacing w:lineRule="auto" w:line="192" w:before="0" w:after="283"/>
              <w:jc w:val="left"/>
              <w:rPr>
                <w:rFonts w:ascii="Times New Roman;serif" w:hAnsi="Times New Roman;serif"/>
                <w:b/>
                <w:color w:val="000000"/>
                <w:sz w:val="22"/>
              </w:rPr>
            </w:pPr>
            <w:r>
              <w:rPr>
                <w:rFonts w:ascii="Times New Roman;serif" w:hAnsi="Times New Roman;serif"/>
                <w:b/>
                <w:color w:val="000000"/>
                <w:sz w:val="22"/>
              </w:rPr>
              <w:t>For Further Information</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Jessica Hazel, (816) 854-4214, jessica.hazel@hrblock.com</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 Relations: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Media Desk, mediadesk@hrblock.com</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619125" cy="6096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19125" cy="6096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13"/>
        <w:gridCol w:w="1031"/>
        <w:gridCol w:w="1034"/>
        <w:gridCol w:w="109"/>
        <w:gridCol w:w="109"/>
        <w:gridCol w:w="109"/>
        <w:gridCol w:w="237"/>
        <w:gridCol w:w="1077"/>
        <w:gridCol w:w="114"/>
        <w:gridCol w:w="114"/>
        <w:gridCol w:w="114"/>
        <w:gridCol w:w="114"/>
        <w:gridCol w:w="237"/>
        <w:gridCol w:w="1062"/>
        <w:gridCol w:w="114"/>
        <w:gridCol w:w="109"/>
        <w:gridCol w:w="109"/>
        <w:gridCol w:w="109"/>
        <w:gridCol w:w="226"/>
        <w:gridCol w:w="1026"/>
        <w:gridCol w:w="109"/>
        <w:gridCol w:w="109"/>
        <w:gridCol w:w="109"/>
        <w:gridCol w:w="109"/>
        <w:gridCol w:w="226"/>
        <w:gridCol w:w="1011"/>
        <w:gridCol w:w="165"/>
      </w:tblGrid>
      <w:tr>
        <w:trPr/>
        <w:tc>
          <w:tcPr>
            <w:tcW w:w="12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 except per share amounts)</w:t>
            </w:r>
          </w:p>
        </w:tc>
      </w:tr>
      <w:tr>
        <w:trPr/>
        <w:tc>
          <w:tcPr>
            <w:tcW w:w="3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3090" w:type="dxa"/>
            <w:gridSpan w:val="9"/>
            <w:tcBorders>
              <w:top w:val="single" w:sz="8" w:space="0" w:color="000000"/>
              <w:right w:val="single" w:sz="8" w:space="0" w:color="000000"/>
            </w:tcBorders>
            <w:shd w:fill="99CC33" w:val="clear"/>
            <w:tcMar>
              <w:top w:w="30" w:type="dxa"/>
              <w:left w:w="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2024</w:t>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Assisted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55,919</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48,380 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104,563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91,343 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Royalties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5,108</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DIY tax preparation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16,807</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13,744 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20,552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16,980 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Refund Transfers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638</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Peace of Mind® Extended Service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16,231</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16,145 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39,740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39,242 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 Identity 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4,244</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4,013 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8,366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7,922 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12,845</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11,824 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26,321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25,633 </w:t>
            </w:r>
          </w:p>
        </w:tc>
        <w:tc>
          <w:tcPr>
            <w:tcW w:w="165"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U.S. tax preparation and related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111,792</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98,242 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211,980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191,968 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Emerald Card® and Spruce</w:t>
            </w:r>
            <w:r>
              <w:rPr>
                <w:rFonts w:ascii="sans-serif" w:hAnsi="sans-serif"/>
                <w:b w:val="false"/>
                <w:color w:val="000000"/>
                <w:sz w:val="12"/>
              </w:rPr>
              <w:t>SM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9,124</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10,148 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16,976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18,974 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and fee income on Emerald Advance®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12,308 </w:t>
            </w:r>
          </w:p>
        </w:tc>
        <w:tc>
          <w:tcPr>
            <w:tcW w:w="165"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22,570</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22,456 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30,422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31,282 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34,718</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96,666 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29,785</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26,561 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59,635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52,964 </w:t>
            </w:r>
          </w:p>
        </w:tc>
        <w:tc>
          <w:tcPr>
            <w:tcW w:w="165"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198,865</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179,070 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402,416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372,880 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Field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94,177</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81,565 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163,892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149,659 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wages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73,005</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78,731 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152,284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156,066 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Benefits and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39,989</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76,651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77,156 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207,171</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198,698 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392,827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382,881 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Occupancy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109,592</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104,999 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212,388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206,317 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Marketing and advertising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14,995</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14,863 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23,337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24,835 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30,001</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29,195 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58,923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58,026 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21,816</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19,416 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24,021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22,146 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114,169</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105,190 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196,830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200,297 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497,744</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472,361 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908,326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894,502 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3,034</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2,744 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11,136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14,661 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(23,378)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(21,752)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(37,599)</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(319,223)</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(312,299)</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(535,554)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(544,560)</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(77,657)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(69,833)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(128,620)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(130,673)</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(600)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(2,109)</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BASIC AND DILUTED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(1.92)</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WEIGHTED AVERAGE DILUTED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126,566</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135,563 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128,976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137,359 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Adjusted diluted EPS </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(1.84)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EBITDA </w:t>
            </w:r>
            <w:r>
              <w:rPr>
                <w:rFonts w:ascii="sans-serif" w:hAnsi="sans-serif"/>
                <w:b w:val="false"/>
                <w:color w:val="000000"/>
                <w:sz w:val="12"/>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(265,844)</w:t>
            </w:r>
          </w:p>
        </w:tc>
        <w:tc>
          <w:tcPr>
            <w:tcW w:w="11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(261,352)</w:t>
            </w:r>
          </w:p>
        </w:tc>
        <w:tc>
          <w:tcPr>
            <w:tcW w:w="11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(435,851)</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(448,935)</w:t>
            </w:r>
          </w:p>
        </w:tc>
        <w:tc>
          <w:tcPr>
            <w:tcW w:w="16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 xml:space="preserve">(1) </w:t>
      </w:r>
      <w:r>
        <w:rPr>
          <w:rFonts w:ascii="sans-serif" w:hAnsi="sans-serif"/>
          <w:b w:val="false"/>
          <w:color w:val="000000"/>
          <w:sz w:val="14"/>
        </w:rPr>
        <w:t>All non-GAAP measures are results from continuing operations. See "</w:t>
      </w:r>
      <w:hyperlink w:anchor="ib2db942166ed4b4e80beb81d15214d6b_28">
        <w:r>
          <w:rPr>
            <w:rStyle w:val="InternetLink"/>
            <w:rFonts w:ascii="sans-serif" w:hAnsi="sans-serif"/>
            <w:b w:val="false"/>
            <w:color w:val="0000FF"/>
            <w:sz w:val="14"/>
            <w:u w:val="single"/>
          </w:rPr>
          <w:t>Non-GAAP Financial Information</w:t>
        </w:r>
      </w:hyperlink>
      <w:r>
        <w:rPr>
          <w:rFonts w:ascii="sans-serif" w:hAnsi="sans-serif"/>
          <w:b w:val="false"/>
          <w:color w:val="000000"/>
          <w:sz w:val="14"/>
        </w:rPr>
        <w:t xml:space="preserve">" for a reconciliation of non-GAAP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19125" cy="609600"/>
                    </a:xfrm>
                    <a:prstGeom prst="rect">
                      <a:avLst/>
                    </a:prstGeom>
                  </pic:spPr>
                </pic:pic>
              </a:graphicData>
            </a:graphic>
          </wp:inline>
        </w:drawing>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80"/>
        <w:gridCol w:w="1828"/>
        <w:gridCol w:w="1832"/>
        <w:gridCol w:w="109"/>
        <w:gridCol w:w="109"/>
        <w:gridCol w:w="109"/>
        <w:gridCol w:w="310"/>
        <w:gridCol w:w="1590"/>
        <w:gridCol w:w="148"/>
        <w:gridCol w:w="123"/>
        <w:gridCol w:w="123"/>
        <w:gridCol w:w="123"/>
        <w:gridCol w:w="257"/>
        <w:gridCol w:w="1283"/>
        <w:gridCol w:w="181"/>
      </w:tblGrid>
      <w:tr>
        <w:trPr/>
        <w:tc>
          <w:tcPr>
            <w:tcW w:w="208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 - except per share data)</w:t>
            </w:r>
          </w:p>
        </w:tc>
      </w:tr>
      <w:tr>
        <w:trPr/>
        <w:tc>
          <w:tcPr>
            <w:tcW w:w="5740"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 of</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 2025</w:t>
            </w:r>
          </w:p>
        </w:tc>
        <w:tc>
          <w:tcPr>
            <w:tcW w:w="36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June 30, 2025</w:t>
            </w:r>
          </w:p>
        </w:tc>
      </w:tr>
      <w:tr>
        <w:trPr/>
        <w:tc>
          <w:tcPr>
            <w:tcW w:w="5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349,194</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983,277 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 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19,662</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19,862 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352,480</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63,621 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120,442</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95,788 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841,778</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1,162,548 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149,554</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135,068 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 of 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488,082</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521,215 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271,054</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259,412 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815,618</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802,053 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 and income taxes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300,074</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317,691 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63,850</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2,930,010</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145,801</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144,046 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salaries, wages and payroll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74,262</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107,375 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income taxes and reserves for 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44,897</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296,244 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349,893 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200,653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209,203 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189,216</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191,849 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654,829</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1,298,610 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and line of credit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2,435,379</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1,143,305 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 and reserves for uncertain tax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298,986</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306,134 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299,003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322,847 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and 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64,891</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104,106 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3,753,088</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3,175,002 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 no par, stated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1,565</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768,531</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766,998 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(51,338)</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(47,755)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(904,840)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12,061 </w:t>
            </w:r>
          </w:p>
        </w:tc>
        <w:tc>
          <w:tcPr>
            <w:tcW w:w="18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treasury shares,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(636,996)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(644,052)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stockholders' equity (deficiency)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(823,078)</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88,896 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5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2,930,010</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3,263,898 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619125" cy="609600"/>
                    </a:xfrm>
                    <a:prstGeom prst="rect">
                      <a:avLst/>
                    </a:prstGeom>
                  </pic:spPr>
                </pic:pic>
              </a:graphicData>
            </a:graphic>
          </wp:inline>
        </w:drawing>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56"/>
        <w:gridCol w:w="2154"/>
        <w:gridCol w:w="2157"/>
        <w:gridCol w:w="109"/>
        <w:gridCol w:w="109"/>
        <w:gridCol w:w="109"/>
        <w:gridCol w:w="226"/>
        <w:gridCol w:w="1040"/>
        <w:gridCol w:w="109"/>
        <w:gridCol w:w="109"/>
        <w:gridCol w:w="109"/>
        <w:gridCol w:w="109"/>
        <w:gridCol w:w="226"/>
        <w:gridCol w:w="1025"/>
        <w:gridCol w:w="158"/>
      </w:tblGrid>
      <w:tr>
        <w:trPr/>
        <w:tc>
          <w:tcPr>
            <w:tcW w:w="2456"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CONSOLIDATED STATEMENTS OF CASH 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(unaudited, in 000s)</w:t>
            </w:r>
          </w:p>
        </w:tc>
      </w:tr>
      <w:tr>
        <w:trPr/>
        <w:tc>
          <w:tcPr>
            <w:tcW w:w="6767"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Six months ended December 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2024</w:t>
            </w:r>
          </w:p>
        </w:tc>
      </w:tr>
      <w:tr>
        <w:trPr/>
        <w:tc>
          <w:tcPr>
            <w:tcW w:w="6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loss to net cash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58,923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58,026 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21,144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20,727 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18,723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13,799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assets and liabilities, net of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(300,004)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(262,348)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(2,290)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accrued expenses, salaries, wages and payroll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(44,968)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(76,806)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 other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(49,863)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(45,170)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receivables, accrued income taxes and income tax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(276,943)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(192,340)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(970,788)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(895,638)</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(48,735)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(49,115)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made for business acquisitions,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(35,366)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(28,017)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Franchise loans funded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(15,051)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(17,442)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from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(91,925)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(87,493)</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line of credit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line of credit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975,000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890,000 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Repayments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(350,000)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346,980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(104,551)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(96,960)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 of common stock, including shares surrendered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(412,645)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(436,233)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4,752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429,536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258,598 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Effects of exchange rate changes on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(1,106)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(9,136)</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decrease in cash and cash equivalents, including restricted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(634,283)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(733,669)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1,003,139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1,075,193 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368,856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341,524 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SUPPLEMENTARY CASH FLOW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 paid, net (includes payments for purchased investment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129,250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62,290 </w:t>
            </w:r>
          </w:p>
        </w:tc>
        <w:tc>
          <w:tcPr>
            <w:tcW w:w="15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paid on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35,135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33,412 </w:t>
            </w:r>
          </w:p>
        </w:tc>
        <w:tc>
          <w:tcPr>
            <w:tcW w:w="15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additions to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3,117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3,798 </w:t>
            </w:r>
          </w:p>
        </w:tc>
        <w:tc>
          <w:tcPr>
            <w:tcW w:w="15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New operating right of use assets and related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85,455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47,135 </w:t>
            </w:r>
          </w:p>
        </w:tc>
        <w:tc>
          <w:tcPr>
            <w:tcW w:w="158"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dividends payable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53,215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50,176 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67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19125" cy="6096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619125" cy="6096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196"/>
        <w:gridCol w:w="1052"/>
        <w:gridCol w:w="1054"/>
        <w:gridCol w:w="109"/>
        <w:gridCol w:w="109"/>
        <w:gridCol w:w="109"/>
        <w:gridCol w:w="237"/>
        <w:gridCol w:w="1071"/>
        <w:gridCol w:w="114"/>
        <w:gridCol w:w="114"/>
        <w:gridCol w:w="114"/>
        <w:gridCol w:w="114"/>
        <w:gridCol w:w="237"/>
        <w:gridCol w:w="1055"/>
        <w:gridCol w:w="114"/>
        <w:gridCol w:w="109"/>
        <w:gridCol w:w="109"/>
        <w:gridCol w:w="109"/>
        <w:gridCol w:w="226"/>
        <w:gridCol w:w="1023"/>
        <w:gridCol w:w="109"/>
        <w:gridCol w:w="109"/>
        <w:gridCol w:w="109"/>
        <w:gridCol w:w="109"/>
        <w:gridCol w:w="226"/>
        <w:gridCol w:w="1008"/>
        <w:gridCol w:w="160"/>
      </w:tblGrid>
      <w:tr>
        <w:trPr/>
        <w:tc>
          <w:tcPr>
            <w:tcW w:w="119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(in 000s)</w:t>
            </w:r>
          </w:p>
        </w:tc>
      </w:tr>
      <w:tr>
        <w:trPr/>
        <w:tc>
          <w:tcPr>
            <w:tcW w:w="3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3170" w:type="dxa"/>
            <w:gridSpan w:val="9"/>
            <w:tcBorders>
              <w:top w:val="single" w:sz="8" w:space="0" w:color="000000"/>
            </w:tcBorders>
            <w:shd w:fill="99CC33"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3079" w:type="dxa"/>
            <w:gridSpan w:val="9"/>
            <w:tcBorders>
              <w:top w:val="single" w:sz="8" w:space="0" w:color="000000"/>
              <w:right w:val="single" w:sz="8" w:space="0" w:color="000000"/>
            </w:tcBorders>
            <w:shd w:fill="99CC33" w:val="clear"/>
            <w:tcMar>
              <w:top w:w="30" w:type="dxa"/>
              <w:left w:w="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302" w:type="dxa"/>
            <w:gridSpan w:val="3"/>
            <w:tcBorders>
              <w:top w:val="single" w:sz="8" w:space="0" w:color="000000"/>
              <w:left w:val="single" w:sz="8" w:space="0" w:color="000000"/>
            </w:tcBorders>
            <w:shd w:fill="99CC00"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NON-GAAP FINANCIAL MEASURE - EBITDA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2024</w:t>
            </w:r>
          </w:p>
        </w:tc>
      </w:tr>
      <w:tr>
        <w:trPr/>
        <w:tc>
          <w:tcPr>
            <w:tcW w:w="3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(242,166)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5"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(243,420)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(407,985)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(415,996)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Discontinued operations,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600</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1,051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2,109 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(77,657)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(128,620)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(130,673)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23,378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40,780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30,001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58,923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(24,278)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(18,886)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(28,917)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(35,048)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EBITDA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(265,844)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(261,352)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(435,851)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(448,935)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24"/>
        <w:gridCol w:w="1074"/>
        <w:gridCol w:w="1079"/>
        <w:gridCol w:w="109"/>
        <w:gridCol w:w="109"/>
        <w:gridCol w:w="109"/>
        <w:gridCol w:w="234"/>
        <w:gridCol w:w="1049"/>
        <w:gridCol w:w="113"/>
        <w:gridCol w:w="113"/>
        <w:gridCol w:w="113"/>
        <w:gridCol w:w="113"/>
        <w:gridCol w:w="234"/>
        <w:gridCol w:w="1034"/>
        <w:gridCol w:w="113"/>
        <w:gridCol w:w="109"/>
        <w:gridCol w:w="109"/>
        <w:gridCol w:w="109"/>
        <w:gridCol w:w="226"/>
        <w:gridCol w:w="1012"/>
        <w:gridCol w:w="109"/>
        <w:gridCol w:w="109"/>
        <w:gridCol w:w="109"/>
        <w:gridCol w:w="109"/>
        <w:gridCol w:w="226"/>
        <w:gridCol w:w="997"/>
        <w:gridCol w:w="161"/>
      </w:tblGrid>
      <w:tr>
        <w:trPr/>
        <w:tc>
          <w:tcPr>
            <w:tcW w:w="122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(in 000s, except per share amounts)</w:t>
            </w:r>
          </w:p>
        </w:tc>
      </w:tr>
      <w:tr>
        <w:trPr/>
        <w:tc>
          <w:tcPr>
            <w:tcW w:w="3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December 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Six months ended December 31,</w:t>
            </w:r>
          </w:p>
        </w:tc>
      </w:tr>
      <w:tr>
        <w:trPr/>
        <w:tc>
          <w:tcPr>
            <w:tcW w:w="3377" w:type="dxa"/>
            <w:gridSpan w:val="3"/>
            <w:tcBorders>
              <w:top w:val="single" w:sz="8" w:space="0" w:color="000000"/>
              <w:left w:val="single" w:sz="8" w:space="0" w:color="000000"/>
            </w:tcBorders>
            <w:shd w:fill="99CC00"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NON-GAAP FINANCIAL MEASURE - ADJUSTED EPS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left w:val="single" w:sz="8" w:space="0" w:color="000000"/>
            </w:tcBorders>
            <w:shd w:fill="99CC33"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left w:val="single" w:sz="8" w:space="0" w:color="000000"/>
              <w:right w:val="single" w:sz="8" w:space="0" w:color="000000"/>
            </w:tcBorders>
            <w:shd w:fill="99CC33" w:val="clear"/>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2024</w:t>
            </w:r>
          </w:p>
        </w:tc>
      </w:tr>
      <w:tr>
        <w:trPr/>
        <w:tc>
          <w:tcPr>
            <w:tcW w:w="3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(241,566)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(242,466)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2"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(406,934)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(413,887)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 related to acquisitions (pretax)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11,252</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10,910 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22,231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Tax effect of adjustments </w:t>
            </w:r>
            <w:r>
              <w:rPr>
                <w:rFonts w:ascii="sans-serif" w:hAnsi="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(2,444)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(5,184)</w:t>
            </w:r>
          </w:p>
        </w:tc>
        <w:tc>
          <w:tcPr>
            <w:tcW w:w="16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(232,758)</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(234,095)</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(389,939)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(397,033)</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loss per share from continuing operations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(1.91)</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0.07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0.13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0.13 </w:t>
            </w:r>
          </w:p>
        </w:tc>
        <w:tc>
          <w:tcPr>
            <w:tcW w:w="16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diluted loss per share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(1.84)</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t>
            </w:r>
          </w:p>
        </w:tc>
        <w:tc>
          <w:tcPr>
            <w:tcW w:w="10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sans-serif" w:hAnsi="sans-serif"/>
          <w:b w:val="false"/>
          <w:color w:val="000000"/>
          <w:sz w:val="9"/>
        </w:rPr>
        <w:t>(1)</w:t>
      </w:r>
      <w:r>
        <w:rPr>
          <w:rFonts w:ascii="sans-serif" w:hAnsi="sans-serif"/>
          <w:b w:val="false"/>
          <w:color w:val="000000"/>
          <w:sz w:val="14"/>
        </w:rPr>
        <w:t>Tax effect of adjustments is the difference between the tax provision calculated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and free cash flow. We also use EBITDA from continuing operations and pretax income from continuing operations, each subject to permitted adjustments, as performance metrics in incentive compensation calculations for our employees.</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3225</Words>
  <Characters>19233</Characters>
  <CharactersWithSpaces>22046</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