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Calibri;sans-serif" w:hAnsi="Calibri;sans-serif"/>
          <w:b/>
          <w:color w:val="000000"/>
          <w:sz w:val="20"/>
        </w:rPr>
      </w:pPr>
      <w:r>
        <w:rPr>
          <w:rFonts w:ascii="Calibri;sans-serif" w:hAnsi="Calibri;sans-serif"/>
          <w:b/>
          <w:color w:val="000000"/>
          <w:sz w:val="20"/>
        </w:rPr>
        <w:t>UNITED STATES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SECURITIES AND EXCHANGE COMMISSION</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Washington, D.C. 20549</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FORM 10-Q </w:t>
      </w:r>
    </w:p>
    <w:tbl>
      <w:tblPr>
        <w:tblW w:w="8942" w:type="dxa"/>
        <w:jc w:val="left"/>
        <w:tblInd w:w="0" w:type="dxa"/>
        <w:tblLayout w:type="fixed"/>
        <w:tblCellMar>
          <w:top w:w="28" w:type="dxa"/>
          <w:left w:w="28" w:type="dxa"/>
          <w:bottom w:w="28" w:type="dxa"/>
          <w:right w:w="28" w:type="dxa"/>
        </w:tblCellMar>
      </w:tblPr>
      <w:tblGrid>
        <w:gridCol w:w="128"/>
        <w:gridCol w:w="113"/>
        <w:gridCol w:w="113"/>
        <w:gridCol w:w="113"/>
        <w:gridCol w:w="113"/>
        <w:gridCol w:w="113"/>
        <w:gridCol w:w="1282"/>
        <w:gridCol w:w="1282"/>
        <w:gridCol w:w="1282"/>
        <w:gridCol w:w="1282"/>
        <w:gridCol w:w="1282"/>
        <w:gridCol w:w="1839"/>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45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(Mark One)</w:t>
            </w:r>
          </w:p>
        </w:tc>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QUARTERLY REPORT PURSUANT TO SECTION 13 OR 15(d) OF THE SECURITIES EXCHANGE ACT OF 1934</w:t>
            </w:r>
          </w:p>
        </w:tc>
      </w:tr>
      <w:tr>
        <w:trPr/>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For the quarterly period ended</w:t>
            </w:r>
          </w:p>
        </w:tc>
        <w:tc>
          <w:tcPr>
            <w:tcW w:w="44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0"/>
              </w:rPr>
            </w:pPr>
            <w:r>
              <w:rPr>
                <w:rFonts w:ascii="Calibri;sans-serif" w:hAnsi="Calibri;sans-serif"/>
                <w:b/>
                <w:color w:val="000000"/>
                <w:sz w:val="20"/>
              </w:rPr>
              <w:t>September 30, 2023</w:t>
            </w:r>
          </w:p>
        </w:tc>
      </w:tr>
      <w:tr>
        <w:trPr/>
        <w:tc>
          <w:tcPr>
            <w:tcW w:w="89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OR</w:t>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TRANSITION REPORT PURSUANT TO SECTION 13 OR 15(d) OF THE SECURITIES EXCHANGE ACT OF 1934</w:t>
            </w:r>
          </w:p>
        </w:tc>
      </w:tr>
      <w:tr>
        <w:trPr/>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 xml:space="preserve">For the transition period from to </w:t>
            </w:r>
          </w:p>
        </w:tc>
      </w:tr>
    </w:tbl>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 xml:space="preserve">Commission file number 1-06089 </w:t>
      </w:r>
    </w:p>
    <w:p>
      <w:pPr>
        <w:pStyle w:val="TextBody"/>
        <w:bidi w:val="0"/>
        <w:spacing w:before="120" w:after="283"/>
        <w:jc w:val="center"/>
        <w:rPr/>
      </w:pPr>
      <w:r>
        <w:rPr/>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 xml:space="preserve">H&amp;R Block, Inc. </w:t>
      </w:r>
    </w:p>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(Exact name of registrant as specified in its charter)</w:t>
      </w:r>
    </w:p>
    <w:tbl>
      <w:tblPr>
        <w:tblW w:w="3851" w:type="dxa"/>
        <w:jc w:val="left"/>
        <w:tblInd w:w="0" w:type="dxa"/>
        <w:tblLayout w:type="fixed"/>
        <w:tblCellMar>
          <w:top w:w="28" w:type="dxa"/>
          <w:left w:w="28" w:type="dxa"/>
          <w:bottom w:w="28" w:type="dxa"/>
          <w:right w:w="28" w:type="dxa"/>
        </w:tblCellMar>
      </w:tblPr>
      <w:tblGrid>
        <w:gridCol w:w="781"/>
        <w:gridCol w:w="685"/>
        <w:gridCol w:w="693"/>
        <w:gridCol w:w="109"/>
        <w:gridCol w:w="109"/>
        <w:gridCol w:w="109"/>
        <w:gridCol w:w="399"/>
        <w:gridCol w:w="399"/>
        <w:gridCol w:w="567"/>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44-0607856</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(I.R.S. Employer</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Identification No.)</w:t>
            </w:r>
          </w:p>
        </w:tc>
      </w:tr>
    </w:tbl>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 xml:space="preserve">One H&amp;R Block Way, Kansas City, Missouri 64105 </w:t>
      </w:r>
    </w:p>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(Address of principal executive offices, including zip code)</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 xml:space="preserve">(816) 854-3000 </w:t>
      </w:r>
    </w:p>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(Registrant's telephone number, including area code)</w:t>
      </w:r>
    </w:p>
    <w:p>
      <w:pPr>
        <w:pStyle w:val="TextBody"/>
        <w:bidi w:val="0"/>
        <w:spacing w:lineRule="auto" w:line="288" w:before="60" w:after="283"/>
        <w:jc w:val="center"/>
        <w:rPr>
          <w:rFonts w:ascii="Calibri;sans-serif" w:hAnsi="Calibri;sans-serif"/>
          <w:b/>
          <w:color w:val="000000"/>
          <w:sz w:val="18"/>
        </w:rPr>
      </w:pPr>
      <w:r>
        <w:rPr>
          <w:rFonts w:ascii="Calibri;sans-serif" w:hAnsi="Calibri;sans-serif"/>
          <w:b/>
          <w:color w:val="000000"/>
          <w:sz w:val="18"/>
        </w:rPr>
        <w:t>Securities registered pursuant to Section 12(b) of the Act:</w:t>
      </w:r>
    </w:p>
    <w:tbl>
      <w:tblPr>
        <w:tblW w:w="7078" w:type="dxa"/>
        <w:jc w:val="left"/>
        <w:tblInd w:w="0" w:type="dxa"/>
        <w:tblLayout w:type="fixed"/>
        <w:tblCellMar>
          <w:top w:w="28" w:type="dxa"/>
          <w:left w:w="28" w:type="dxa"/>
          <w:bottom w:w="28" w:type="dxa"/>
          <w:right w:w="28" w:type="dxa"/>
        </w:tblCellMar>
      </w:tblPr>
      <w:tblGrid>
        <w:gridCol w:w="938"/>
        <w:gridCol w:w="823"/>
        <w:gridCol w:w="833"/>
        <w:gridCol w:w="434"/>
        <w:gridCol w:w="434"/>
        <w:gridCol w:w="436"/>
        <w:gridCol w:w="931"/>
        <w:gridCol w:w="931"/>
        <w:gridCol w:w="1318"/>
      </w:tblGrid>
      <w:tr>
        <w:trPr/>
        <w:tc>
          <w:tcPr>
            <w:tcW w:w="93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Title of each class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Trading Symbol(s)</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Name of each exchange on which registered</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Common Stock, without par value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HRB</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New York Stock Exchange</w:t>
            </w:r>
          </w:p>
        </w:tc>
      </w:tr>
    </w:tbl>
    <w:p>
      <w:pPr>
        <w:pStyle w:val="TextBody"/>
        <w:bidi w:val="0"/>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both"/>
        <w:rPr/>
      </w:pPr>
      <w:r>
        <w:rPr>
          <w:rFonts w:ascii="Calibri;sans-serif" w:hAnsi="Calibri;sans-serif"/>
          <w:b w:val="false"/>
          <w:color w:val="000000"/>
          <w:sz w:val="18"/>
        </w:rPr>
        <w:t xml:space="preserve">Yes </w:t>
      </w:r>
      <w:r>
        <w:rPr>
          <w:color w:val="000000"/>
        </w:rPr>
        <w:t>☑     </w:t>
      </w:r>
      <w:r>
        <w:rPr>
          <w:rFonts w:ascii="Calibri;sans-serif" w:hAnsi="Calibri;sans-serif"/>
          <w:b w:val="false"/>
          <w:color w:val="000000"/>
          <w:sz w:val="18"/>
        </w:rPr>
        <w:t xml:space="preserve">No </w:t>
      </w:r>
      <w:r>
        <w:rPr>
          <w:color w:val="000000"/>
        </w:rPr>
        <w:t>☐</w:t>
      </w:r>
    </w:p>
    <w:p>
      <w:pPr>
        <w:pStyle w:val="TextBody"/>
        <w:bidi w:val="0"/>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60" w:after="283"/>
        <w:jc w:val="both"/>
        <w:rPr/>
      </w:pPr>
      <w:r>
        <w:rPr>
          <w:rFonts w:ascii="Calibri;sans-serif" w:hAnsi="Calibri;sans-serif"/>
          <w:b w:val="false"/>
          <w:color w:val="000000"/>
          <w:sz w:val="18"/>
        </w:rPr>
        <w:t xml:space="preserve">Yes </w:t>
      </w:r>
      <w:r>
        <w:rPr>
          <w:color w:val="000000"/>
        </w:rPr>
        <w:t>☑     </w:t>
      </w:r>
      <w:r>
        <w:rPr>
          <w:rFonts w:ascii="Calibri;sans-serif" w:hAnsi="Calibri;sans-serif"/>
          <w:b w:val="false"/>
          <w:color w:val="000000"/>
          <w:sz w:val="18"/>
        </w:rPr>
        <w:t xml:space="preserve">No </w:t>
      </w:r>
      <w:r>
        <w:rPr>
          <w:color w:val="000000"/>
        </w:rPr>
        <w:t>☐</w:t>
      </w:r>
    </w:p>
    <w:p>
      <w:pPr>
        <w:pStyle w:val="TextBody"/>
        <w:bidi w:val="0"/>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120" w:after="283"/>
        <w:jc w:val="both"/>
        <w:rPr/>
      </w:pPr>
      <w:r>
        <w:rPr>
          <w:rFonts w:ascii="Calibri;sans-serif" w:hAnsi="Calibri;sans-serif"/>
          <w:b w:val="false"/>
          <w:color w:val="000000"/>
          <w:sz w:val="15"/>
        </w:rPr>
        <w:t xml:space="preserve">Large accelerated filer </w:t>
      </w:r>
      <w:r>
        <w:rPr>
          <w:color w:val="000000"/>
        </w:rPr>
        <w:t>☑           </w:t>
      </w:r>
      <w:r>
        <w:rPr>
          <w:rFonts w:ascii="Calibri;sans-serif" w:hAnsi="Calibri;sans-serif"/>
          <w:b w:val="false"/>
          <w:color w:val="000000"/>
          <w:sz w:val="15"/>
        </w:rPr>
        <w:t xml:space="preserve">Accelerated filer </w:t>
      </w:r>
      <w:r>
        <w:rPr>
          <w:color w:val="000000"/>
        </w:rPr>
        <w:t xml:space="preserve">☐         </w:t>
      </w:r>
      <w:r>
        <w:rPr>
          <w:rFonts w:ascii="Calibri;sans-serif" w:hAnsi="Calibri;sans-serif"/>
          <w:b w:val="false"/>
          <w:color w:val="000000"/>
          <w:sz w:val="15"/>
        </w:rPr>
        <w:t xml:space="preserve">Non-accelerated filer </w:t>
      </w:r>
      <w:r>
        <w:rPr>
          <w:color w:val="000000"/>
        </w:rPr>
        <w:t xml:space="preserve">☐          </w:t>
      </w:r>
      <w:r>
        <w:rPr>
          <w:rFonts w:ascii="Calibri;sans-serif" w:hAnsi="Calibri;sans-serif"/>
          <w:b w:val="false"/>
          <w:color w:val="000000"/>
          <w:sz w:val="15"/>
        </w:rPr>
        <w:t>Smaller reporting company </w:t>
      </w:r>
      <w:r>
        <w:rPr>
          <w:color w:val="000000"/>
        </w:rPr>
        <w:t xml:space="preserve">☐ </w:t>
      </w:r>
      <w:r>
        <w:rPr>
          <w:rFonts w:ascii="Calibri;sans-serif" w:hAnsi="Calibri;sans-serif"/>
          <w:b w:val="false"/>
          <w:color w:val="000000"/>
          <w:sz w:val="15"/>
        </w:rPr>
        <w:t xml:space="preserve">Emerging growth company </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60" w:after="283"/>
        <w:jc w:val="both"/>
        <w:rPr/>
      </w:pPr>
      <w:r>
        <w:rPr>
          <w:rFonts w:ascii="Calibri;sans-serif" w:hAnsi="Calibri;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 xml:space="preserve">Indicate by check mark whether the registrant is a shell company (as defined in Rule 12b-2 of the Exchange Act). </w:t>
      </w:r>
    </w:p>
    <w:p>
      <w:pPr>
        <w:pStyle w:val="TextBody"/>
        <w:bidi w:val="0"/>
        <w:spacing w:lineRule="auto" w:line="288" w:before="60" w:after="283"/>
        <w:jc w:val="both"/>
        <w:rPr/>
      </w:pPr>
      <w:r>
        <w:rPr>
          <w:rFonts w:ascii="Calibri;sans-serif" w:hAnsi="Calibri;sans-serif"/>
          <w:b w:val="false"/>
          <w:color w:val="000000"/>
          <w:sz w:val="18"/>
        </w:rPr>
        <w:t xml:space="preserve">Yes </w:t>
      </w:r>
      <w:r>
        <w:rPr>
          <w:color w:val="000000"/>
        </w:rPr>
        <w:t>☐    </w:t>
      </w:r>
      <w:r>
        <w:rPr>
          <w:rFonts w:ascii="Calibri;sans-serif" w:hAnsi="Calibri;sans-serif"/>
          <w:b w:val="false"/>
          <w:color w:val="000000"/>
          <w:sz w:val="18"/>
        </w:rPr>
        <w:t>No  </w:t>
      </w:r>
      <w:r>
        <w:rPr>
          <w:color w:val="000000"/>
        </w:rPr>
        <w:t>☑</w:t>
      </w:r>
    </w:p>
    <w:p>
      <w:pPr>
        <w:pStyle w:val="TextBody"/>
        <w:bidi w:val="0"/>
        <w:spacing w:lineRule="auto" w:line="288" w:before="120" w:after="120"/>
        <w:jc w:val="both"/>
        <w:rPr>
          <w:rFonts w:ascii="Calibri;sans-serif" w:hAnsi="Calibri;sans-serif"/>
          <w:b w:val="false"/>
          <w:color w:val="000000"/>
          <w:sz w:val="18"/>
        </w:rPr>
      </w:pPr>
      <w:r>
        <w:rPr>
          <w:rFonts w:ascii="Calibri;sans-serif" w:hAnsi="Calibri;sans-serif"/>
          <w:b w:val="false"/>
          <w:color w:val="000000"/>
          <w:sz w:val="18"/>
        </w:rPr>
        <w:t>The number of shares outstanding of the registrant's Common Stock, without par value, at the close of business on October 31, 2023: 143,931,084 shares.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before="100" w:after="283"/>
        <w:jc w:val="center"/>
        <w:rPr/>
      </w:pPr>
      <w:r>
        <w:rPr/>
      </w:r>
    </w:p>
    <w:p>
      <w:pPr>
        <w:pStyle w:val="TextBody"/>
        <w:bidi w:val="0"/>
        <w:spacing w:lineRule="auto" w:line="288" w:before="100" w:after="283"/>
        <w:jc w:val="center"/>
        <w:rPr>
          <w:rFonts w:ascii="Calibri;sans-serif" w:hAnsi="Calibri;sans-serif"/>
          <w:b/>
          <w:color w:val="000000"/>
          <w:sz w:val="24"/>
        </w:rPr>
      </w:pPr>
      <w:r>
        <w:rPr>
          <w:rFonts w:ascii="Calibri;sans-serif" w:hAnsi="Calibri;sans-serif"/>
          <w:b/>
          <w:color w:val="000000"/>
          <w:sz w:val="24"/>
        </w:rPr>
        <w:t xml:space="preserve">Form 10-Q for the Period ended September 30, 2023 </w:t>
      </w:r>
    </w:p>
    <w:p>
      <w:pPr>
        <w:pStyle w:val="TextBody"/>
        <w:bidi w:val="0"/>
        <w:spacing w:lineRule="auto" w:line="288" w:before="120" w:after="283"/>
        <w:jc w:val="center"/>
        <w:rPr>
          <w:rFonts w:ascii="Calibri;sans-serif" w:hAnsi="Calibri;sans-serif"/>
          <w:b/>
          <w:color w:val="000000"/>
          <w:sz w:val="24"/>
        </w:rPr>
      </w:pPr>
      <w:r>
        <w:rPr>
          <w:rFonts w:ascii="Calibri;sans-serif" w:hAnsi="Calibri;sans-serif"/>
          <w:b/>
          <w:color w:val="000000"/>
          <w:sz w:val="24"/>
        </w:rPr>
        <w:t>Table of Contents</w:t>
      </w:r>
    </w:p>
    <w:tbl>
      <w:tblPr>
        <w:tblW w:w="9977" w:type="dxa"/>
        <w:jc w:val="left"/>
        <w:tblInd w:w="0" w:type="dxa"/>
        <w:tblLayout w:type="fixed"/>
        <w:tblCellMar>
          <w:top w:w="28" w:type="dxa"/>
          <w:left w:w="28" w:type="dxa"/>
          <w:bottom w:w="28" w:type="dxa"/>
          <w:right w:w="28" w:type="dxa"/>
        </w:tblCellMar>
      </w:tblPr>
      <w:tblGrid>
        <w:gridCol w:w="342"/>
        <w:gridCol w:w="301"/>
        <w:gridCol w:w="303"/>
        <w:gridCol w:w="2872"/>
        <w:gridCol w:w="2872"/>
        <w:gridCol w:w="2896"/>
        <w:gridCol w:w="114"/>
        <w:gridCol w:w="114"/>
        <w:gridCol w:w="16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0">
              <w:r>
                <w:rPr>
                  <w:rStyle w:val="InternetLink"/>
                  <w:rFonts w:ascii="Calibri;sans-serif" w:hAnsi="Calibri;sans-serif"/>
                  <w:b/>
                  <w:strike w:val="false"/>
                  <w:dstrike w:val="false"/>
                  <w:color w:val="000000"/>
                  <w:sz w:val="24"/>
                  <w:u w:val="none"/>
                  <w:effect w:val="none"/>
                </w:rPr>
                <w:t>PART I</w:t>
              </w:r>
            </w:hyperlink>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3">
              <w:r>
                <w:rPr>
                  <w:rStyle w:val="InternetLink"/>
                  <w:rFonts w:ascii="Calibri;sans-serif" w:hAnsi="Calibri;sans-serif"/>
                  <w:b w:val="false"/>
                  <w:color w:val="0000FF"/>
                  <w:sz w:val="24"/>
                  <w:u w:val="single"/>
                </w:rPr>
                <w:t>Item 1.</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fc45a77d047448791facc0098fadc7b_16">
              <w:r>
                <w:rPr>
                  <w:rStyle w:val="InternetLink"/>
                  <w:rFonts w:ascii="Calibri;sans-serif" w:hAnsi="Calibri;sans-serif"/>
                  <w:b w:val="false"/>
                  <w:color w:val="0000FF"/>
                  <w:sz w:val="24"/>
                  <w:u w:val="single"/>
                </w:rPr>
                <w:t>Consolidated Statements of Operations and Comprehensive Loss</w:t>
              </w:r>
            </w:hyperlink>
          </w:p>
          <w:p>
            <w:pPr>
              <w:pStyle w:val="TableContents"/>
              <w:bidi w:val="0"/>
              <w:spacing w:lineRule="auto" w:line="240" w:before="0" w:after="0"/>
              <w:ind w:left="0" w:right="0" w:hanging="270"/>
              <w:jc w:val="left"/>
              <w:rPr/>
            </w:pPr>
            <w:r>
              <w:rPr>
                <w:color w:val="000000"/>
              </w:rPr>
              <w:t>    </w:t>
            </w:r>
            <w:hyperlink w:anchor="iafc45a77d047448791facc0098fadc7b_16">
              <w:r>
                <w:rPr>
                  <w:rStyle w:val="InternetLink"/>
                  <w:rFonts w:ascii="Calibri;sans-serif" w:hAnsi="Calibri;sans-serif"/>
                  <w:b w:val="false"/>
                  <w:color w:val="0000FF"/>
                  <w:sz w:val="24"/>
                  <w:u w:val="single"/>
                </w:rPr>
                <w:t>Three months ended September 30, 2023 and 2022</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3">
              <w:r>
                <w:rPr>
                  <w:rStyle w:val="InternetLink"/>
                  <w:rFonts w:ascii="Calibri;sans-serif" w:hAnsi="Calibri;sans-serif"/>
                  <w:b w:val="false"/>
                  <w:color w:val="0000FF"/>
                  <w:sz w:val="24"/>
                  <w:u w:val="single"/>
                </w:rPr>
                <w:t>1</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fc45a77d047448791facc0098fadc7b_19">
              <w:r>
                <w:rPr>
                  <w:rStyle w:val="InternetLink"/>
                  <w:rFonts w:ascii="Calibri;sans-serif" w:hAnsi="Calibri;sans-serif"/>
                  <w:b w:val="false"/>
                  <w:color w:val="0000FF"/>
                  <w:sz w:val="24"/>
                  <w:u w:val="single"/>
                </w:rPr>
                <w:t xml:space="preserve">Consolidated Balance Sheets </w:t>
              </w:r>
            </w:hyperlink>
          </w:p>
          <w:p>
            <w:pPr>
              <w:pStyle w:val="TableContents"/>
              <w:bidi w:val="0"/>
              <w:spacing w:lineRule="auto" w:line="240" w:before="0" w:after="0"/>
              <w:ind w:left="0" w:right="0" w:hanging="270"/>
              <w:jc w:val="left"/>
              <w:rPr/>
            </w:pPr>
            <w:r>
              <w:rPr>
                <w:color w:val="000000"/>
              </w:rPr>
              <w:t>         </w:t>
            </w:r>
            <w:hyperlink w:anchor="iafc45a77d047448791facc0098fadc7b_19">
              <w:r>
                <w:rPr>
                  <w:rStyle w:val="InternetLink"/>
                  <w:rFonts w:ascii="Calibri;sans-serif" w:hAnsi="Calibri;sans-serif"/>
                  <w:b w:val="false"/>
                  <w:color w:val="0000FF"/>
                  <w:sz w:val="24"/>
                  <w:u w:val="single"/>
                </w:rPr>
                <w:t>As of September 30, 2023 and June 30, 2023</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9">
              <w:r>
                <w:rPr>
                  <w:rStyle w:val="InternetLink"/>
                  <w:rFonts w:ascii="Calibri;sans-serif" w:hAnsi="Calibri;sans-serif"/>
                  <w:b w:val="false"/>
                  <w:color w:val="0000FF"/>
                  <w:sz w:val="24"/>
                  <w:u w:val="single"/>
                </w:rPr>
                <w:t>2</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fc45a77d047448791facc0098fadc7b_25">
              <w:r>
                <w:rPr>
                  <w:rStyle w:val="InternetLink"/>
                  <w:rFonts w:ascii="Calibri;sans-serif" w:hAnsi="Calibri;sans-serif"/>
                  <w:b w:val="false"/>
                  <w:color w:val="0000FF"/>
                  <w:sz w:val="24"/>
                  <w:u w:val="single"/>
                </w:rPr>
                <w:t xml:space="preserve">Consolidated Statements of Cash Flows </w:t>
              </w:r>
            </w:hyperlink>
          </w:p>
          <w:p>
            <w:pPr>
              <w:pStyle w:val="TableContents"/>
              <w:bidi w:val="0"/>
              <w:spacing w:lineRule="auto" w:line="240" w:before="0" w:after="0"/>
              <w:ind w:left="0" w:right="0" w:hanging="270"/>
              <w:jc w:val="left"/>
              <w:rPr/>
            </w:pPr>
            <w:r>
              <w:rPr>
                <w:color w:val="000000"/>
              </w:rPr>
              <w:t>    </w:t>
            </w:r>
            <w:hyperlink w:anchor="iafc45a77d047448791facc0098fadc7b_25">
              <w:r>
                <w:rPr>
                  <w:rStyle w:val="InternetLink"/>
                  <w:rFonts w:ascii="Calibri;sans-serif" w:hAnsi="Calibri;sans-serif"/>
                  <w:b w:val="false"/>
                  <w:color w:val="0000FF"/>
                  <w:sz w:val="24"/>
                  <w:u w:val="single"/>
                </w:rPr>
                <w:t>Three months ended September 30, 2023 and 2022</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25">
              <w:r>
                <w:rPr>
                  <w:rStyle w:val="InternetLink"/>
                  <w:rFonts w:ascii="Calibri;sans-serif" w:hAnsi="Calibri;sans-serif"/>
                  <w:b w:val="false"/>
                  <w:color w:val="0000FF"/>
                  <w:sz w:val="24"/>
                  <w:u w:val="single"/>
                </w:rPr>
                <w:t>3</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fc45a77d047448791facc0098fadc7b_28">
              <w:r>
                <w:rPr>
                  <w:rStyle w:val="InternetLink"/>
                  <w:rFonts w:ascii="Calibri;sans-serif" w:hAnsi="Calibri;sans-serif"/>
                  <w:b w:val="false"/>
                  <w:color w:val="0000FF"/>
                  <w:sz w:val="24"/>
                  <w:u w:val="single"/>
                </w:rPr>
                <w:t xml:space="preserve">Consolidated Statements of Stockholders' Equity </w:t>
              </w:r>
            </w:hyperlink>
          </w:p>
          <w:p>
            <w:pPr>
              <w:pStyle w:val="TableContents"/>
              <w:bidi w:val="0"/>
              <w:spacing w:lineRule="auto" w:line="240" w:before="0" w:after="0"/>
              <w:ind w:left="0" w:right="0" w:hanging="180"/>
              <w:jc w:val="left"/>
              <w:rPr/>
            </w:pPr>
            <w:r>
              <w:rPr>
                <w:color w:val="000000"/>
              </w:rPr>
              <w:t>    </w:t>
            </w:r>
            <w:hyperlink w:anchor="iafc45a77d047448791facc0098fadc7b_28">
              <w:r>
                <w:rPr>
                  <w:rStyle w:val="InternetLink"/>
                  <w:rFonts w:ascii="Calibri;sans-serif" w:hAnsi="Calibri;sans-serif"/>
                  <w:b w:val="false"/>
                  <w:color w:val="0000FF"/>
                  <w:sz w:val="24"/>
                  <w:u w:val="single"/>
                </w:rPr>
                <w:t>Three months ended September 30, 2023 and 2022</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28">
              <w:r>
                <w:rPr>
                  <w:rStyle w:val="InternetLink"/>
                  <w:rFonts w:ascii="Calibri;sans-serif" w:hAnsi="Calibri;sans-serif"/>
                  <w:b w:val="false"/>
                  <w:color w:val="0000FF"/>
                  <w:sz w:val="24"/>
                  <w:u w:val="single"/>
                </w:rPr>
                <w:t>4</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31">
              <w:r>
                <w:rPr>
                  <w:rStyle w:val="InternetLink"/>
                  <w:rFonts w:ascii="Calibri;sans-serif" w:hAnsi="Calibri;sans-serif"/>
                  <w:b w:val="false"/>
                  <w:color w:val="0000FF"/>
                  <w:sz w:val="24"/>
                  <w:u w:val="single"/>
                </w:rPr>
                <w:t>Notes to Consolidated Financial Statements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31">
              <w:r>
                <w:rPr>
                  <w:rStyle w:val="InternetLink"/>
                  <w:rFonts w:ascii="Calibri;sans-serif" w:hAnsi="Calibri;sans-serif"/>
                  <w:b w:val="false"/>
                  <w:color w:val="0000FF"/>
                  <w:sz w:val="24"/>
                  <w:u w:val="single"/>
                </w:rPr>
                <w:t>5</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64">
              <w:r>
                <w:rPr>
                  <w:rStyle w:val="InternetLink"/>
                  <w:rFonts w:ascii="Calibri;sans-serif" w:hAnsi="Calibri;sans-serif"/>
                  <w:b w:val="false"/>
                  <w:color w:val="0000FF"/>
                  <w:sz w:val="24"/>
                  <w:u w:val="single"/>
                </w:rPr>
                <w:t>Item 2.</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afc45a77d047448791facc0098fadc7b_64">
              <w:r>
                <w:rPr>
                  <w:rStyle w:val="InternetLink"/>
                  <w:rFonts w:ascii="Calibri;sans-serif" w:hAnsi="Calibri;sans-serif"/>
                  <w:b w:val="false"/>
                  <w:color w:val="0000FF"/>
                  <w:sz w:val="24"/>
                  <w:u w:val="single"/>
                </w:rPr>
                <w:t>Management's Discussion and Analysis of Financial Condition and Results of Operations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64">
              <w:r>
                <w:rPr>
                  <w:rStyle w:val="InternetLink"/>
                  <w:rFonts w:ascii="Calibri;sans-serif" w:hAnsi="Calibri;sans-serif"/>
                  <w:b w:val="false"/>
                  <w:color w:val="0000FF"/>
                  <w:sz w:val="24"/>
                  <w:u w:val="single"/>
                </w:rPr>
                <w:t>15</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88">
              <w:r>
                <w:rPr>
                  <w:rStyle w:val="InternetLink"/>
                  <w:rFonts w:ascii="Calibri;sans-serif" w:hAnsi="Calibri;sans-serif"/>
                  <w:b w:val="false"/>
                  <w:color w:val="0000FF"/>
                  <w:sz w:val="24"/>
                  <w:u w:val="single"/>
                </w:rPr>
                <w:t>Item 3.</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88">
              <w:r>
                <w:rPr>
                  <w:rStyle w:val="InternetLink"/>
                  <w:rFonts w:ascii="Calibri;sans-serif" w:hAnsi="Calibri;sans-serif"/>
                  <w:b w:val="false"/>
                  <w:color w:val="0000FF"/>
                  <w:sz w:val="24"/>
                  <w:u w:val="single"/>
                </w:rPr>
                <w:t>Quantitative and Qualitative Disclosures About Market Risk</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88">
              <w:r>
                <w:rPr>
                  <w:rStyle w:val="InternetLink"/>
                  <w:rFonts w:ascii="Calibri;sans-serif" w:hAnsi="Calibri;sans-serif"/>
                  <w:b w:val="false"/>
                  <w:color w:val="0000FF"/>
                  <w:sz w:val="24"/>
                  <w:u w:val="single"/>
                </w:rPr>
                <w:t>22</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91">
              <w:r>
                <w:rPr>
                  <w:rStyle w:val="InternetLink"/>
                  <w:rFonts w:ascii="Calibri;sans-serif" w:hAnsi="Calibri;sans-serif"/>
                  <w:b w:val="false"/>
                  <w:color w:val="0000FF"/>
                  <w:sz w:val="24"/>
                  <w:u w:val="single"/>
                </w:rPr>
                <w:t>Item 4.</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91">
              <w:r>
                <w:rPr>
                  <w:rStyle w:val="InternetLink"/>
                  <w:rFonts w:ascii="Calibri;sans-serif" w:hAnsi="Calibri;sans-serif"/>
                  <w:b w:val="false"/>
                  <w:color w:val="0000FF"/>
                  <w:sz w:val="24"/>
                  <w:u w:val="single"/>
                </w:rPr>
                <w:t>Controls and Procedures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91">
              <w:r>
                <w:rPr>
                  <w:rStyle w:val="InternetLink"/>
                  <w:rFonts w:ascii="Calibri;sans-serif" w:hAnsi="Calibri;sans-serif"/>
                  <w:b w:val="false"/>
                  <w:color w:val="0000FF"/>
                  <w:sz w:val="24"/>
                  <w:u w:val="single"/>
                </w:rPr>
                <w:t>22</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94">
              <w:r>
                <w:rPr>
                  <w:rStyle w:val="InternetLink"/>
                  <w:rFonts w:ascii="Calibri;sans-serif" w:hAnsi="Calibri;sans-serif"/>
                  <w:b/>
                  <w:strike w:val="false"/>
                  <w:dstrike w:val="false"/>
                  <w:color w:val="000000"/>
                  <w:sz w:val="24"/>
                  <w:u w:val="none"/>
                  <w:effect w:val="none"/>
                </w:rPr>
                <w:t>PART II</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97">
              <w:r>
                <w:rPr>
                  <w:rStyle w:val="InternetLink"/>
                  <w:rFonts w:ascii="Calibri;sans-serif" w:hAnsi="Calibri;sans-serif"/>
                  <w:b w:val="false"/>
                  <w:color w:val="0000FF"/>
                  <w:sz w:val="24"/>
                  <w:u w:val="single"/>
                </w:rPr>
                <w:t>Item 1.</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97">
              <w:r>
                <w:rPr>
                  <w:rStyle w:val="InternetLink"/>
                  <w:rFonts w:ascii="Calibri;sans-serif" w:hAnsi="Calibri;sans-serif"/>
                  <w:b w:val="false"/>
                  <w:color w:val="0000FF"/>
                  <w:sz w:val="24"/>
                  <w:u w:val="single"/>
                </w:rPr>
                <w:t>Legal Proceedings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97">
              <w:r>
                <w:rPr>
                  <w:rStyle w:val="InternetLink"/>
                  <w:rFonts w:ascii="Calibri;sans-serif" w:hAnsi="Calibri;sans-serif"/>
                  <w:b w:val="false"/>
                  <w:color w:val="0000FF"/>
                  <w:sz w:val="24"/>
                  <w:u w:val="single"/>
                </w:rPr>
                <w:t>23</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00">
              <w:r>
                <w:rPr>
                  <w:rStyle w:val="InternetLink"/>
                  <w:rFonts w:ascii="Calibri;sans-serif" w:hAnsi="Calibri;sans-serif"/>
                  <w:b w:val="false"/>
                  <w:color w:val="0000FF"/>
                  <w:sz w:val="24"/>
                  <w:u w:val="single"/>
                </w:rPr>
                <w:t>Item 1A.</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00">
              <w:r>
                <w:rPr>
                  <w:rStyle w:val="InternetLink"/>
                  <w:rFonts w:ascii="Calibri;sans-serif" w:hAnsi="Calibri;sans-serif"/>
                  <w:b w:val="false"/>
                  <w:color w:val="0000FF"/>
                  <w:sz w:val="24"/>
                  <w:u w:val="single"/>
                </w:rPr>
                <w:t>Risk Factors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00">
              <w:r>
                <w:rPr>
                  <w:rStyle w:val="InternetLink"/>
                  <w:rFonts w:ascii="Calibri;sans-serif" w:hAnsi="Calibri;sans-serif"/>
                  <w:b w:val="false"/>
                  <w:color w:val="0000FF"/>
                  <w:sz w:val="24"/>
                  <w:u w:val="single"/>
                </w:rPr>
                <w:t>23</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03">
              <w:r>
                <w:rPr>
                  <w:rStyle w:val="InternetLink"/>
                  <w:rFonts w:ascii="Calibri;sans-serif" w:hAnsi="Calibri;sans-serif"/>
                  <w:b w:val="false"/>
                  <w:color w:val="0000FF"/>
                  <w:sz w:val="24"/>
                  <w:u w:val="single"/>
                </w:rPr>
                <w:t>Item 2.</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03">
              <w:r>
                <w:rPr>
                  <w:rStyle w:val="InternetLink"/>
                  <w:rFonts w:ascii="Calibri;sans-serif" w:hAnsi="Calibri;sans-serif"/>
                  <w:b w:val="false"/>
                  <w:color w:val="0000FF"/>
                  <w:sz w:val="24"/>
                  <w:u w:val="single"/>
                </w:rPr>
                <w:t>Unregistered Sales of Equity Securities and Use of Proceeds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03">
              <w:r>
                <w:rPr>
                  <w:rStyle w:val="InternetLink"/>
                  <w:rFonts w:ascii="Calibri;sans-serif" w:hAnsi="Calibri;sans-serif"/>
                  <w:b w:val="false"/>
                  <w:color w:val="0000FF"/>
                  <w:sz w:val="24"/>
                  <w:u w:val="single"/>
                </w:rPr>
                <w:t>23</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06">
              <w:r>
                <w:rPr>
                  <w:rStyle w:val="InternetLink"/>
                  <w:rFonts w:ascii="Calibri;sans-serif" w:hAnsi="Calibri;sans-serif"/>
                  <w:b w:val="false"/>
                  <w:color w:val="0000FF"/>
                  <w:sz w:val="24"/>
                  <w:u w:val="single"/>
                </w:rPr>
                <w:t>Item 3.</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06">
              <w:r>
                <w:rPr>
                  <w:rStyle w:val="InternetLink"/>
                  <w:rFonts w:ascii="Calibri;sans-serif" w:hAnsi="Calibri;sans-serif"/>
                  <w:b w:val="false"/>
                  <w:color w:val="0000FF"/>
                  <w:sz w:val="24"/>
                  <w:u w:val="single"/>
                </w:rPr>
                <w:t>Defaults Upon Senior Securities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06">
              <w:r>
                <w:rPr>
                  <w:rStyle w:val="InternetLink"/>
                  <w:rFonts w:ascii="Calibri;sans-serif" w:hAnsi="Calibri;sans-serif"/>
                  <w:b w:val="false"/>
                  <w:color w:val="0000FF"/>
                  <w:sz w:val="24"/>
                  <w:u w:val="single"/>
                </w:rPr>
                <w:t>23</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09">
              <w:r>
                <w:rPr>
                  <w:rStyle w:val="InternetLink"/>
                  <w:rFonts w:ascii="Calibri;sans-serif" w:hAnsi="Calibri;sans-serif"/>
                  <w:b w:val="false"/>
                  <w:color w:val="0000FF"/>
                  <w:sz w:val="24"/>
                  <w:u w:val="single"/>
                </w:rPr>
                <w:t>Item 4.</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09">
              <w:r>
                <w:rPr>
                  <w:rStyle w:val="InternetLink"/>
                  <w:rFonts w:ascii="Calibri;sans-serif" w:hAnsi="Calibri;sans-serif"/>
                  <w:b w:val="false"/>
                  <w:color w:val="0000FF"/>
                  <w:sz w:val="24"/>
                  <w:u w:val="single"/>
                </w:rPr>
                <w:t>Mine Safety Disclosures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09">
              <w:r>
                <w:rPr>
                  <w:rStyle w:val="InternetLink"/>
                  <w:rFonts w:ascii="Calibri;sans-serif" w:hAnsi="Calibri;sans-serif"/>
                  <w:b w:val="false"/>
                  <w:color w:val="0000FF"/>
                  <w:sz w:val="24"/>
                  <w:u w:val="single"/>
                </w:rPr>
                <w:t>23</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12">
              <w:r>
                <w:rPr>
                  <w:rStyle w:val="InternetLink"/>
                  <w:rFonts w:ascii="Calibri;sans-serif" w:hAnsi="Calibri;sans-serif"/>
                  <w:b w:val="false"/>
                  <w:color w:val="0000FF"/>
                  <w:sz w:val="24"/>
                  <w:u w:val="single"/>
                </w:rPr>
                <w:t>Item 5.</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12">
              <w:r>
                <w:rPr>
                  <w:rStyle w:val="InternetLink"/>
                  <w:rFonts w:ascii="Calibri;sans-serif" w:hAnsi="Calibri;sans-serif"/>
                  <w:b w:val="false"/>
                  <w:color w:val="0000FF"/>
                  <w:sz w:val="24"/>
                  <w:u w:val="single"/>
                </w:rPr>
                <w:t>Other Information</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12">
              <w:r>
                <w:rPr>
                  <w:rStyle w:val="InternetLink"/>
                  <w:rFonts w:ascii="Calibri;sans-serif" w:hAnsi="Calibri;sans-serif"/>
                  <w:b w:val="false"/>
                  <w:color w:val="0000FF"/>
                  <w:sz w:val="24"/>
                  <w:u w:val="single"/>
                </w:rPr>
                <w:t>23</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15">
              <w:r>
                <w:rPr>
                  <w:rStyle w:val="InternetLink"/>
                  <w:rFonts w:ascii="Calibri;sans-serif" w:hAnsi="Calibri;sans-serif"/>
                  <w:b w:val="false"/>
                  <w:color w:val="0000FF"/>
                  <w:sz w:val="24"/>
                  <w:u w:val="single"/>
                </w:rPr>
                <w:t>Item 6.</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15">
              <w:r>
                <w:rPr>
                  <w:rStyle w:val="InternetLink"/>
                  <w:rFonts w:ascii="Calibri;sans-serif" w:hAnsi="Calibri;sans-serif"/>
                  <w:b w:val="false"/>
                  <w:color w:val="0000FF"/>
                  <w:sz w:val="24"/>
                  <w:u w:val="single"/>
                </w:rPr>
                <w:t>Exhibits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15">
              <w:r>
                <w:rPr>
                  <w:rStyle w:val="InternetLink"/>
                  <w:rFonts w:ascii="Calibri;sans-serif" w:hAnsi="Calibri;sans-serif"/>
                  <w:b w:val="false"/>
                  <w:color w:val="0000FF"/>
                  <w:sz w:val="24"/>
                  <w:u w:val="single"/>
                </w:rPr>
                <w:t>24</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fc45a77d047448791facc0098fadc7b_118">
              <w:r>
                <w:rPr>
                  <w:rStyle w:val="InternetLink"/>
                  <w:rFonts w:ascii="Calibri;sans-serif" w:hAnsi="Calibri;sans-serif"/>
                  <w:b w:val="false"/>
                  <w:color w:val="0000FF"/>
                  <w:sz w:val="24"/>
                  <w:u w:val="single"/>
                </w:rPr>
                <w:t>Signatures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fc45a77d047448791facc0098fadc7b_118">
              <w:r>
                <w:rPr>
                  <w:rStyle w:val="InternetLink"/>
                  <w:rFonts w:ascii="Calibri;sans-serif" w:hAnsi="Calibri;sans-serif"/>
                  <w:b w:val="false"/>
                  <w:color w:val="0000FF"/>
                  <w:sz w:val="24"/>
                  <w:u w:val="single"/>
                </w:rPr>
                <w:t>25</w:t>
              </w:r>
            </w:hyperlink>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60" w:after="283"/>
        <w:jc w:val="left"/>
        <w:rPr>
          <w:rFonts w:ascii="Calibri;sans-serif" w:hAnsi="Calibri;sans-serif"/>
          <w:b/>
          <w:color w:val="14AA40"/>
          <w:sz w:val="28"/>
        </w:rPr>
      </w:pPr>
      <w:r>
        <w:rPr>
          <w:rFonts w:ascii="Calibri;sans-serif" w:hAnsi="Calibri;sans-serif"/>
          <w:b/>
          <w:color w:val="14AA40"/>
          <w:sz w:val="2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Calibri;sans-serif" w:hAnsi="Calibri;sans-serif"/>
          <w:b/>
          <w:color w:val="14AA40"/>
          <w:sz w:val="28"/>
        </w:rPr>
      </w:pPr>
      <w:r>
        <w:rPr>
          <w:rFonts w:ascii="Calibri;sans-serif" w:hAnsi="Calibri;sans-serif"/>
          <w:b/>
          <w:color w:val="14AA40"/>
          <w:sz w:val="2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923"/>
        <w:gridCol w:w="1691"/>
        <w:gridCol w:w="1693"/>
        <w:gridCol w:w="109"/>
        <w:gridCol w:w="544"/>
        <w:gridCol w:w="544"/>
        <w:gridCol w:w="635"/>
        <w:gridCol w:w="123"/>
        <w:gridCol w:w="123"/>
        <w:gridCol w:w="123"/>
        <w:gridCol w:w="222"/>
        <w:gridCol w:w="889"/>
        <w:gridCol w:w="123"/>
        <w:gridCol w:w="109"/>
        <w:gridCol w:w="109"/>
        <w:gridCol w:w="109"/>
        <w:gridCol w:w="196"/>
        <w:gridCol w:w="778"/>
        <w:gridCol w:w="162"/>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STATEMENTS OF OPERATIONS AND COMPREHENSIVE 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(unaudited, in 000s, except </w:t>
              <w:br/>
              <w:t>per share amounts)</w:t>
            </w:r>
          </w:p>
        </w:tc>
        <w:tc>
          <w:tcPr>
            <w:tcW w:w="3066" w:type="dxa"/>
            <w:gridSpan w:val="12"/>
            <w:tcBorders/>
          </w:tcPr>
          <w:p>
            <w:pPr>
              <w:pStyle w:val="TableContents"/>
              <w:bidi w:val="0"/>
              <w:spacing w:before="0" w:after="283"/>
              <w:jc w:val="left"/>
              <w:rPr>
                <w:sz w:val="4"/>
                <w:szCs w:val="4"/>
              </w:rPr>
            </w:pPr>
            <w:r>
              <w:rPr>
                <w:sz w:val="4"/>
                <w:szCs w:val="4"/>
              </w:rPr>
            </w:r>
          </w:p>
        </w:tc>
      </w:tr>
      <w:tr>
        <w:trPr/>
        <w:tc>
          <w:tcPr>
            <w:tcW w:w="5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63" w:type="dxa"/>
            <w:gridSpan w:val="6"/>
            <w:tcBorders/>
          </w:tcPr>
          <w:p>
            <w:pPr>
              <w:pStyle w:val="TableContents"/>
              <w:bidi w:val="0"/>
              <w:spacing w:before="0" w:after="283"/>
              <w:jc w:val="left"/>
              <w:rPr>
                <w:sz w:val="4"/>
                <w:szCs w:val="4"/>
              </w:rPr>
            </w:pPr>
            <w:r>
              <w:rPr>
                <w:sz w:val="4"/>
                <w:szCs w:val="4"/>
              </w:rPr>
            </w:r>
          </w:p>
        </w:tc>
      </w:tr>
      <w:tr>
        <w:trPr/>
        <w:tc>
          <w:tcPr>
            <w:tcW w:w="5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5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171,726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167,194 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Royalty, product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12,074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12,791 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183,800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179,985 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Costs of revenues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259,358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260,662 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130,768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128,434 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390,126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389,096 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9,836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 on borrowings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(15,870)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(15,824)</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Loss from continuing operations before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(212,360)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(221,324)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(49,487)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(53,957)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(162,873)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(167,367)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Net loss from discontinued operations, net of tax benefits of $182 and $316</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(609)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(163,482)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(168,421)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BASIC AND DILUTED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(0.01)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DIVIDENDS DECLARED PER SHARE</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0.32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0.29 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(163,482)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(168,421)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 in 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(10,914)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(32,345)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(10,914)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(32,345)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(174,396)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(200,766)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779645"/>
                <wp:effectExtent l="0" t="0" r="0" b="0"/>
                <wp:wrapNone/>
                <wp:docPr id="3" name="Frame3"/>
                <a:graphic xmlns:a="http://schemas.openxmlformats.org/drawingml/2006/main">
                  <a:graphicData uri="http://schemas.microsoft.com/office/word/2010/wordprocessingShape">
                    <wps:wsp>
                      <wps:cNvSpPr txBox="1"/>
                      <wps:spPr>
                        <a:xfrm>
                          <a:off x="0" y="0"/>
                          <a:ext cx="6480175" cy="4779645"/>
                        </a:xfrm>
                        <a:prstGeom prst="rect"/>
                        <a:solidFill>
                          <a:srgbClr val="FFFFFF"/>
                        </a:solidFill>
                      </wps:spPr>
                      <wps:txb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tbl>
      <w:tblPr>
        <w:tblW w:w="10205" w:type="dxa"/>
        <w:jc w:val="right"/>
        <w:tblInd w:w="0" w:type="dxa"/>
        <w:tblLayout w:type="fixed"/>
        <w:tblCellMar>
          <w:top w:w="28" w:type="dxa"/>
          <w:left w:w="28" w:type="dxa"/>
          <w:bottom w:w="28" w:type="dxa"/>
          <w:right w:w="28" w:type="dxa"/>
        </w:tblCellMar>
      </w:tblPr>
      <w:tblGrid>
        <w:gridCol w:w="2494"/>
        <w:gridCol w:w="2194"/>
        <w:gridCol w:w="2198"/>
        <w:gridCol w:w="109"/>
        <w:gridCol w:w="109"/>
        <w:gridCol w:w="109"/>
        <w:gridCol w:w="237"/>
        <w:gridCol w:w="1073"/>
        <w:gridCol w:w="131"/>
        <w:gridCol w:w="109"/>
        <w:gridCol w:w="109"/>
        <w:gridCol w:w="109"/>
        <w:gridCol w:w="196"/>
        <w:gridCol w:w="871"/>
        <w:gridCol w:w="157"/>
      </w:tblGrid>
      <w:tr>
        <w:trPr/>
        <w:tc>
          <w:tcPr>
            <w:tcW w:w="249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(unaudited, in 000s, except </w:t>
              <w:br/>
              <w:t>share and per share amounts)</w:t>
            </w:r>
          </w:p>
        </w:tc>
      </w:tr>
      <w:tr>
        <w:trPr/>
        <w:tc>
          <w:tcPr>
            <w:tcW w:w="6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June 30, 2023</w:t>
            </w:r>
          </w:p>
        </w:tc>
      </w:tr>
      <w:tr>
        <w:trPr/>
        <w:tc>
          <w:tcPr>
            <w:tcW w:w="6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426,990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986,975 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30,570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28,341 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Receivables, less allowance for credit losses of $35,318 and $55,502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60,330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59,987 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42,136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35,910 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71,814</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76,273 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631,840</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1,187,486 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Property and equipment, at cost, less accumulated depreciation and amortization of $857,922 and $846,177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131,667</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130,015 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412,415</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438,299 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267,512</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277,043 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770,820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775,453 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tax assets and 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248,642</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211,391 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48,156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52,571 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2,511,052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3,072,258 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149,892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159,901 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salaries, wages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51,986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95,154 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income taxes and reserves for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205,919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271,800 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195,685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205,391 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revenue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189,304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206,536 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792,786</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938,782 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1,489,514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1,488,974 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tax liabilities and reserves for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265,621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264,567 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224,365</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240,543 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revenue and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83,650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107,328 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2,855,936</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3,040,194 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Common stock, no par, stated value $0.01 per share, 800,000,000 shares authorized, shares issued of 175,670,790 and 178,935,578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1,757</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1,789 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740,434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770,376 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(48,013)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(37,099)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(393,621)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(48,677)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Less treasury shares, at cost, of 31,742,185 and 32,785,658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(645,441)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(654,325)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stockholders' equity (deficiency)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(344,884)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32,064 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2,511,052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3,072,258 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43560"/>
                <wp:effectExtent l="0" t="0" r="0" b="0"/>
                <wp:wrapNone/>
                <wp:docPr id="4" name="Frame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74"/>
        <w:gridCol w:w="1561"/>
        <w:gridCol w:w="1563"/>
        <w:gridCol w:w="109"/>
        <w:gridCol w:w="109"/>
        <w:gridCol w:w="109"/>
        <w:gridCol w:w="196"/>
        <w:gridCol w:w="799"/>
        <w:gridCol w:w="109"/>
        <w:gridCol w:w="109"/>
        <w:gridCol w:w="109"/>
        <w:gridCol w:w="109"/>
        <w:gridCol w:w="196"/>
        <w:gridCol w:w="79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177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STATEMENTS OF CASH 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(unaudited, in 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(163,482)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 to reconcile net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30,225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(37,757)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7,550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assets and liabilities, net of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4,981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6,396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accrued expenses,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(71,202)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revenue, 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receivables, accrued income taxes and income tax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(70,301)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(334,989)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(321,666)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made for 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Franchise loans 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(5,380)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from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(23,890)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(42,953)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of common stock, including shares surrendered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(150,442)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(195,198)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(246,893)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decrease in cash and cash equivalents, including restricted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(557,756)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(619,339)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1,015,316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457,560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431,374 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SUPPLEMENTARY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 paid (received),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58,337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paid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additions to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operating right of use assets and related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38,468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dividends payable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46,901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94995"/>
                <wp:effectExtent l="0" t="0" r="0" b="0"/>
                <wp:wrapNone/>
                <wp:docPr id="5"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92" w:type="dxa"/>
                              <w:jc w:val="right"/>
                              <w:tblInd w:w="0" w:type="dxa"/>
                              <w:tblLayout w:type="fixed"/>
                              <w:tblCellMar>
                                <w:top w:w="28" w:type="dxa"/>
                                <w:left w:w="28" w:type="dxa"/>
                                <w:bottom w:w="28" w:type="dxa"/>
                                <w:right w:w="28" w:type="dxa"/>
                              </w:tblCellMar>
                            </w:tblPr>
                            <w:tblGrid>
                              <w:gridCol w:w="1019"/>
                              <w:gridCol w:w="898"/>
                              <w:gridCol w:w="903"/>
                              <w:gridCol w:w="109"/>
                              <w:gridCol w:w="109"/>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 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right"/>
                        <w:tblInd w:w="0" w:type="dxa"/>
                        <w:tblLayout w:type="fixed"/>
                        <w:tblCellMar>
                          <w:top w:w="28" w:type="dxa"/>
                          <w:left w:w="28" w:type="dxa"/>
                          <w:bottom w:w="28" w:type="dxa"/>
                          <w:right w:w="28" w:type="dxa"/>
                        </w:tblCellMar>
                      </w:tblPr>
                      <w:tblGrid>
                        <w:gridCol w:w="1019"/>
                        <w:gridCol w:w="898"/>
                        <w:gridCol w:w="903"/>
                        <w:gridCol w:w="109"/>
                        <w:gridCol w:w="109"/>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 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tbl>
      <w:tblPr>
        <w:tblW w:w="13232" w:type="dxa"/>
        <w:jc w:val="center"/>
        <w:tblInd w:w="0" w:type="dxa"/>
        <w:tblLayout w:type="fixed"/>
        <w:tblCellMar>
          <w:top w:w="28" w:type="dxa"/>
          <w:left w:w="28" w:type="dxa"/>
          <w:bottom w:w="28" w:type="dxa"/>
          <w:right w:w="28" w:type="dxa"/>
        </w:tblCellMar>
      </w:tblPr>
      <w:tblGrid>
        <w:gridCol w:w="751"/>
        <w:gridCol w:w="265"/>
        <w:gridCol w:w="215"/>
        <w:gridCol w:w="109"/>
        <w:gridCol w:w="109"/>
        <w:gridCol w:w="109"/>
        <w:gridCol w:w="460"/>
        <w:gridCol w:w="291"/>
        <w:gridCol w:w="109"/>
        <w:gridCol w:w="109"/>
        <w:gridCol w:w="109"/>
        <w:gridCol w:w="109"/>
        <w:gridCol w:w="196"/>
        <w:gridCol w:w="571"/>
        <w:gridCol w:w="109"/>
        <w:gridCol w:w="109"/>
        <w:gridCol w:w="109"/>
        <w:gridCol w:w="109"/>
        <w:gridCol w:w="109"/>
        <w:gridCol w:w="109"/>
        <w:gridCol w:w="811"/>
        <w:gridCol w:w="109"/>
        <w:gridCol w:w="214"/>
        <w:gridCol w:w="822"/>
        <w:gridCol w:w="120"/>
        <w:gridCol w:w="109"/>
        <w:gridCol w:w="109"/>
        <w:gridCol w:w="109"/>
        <w:gridCol w:w="196"/>
        <w:gridCol w:w="661"/>
        <w:gridCol w:w="109"/>
        <w:gridCol w:w="109"/>
        <w:gridCol w:w="109"/>
        <w:gridCol w:w="109"/>
        <w:gridCol w:w="196"/>
        <w:gridCol w:w="751"/>
        <w:gridCol w:w="109"/>
        <w:gridCol w:w="109"/>
        <w:gridCol w:w="109"/>
        <w:gridCol w:w="109"/>
        <w:gridCol w:w="330"/>
        <w:gridCol w:w="331"/>
        <w:gridCol w:w="181"/>
        <w:gridCol w:w="109"/>
        <w:gridCol w:w="109"/>
        <w:gridCol w:w="109"/>
        <w:gridCol w:w="196"/>
        <w:gridCol w:w="751"/>
        <w:gridCol w:w="109"/>
        <w:gridCol w:w="220"/>
        <w:gridCol w:w="220"/>
        <w:gridCol w:w="221"/>
        <w:gridCol w:w="196"/>
        <w:gridCol w:w="751"/>
        <w:gridCol w:w="154"/>
      </w:tblGrid>
      <w:tr>
        <w:trPr/>
        <w:tc>
          <w:tcPr>
            <w:tcW w:w="7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STATEMENTS OF STOCKHOLDERS' EQUITY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(amounts in 000s, except per share amounts)</w:t>
            </w:r>
          </w:p>
        </w:tc>
        <w:tc>
          <w:tcPr>
            <w:tcW w:w="3145" w:type="dxa"/>
            <w:gridSpan w:val="12"/>
            <w:tcBorders/>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 xml:space="preserve">Accumulated Other </w:t>
            </w:r>
          </w:p>
          <w:p>
            <w:pPr>
              <w:pStyle w:val="TableContents"/>
              <w:bidi w:val="0"/>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Comprehensive</w:t>
            </w:r>
          </w:p>
          <w:p>
            <w:pPr>
              <w:pStyle w:val="TableContents"/>
              <w:bidi w:val="0"/>
              <w:spacing w:lineRule="auto" w:line="240" w:before="0" w:after="0"/>
              <w:jc w:val="right"/>
              <w:rPr/>
            </w:pPr>
            <w:r>
              <w:rPr>
                <w:rFonts w:ascii="Calibri;sans-serif" w:hAnsi="Calibri;sans-serif"/>
                <w:b w:val="false"/>
                <w:color w:val="000000"/>
                <w:sz w:val="16"/>
              </w:rPr>
              <w:t>Loss</w:t>
            </w:r>
            <w:r>
              <w:rPr>
                <w:rFonts w:ascii="Calibri;sans-serif" w:hAnsi="Calibri;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 xml:space="preserve">Retained </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Total</w:t>
              <w:br/>
              <w:t>Stockholders’</w:t>
              <w:br/>
              <w:t>Equity</w:t>
            </w:r>
          </w:p>
        </w:tc>
        <w:tc>
          <w:tcPr>
            <w:tcW w:w="1762"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178,936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1,789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770,376</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(37,099)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(48,677)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(32,786)</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(654,325)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32,064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(163,482)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(163,482)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(10,914)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(10,914)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6,211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6,211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(34,226)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1,867</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37,348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(823)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(28,464)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(28,464)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(1,927)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(131,341)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(133,300)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$0.32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(46,901)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(46,901)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175,671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740,434</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(48,013)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(393,621)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(31,742)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(645,441)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(344,884)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before="60" w:after="283"/>
        <w:jc w:val="right"/>
        <w:rPr/>
      </w:pPr>
      <w:r>
        <w:rPr/>
      </w:r>
    </w:p>
    <w:p>
      <w:pPr>
        <w:pStyle w:val="TextBody"/>
        <w:bidi w:val="0"/>
        <w:spacing w:before="0" w:after="0"/>
        <w:ind w:left="0" w:right="0" w:hanging="180"/>
        <w:jc w:val="both"/>
        <w:rPr/>
      </w:pPr>
      <w:r>
        <w:rPr/>
      </w:r>
    </w:p>
    <w:tbl>
      <w:tblPr>
        <w:tblW w:w="13274" w:type="dxa"/>
        <w:jc w:val="center"/>
        <w:tblInd w:w="0" w:type="dxa"/>
        <w:tblLayout w:type="fixed"/>
        <w:tblCellMar>
          <w:top w:w="28" w:type="dxa"/>
          <w:left w:w="28" w:type="dxa"/>
          <w:bottom w:w="28" w:type="dxa"/>
          <w:right w:w="28" w:type="dxa"/>
        </w:tblCellMar>
      </w:tblPr>
      <w:tblGrid>
        <w:gridCol w:w="733"/>
        <w:gridCol w:w="248"/>
        <w:gridCol w:w="250"/>
        <w:gridCol w:w="109"/>
        <w:gridCol w:w="109"/>
        <w:gridCol w:w="109"/>
        <w:gridCol w:w="368"/>
        <w:gridCol w:w="368"/>
        <w:gridCol w:w="181"/>
        <w:gridCol w:w="109"/>
        <w:gridCol w:w="109"/>
        <w:gridCol w:w="109"/>
        <w:gridCol w:w="196"/>
        <w:gridCol w:w="556"/>
        <w:gridCol w:w="109"/>
        <w:gridCol w:w="109"/>
        <w:gridCol w:w="109"/>
        <w:gridCol w:w="109"/>
        <w:gridCol w:w="109"/>
        <w:gridCol w:w="109"/>
        <w:gridCol w:w="811"/>
        <w:gridCol w:w="109"/>
        <w:gridCol w:w="217"/>
        <w:gridCol w:w="817"/>
        <w:gridCol w:w="122"/>
        <w:gridCol w:w="109"/>
        <w:gridCol w:w="109"/>
        <w:gridCol w:w="109"/>
        <w:gridCol w:w="196"/>
        <w:gridCol w:w="661"/>
        <w:gridCol w:w="109"/>
        <w:gridCol w:w="109"/>
        <w:gridCol w:w="109"/>
        <w:gridCol w:w="109"/>
        <w:gridCol w:w="196"/>
        <w:gridCol w:w="751"/>
        <w:gridCol w:w="109"/>
        <w:gridCol w:w="109"/>
        <w:gridCol w:w="109"/>
        <w:gridCol w:w="109"/>
        <w:gridCol w:w="330"/>
        <w:gridCol w:w="331"/>
        <w:gridCol w:w="181"/>
        <w:gridCol w:w="109"/>
        <w:gridCol w:w="109"/>
        <w:gridCol w:w="109"/>
        <w:gridCol w:w="196"/>
        <w:gridCol w:w="751"/>
        <w:gridCol w:w="109"/>
        <w:gridCol w:w="220"/>
        <w:gridCol w:w="220"/>
        <w:gridCol w:w="221"/>
        <w:gridCol w:w="196"/>
        <w:gridCol w:w="751"/>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799" w:type="dxa"/>
            <w:gridSpan w:val="46"/>
            <w:tcBorders/>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799" w:type="dxa"/>
            <w:gridSpan w:val="46"/>
            <w:tcBorders/>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Additional</w:t>
              <w:br/>
              <w:t>Paid-in</w:t>
              <w:b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 xml:space="preserve">Accumulated Other </w:t>
            </w:r>
          </w:p>
          <w:p>
            <w:pPr>
              <w:pStyle w:val="TableContents"/>
              <w:bidi w:val="0"/>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Comprehensive</w:t>
            </w:r>
          </w:p>
          <w:p>
            <w:pPr>
              <w:pStyle w:val="TableContents"/>
              <w:bidi w:val="0"/>
              <w:spacing w:lineRule="auto" w:line="240" w:before="0" w:after="0"/>
              <w:jc w:val="right"/>
              <w:rPr/>
            </w:pPr>
            <w:r>
              <w:rPr>
                <w:rFonts w:ascii="Calibri;sans-serif" w:hAnsi="Calibri;sans-serif"/>
                <w:b w:val="false"/>
                <w:color w:val="000000"/>
                <w:sz w:val="16"/>
              </w:rPr>
              <w:t>Loss</w:t>
            </w:r>
            <w:r>
              <w:rPr>
                <w:rFonts w:ascii="Calibri;sans-serif" w:hAnsi="Calibri;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Retained</w:t>
              <w:br/>
              <w:t xml:space="preserve">Earnings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Total</w:t>
              <w:br/>
              <w:t>Stockholders’</w:t>
              <w:br/>
              <w:t>Equity</w:t>
            </w:r>
          </w:p>
        </w:tc>
        <w:tc>
          <w:tcPr>
            <w:tcW w:w="1762"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193,571 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772,182 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(33,641)</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(661,247)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211,631 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(15,276)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(219,769)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$0.29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188,644 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759,629 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(311,671)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(33,177)</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(660,840)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(264,985)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Calibri;sans-serif" w:hAnsi="Calibri;sans-serif"/>
          <w:b w:val="false"/>
          <w:color w:val="000000"/>
          <w:sz w:val="10"/>
        </w:rPr>
        <w:t xml:space="preserve">(1) </w:t>
      </w:r>
      <w:r>
        <w:rPr>
          <w:rFonts w:ascii="Calibri;sans-serif" w:hAnsi="Calibri;sans-serif"/>
          <w:b w:val="false"/>
          <w:color w:val="000000"/>
          <w:sz w:val="16"/>
        </w:rPr>
        <w:t>The balance of our accumulated other comprehensive loss consists of foreign currency translation adjustments.</w:t>
      </w:r>
    </w:p>
    <w:p>
      <w:pPr>
        <w:pStyle w:val="TextBody"/>
        <w:bidi w:val="0"/>
        <w:spacing w:lineRule="auto" w:line="288" w:before="0" w:after="0"/>
        <w:ind w:left="0" w:right="0" w:hanging="180"/>
        <w:jc w:val="both"/>
        <w:rPr/>
      </w:pPr>
      <w:r>
        <w:rPr>
          <w:rFonts w:ascii="Calibri;sans-serif" w:hAnsi="Calibri;sans-serif"/>
          <w:b w:val="false"/>
          <w:color w:val="000000"/>
          <w:sz w:val="10"/>
        </w:rPr>
        <w:t xml:space="preserve">(2) </w:t>
      </w:r>
      <w:r>
        <w:rPr>
          <w:rFonts w:ascii="Calibri;sans-serif" w:hAnsi="Calibri;sans-serif"/>
          <w:b w:val="false"/>
          <w:color w:val="000000"/>
          <w:sz w:val="16"/>
        </w:rPr>
        <w:t>Represents shares swapped or surrendered to us in connection with the vesting or exercise of stock-based awards.</w:t>
      </w:r>
    </w:p>
    <w:p>
      <w:pPr>
        <w:pStyle w:val="TextBody"/>
        <w:bidi w:val="0"/>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3560"/>
                <wp:effectExtent l="0" t="0" r="0" b="0"/>
                <wp:wrapNone/>
                <wp:docPr id="6" name="Frame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both"/>
        <w:rPr/>
      </w:pPr>
      <w:r>
        <w:rPr>
          <w:rFonts w:ascii="Calibri;sans-serif" w:hAnsi="Calibri;sans-serif"/>
          <w:b/>
          <w:color w:val="14AA40"/>
          <w:sz w:val="28"/>
        </w:rPr>
        <w:t>NOTES TO CONSOLIDATED FINANCIAL STATEMENTS</w:t>
      </w:r>
      <w:r>
        <w:rPr>
          <w:color w:val="000000"/>
        </w:rPr>
        <w:t xml:space="preserve">             </w:t>
      </w:r>
      <w:r>
        <w:rPr>
          <w:rFonts w:ascii="Calibri;sans-serif" w:hAnsi="Calibri;sans-serif"/>
          <w:b w:val="false"/>
          <w:color w:val="000000"/>
          <w:sz w:val="24"/>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Calibri;sans-serif" w:hAnsi="Calibri;sans-serif"/>
          <w:b/>
          <w:color w:val="14AA40"/>
          <w:sz w:val="28"/>
        </w:rPr>
        <w:t>NOTE 1: SUMMARY OF SIGNIFICANT ACCOUNTING POLICIES</w:t>
      </w:r>
      <w:r>
        <w:rPr>
          <w:color w:val="14AA40"/>
        </w:rPr>
        <w:t xml:space="preserve"> </w:t>
      </w:r>
    </w:p>
    <w:p>
      <w:pPr>
        <w:pStyle w:val="TextBody"/>
        <w:bidi w:val="0"/>
        <w:spacing w:lineRule="auto" w:line="288" w:before="120" w:after="283"/>
        <w:jc w:val="both"/>
        <w:rPr/>
      </w:pPr>
      <w:r>
        <w:rPr>
          <w:rFonts w:ascii="Calibri;sans-serif" w:hAnsi="Calibri;sans-serif"/>
          <w:b/>
          <w:color w:val="000000"/>
          <w:sz w:val="20"/>
        </w:rPr>
        <w:t>BASIS OF PRESENTATION</w:t>
      </w:r>
      <w:r>
        <w:rPr>
          <w:color w:val="000000"/>
        </w:rPr>
        <w:t xml:space="preserve"> – </w:t>
      </w:r>
      <w:r>
        <w:rPr>
          <w:rFonts w:ascii="Calibri;sans-serif" w:hAnsi="Calibri;sans-serif"/>
          <w:b w:val="false"/>
          <w:color w:val="000000"/>
          <w:sz w:val="20"/>
        </w:rPr>
        <w:t xml:space="preserve">The consolidated balance sheets as of September 30, 2023 and June 30, 2023, the consolidated statements of operations and comprehensive loss for the three months ended September 30, 2023 and 2022, the consolidated statements of cash flows for the three months ended September 30, 2023 and 2022, and the consolidated statements of stockholders' equity for the three months ended September 30, 2023 and 2022 have been prepared by the Company, without audit. In the opinion of management, all adjustments, which include only normal recurring adjustments, necessary to present fairly the financial position, results of operations, and cash flows as of September 30, 2023 and 2022 and for all periods presented, have been made.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"H&amp;R Block," "the Company," "we," "our," and "us" are used interchangeably to refer to H&amp;R Block, Inc., to H&amp;R Block, Inc. and its subsidiaries, or to H&amp;R Block, Inc.'s operating subsidiaries, as appropriate to the context.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June 30, 2023 Annual Report on Form 10-K. All amounts presented herein as of June 30, 2023 or for the year then ended are derived from our Annual Report on Form 10-K.</w:t>
      </w:r>
    </w:p>
    <w:p>
      <w:pPr>
        <w:pStyle w:val="TextBody"/>
        <w:bidi w:val="0"/>
        <w:spacing w:lineRule="auto" w:line="288" w:before="120" w:after="283"/>
        <w:ind w:left="0" w:right="0" w:firstLine="225"/>
        <w:jc w:val="both"/>
        <w:rPr/>
      </w:pPr>
      <w:r>
        <w:rPr>
          <w:rFonts w:ascii="Calibri;sans-serif" w:hAnsi="Calibri;sans-serif"/>
          <w:b/>
          <w:color w:val="000000"/>
          <w:sz w:val="20"/>
        </w:rPr>
        <w:t>MANAGEMENT ESTIMATES</w:t>
      </w:r>
      <w:r>
        <w:rPr>
          <w:color w:val="000000"/>
        </w:rPr>
        <w:t xml:space="preserve"> – </w:t>
      </w:r>
      <w:r>
        <w:rPr>
          <w:rFonts w:ascii="Calibri;sans-serif" w:hAnsi="Calibri;sans-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 </w:t>
      </w:r>
    </w:p>
    <w:p>
      <w:pPr>
        <w:pStyle w:val="TextBody"/>
        <w:bidi w:val="0"/>
        <w:spacing w:lineRule="auto" w:line="288" w:before="120" w:after="283"/>
        <w:ind w:left="0" w:right="0" w:firstLine="225"/>
        <w:jc w:val="both"/>
        <w:rPr/>
      </w:pPr>
      <w:r>
        <w:rPr>
          <w:rFonts w:ascii="Calibri;sans-serif" w:hAnsi="Calibri;sans-serif"/>
          <w:b/>
          <w:color w:val="000000"/>
          <w:sz w:val="20"/>
        </w:rPr>
        <w:t>SEASONALITY OF BUSINESS</w:t>
      </w:r>
      <w:r>
        <w:rPr>
          <w:color w:val="000000"/>
        </w:rPr>
        <w:t xml:space="preserve"> – </w:t>
      </w:r>
      <w:r>
        <w:rPr>
          <w:rFonts w:ascii="Calibri;sans-serif" w:hAnsi="Calibri;sans-serif"/>
          <w:b w:val="false"/>
          <w:color w:val="000000"/>
          <w:sz w:val="20"/>
        </w:rPr>
        <w:t>Our operating revenues are seasonal in nature with peak revenues typically occurring in the months of February through April. Therefore, results for interim periods are not indicative of results to be expected for the full year.</w:t>
      </w:r>
    </w:p>
    <w:p>
      <w:pPr>
        <w:pStyle w:val="TextBody"/>
        <w:bidi w:val="0"/>
        <w:spacing w:lineRule="auto" w:line="288" w:before="120" w:after="283"/>
        <w:ind w:left="0" w:right="0" w:firstLine="225"/>
        <w:jc w:val="both"/>
        <w:rPr/>
      </w:pPr>
      <w:r>
        <w:rPr>
          <w:rFonts w:ascii="Calibri;sans-serif" w:hAnsi="Calibri;sans-serif"/>
          <w:b/>
          <w:color w:val="000000"/>
          <w:sz w:val="20"/>
        </w:rPr>
        <w:t>DISCONTINUED OPERATIONS</w:t>
      </w:r>
      <w:r>
        <w:rPr>
          <w:color w:val="000000"/>
        </w:rPr>
        <w:t> – </w:t>
      </w:r>
      <w:r>
        <w:rPr>
          <w:rFonts w:ascii="Calibri;sans-serif" w:hAnsi="Calibri;sans-serif"/>
          <w:b w:val="false"/>
          <w:color w:val="000000"/>
          <w:sz w:val="20"/>
        </w:rPr>
        <w:t xml:space="preserve">Our discontinued operations include the results of operations of Sand Canyon Corporation, previously known as Option One Mortgage Corporation (including its subsidiaries, collectively, SCC), which exited its mortgage business in fiscal year 2008. See </w:t>
      </w:r>
      <w:hyperlink w:anchor="iafc45a77d047448791facc0098fadc7b_61">
        <w:r>
          <w:rPr>
            <w:rStyle w:val="InternetLink"/>
            <w:rFonts w:ascii="Calibri;sans-serif" w:hAnsi="Calibri;sans-serif"/>
            <w:b w:val="false"/>
            <w:color w:val="0000FF"/>
            <w:sz w:val="20"/>
            <w:u w:val="single"/>
          </w:rPr>
          <w:t>note 9</w:t>
        </w:r>
      </w:hyperlink>
      <w:r>
        <w:rPr>
          <w:color w:val="000000"/>
        </w:rPr>
        <w:t xml:space="preserve"> </w:t>
      </w:r>
      <w:r>
        <w:rPr>
          <w:rFonts w:ascii="Calibri;sans-serif" w:hAnsi="Calibri;sans-serif"/>
          <w:b w:val="false"/>
          <w:color w:val="000000"/>
          <w:sz w:val="20"/>
        </w:rPr>
        <w:t>for additional information on loss contingencies related to our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94995"/>
                <wp:effectExtent l="0" t="0" r="0" b="0"/>
                <wp:wrapNone/>
                <wp:docPr id="7" name="Frame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left"/>
        <w:rPr/>
      </w:pPr>
      <w:r>
        <w:rPr>
          <w:rFonts w:ascii="Calibri;sans-serif" w:hAnsi="Calibri;sans-serif"/>
          <w:b/>
          <w:color w:val="14AA40"/>
          <w:sz w:val="28"/>
        </w:rPr>
        <w:t>NOTE 2: REVENUE RECOGNITION</w:t>
      </w:r>
      <w:r>
        <w:rPr>
          <w:color w:val="14AA40"/>
        </w:rPr>
        <w:t xml:space="preserve"> </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 majority of our revenues are from our United States (U.S.) tax services business. The following table disaggregates our U.S. revenues by major service line, with revenues from our international tax services businesses and from Wave included as separate lines:</w:t>
      </w:r>
    </w:p>
    <w:tbl>
      <w:tblPr>
        <w:tblW w:w="8285" w:type="dxa"/>
        <w:jc w:val="left"/>
        <w:tblInd w:w="0" w:type="dxa"/>
        <w:tblLayout w:type="fixed"/>
        <w:tblCellMar>
          <w:top w:w="28" w:type="dxa"/>
          <w:left w:w="28" w:type="dxa"/>
          <w:bottom w:w="28" w:type="dxa"/>
          <w:right w:w="28" w:type="dxa"/>
        </w:tblCellMar>
      </w:tblPr>
      <w:tblGrid>
        <w:gridCol w:w="1296"/>
        <w:gridCol w:w="1139"/>
        <w:gridCol w:w="1150"/>
        <w:gridCol w:w="109"/>
        <w:gridCol w:w="109"/>
        <w:gridCol w:w="109"/>
        <w:gridCol w:w="109"/>
        <w:gridCol w:w="109"/>
        <w:gridCol w:w="234"/>
        <w:gridCol w:w="234"/>
        <w:gridCol w:w="422"/>
        <w:gridCol w:w="1618"/>
        <w:gridCol w:w="234"/>
        <w:gridCol w:w="109"/>
        <w:gridCol w:w="109"/>
        <w:gridCol w:w="109"/>
        <w:gridCol w:w="196"/>
        <w:gridCol w:w="736"/>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assisted tax preparation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39,263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5,701</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DIY tax preparation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3,848</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Refund Transfers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1,142</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Peace of Mind® Extended Service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24,847</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Identity Shield®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4,580</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Emerald Card® and Spruce</w:t>
            </w:r>
            <w:r>
              <w:rPr>
                <w:rFonts w:ascii="Calibri;sans-serif" w:hAnsi="Calibr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8,633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Interest and fee income on Emerald Advance</w:t>
            </w:r>
            <w:r>
              <w:rPr>
                <w:rFonts w:ascii="Calibri;sans-serif" w:hAnsi="Calibri;sans-serif"/>
                <w:b w:val="false"/>
                <w:color w:val="000000"/>
                <w:sz w:val="12"/>
              </w:rPr>
              <w:t>SM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298</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60,565</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23,943</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10,980</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183,800</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179,985 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Changes in the balances of deferred revenue and wages for our Peace of Mind® Extended Service Plan (POM) are as follows:</w:t>
      </w:r>
    </w:p>
    <w:tbl>
      <w:tblPr>
        <w:tblW w:w="8577" w:type="dxa"/>
        <w:jc w:val="left"/>
        <w:tblInd w:w="0" w:type="dxa"/>
        <w:tblLayout w:type="fixed"/>
        <w:tblCellMar>
          <w:top w:w="28" w:type="dxa"/>
          <w:left w:w="28" w:type="dxa"/>
          <w:bottom w:w="28" w:type="dxa"/>
          <w:right w:w="28" w:type="dxa"/>
        </w:tblCellMar>
      </w:tblPr>
      <w:tblGrid>
        <w:gridCol w:w="1159"/>
        <w:gridCol w:w="1020"/>
        <w:gridCol w:w="1031"/>
        <w:gridCol w:w="109"/>
        <w:gridCol w:w="109"/>
        <w:gridCol w:w="109"/>
        <w:gridCol w:w="196"/>
        <w:gridCol w:w="751"/>
        <w:gridCol w:w="109"/>
        <w:gridCol w:w="109"/>
        <w:gridCol w:w="109"/>
        <w:gridCol w:w="109"/>
        <w:gridCol w:w="196"/>
        <w:gridCol w:w="736"/>
        <w:gridCol w:w="109"/>
        <w:gridCol w:w="109"/>
        <w:gridCol w:w="109"/>
        <w:gridCol w:w="109"/>
        <w:gridCol w:w="196"/>
        <w:gridCol w:w="661"/>
        <w:gridCol w:w="109"/>
        <w:gridCol w:w="109"/>
        <w:gridCol w:w="109"/>
        <w:gridCol w:w="109"/>
        <w:gridCol w:w="196"/>
        <w:gridCol w:w="646"/>
        <w:gridCol w:w="154"/>
      </w:tblGrid>
      <w:tr>
        <w:trPr/>
        <w:tc>
          <w:tcPr>
            <w:tcW w:w="11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POM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Deferred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Deferred Wages</w:t>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167,257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173,486 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21,828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Amounts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Amounts recognized on previous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(28,772)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139,935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146,143 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As of September 30, 2023, deferred revenue related to POM was $139.9 million. We expect that $94.1 million will be recognized over the next twelve months, while the remaining balance will be recognized over the following five years. </w:t>
      </w:r>
    </w:p>
    <w:p>
      <w:pPr>
        <w:pStyle w:val="TextBody"/>
        <w:bidi w:val="0"/>
        <w:spacing w:lineRule="auto" w:line="288" w:before="120" w:after="283"/>
        <w:ind w:left="0" w:right="0" w:firstLine="270"/>
        <w:jc w:val="both"/>
        <w:rPr>
          <w:rFonts w:ascii="Calibri;sans-serif" w:hAnsi="Calibri;sans-serif"/>
          <w:b w:val="false"/>
          <w:color w:val="000000"/>
          <w:sz w:val="20"/>
          <w:shd w:fill="FFFFFF" w:val="clear"/>
        </w:rPr>
      </w:pPr>
      <w:r>
        <w:rPr>
          <w:rFonts w:ascii="Calibri;sans-serif" w:hAnsi="Calibri;sans-serif"/>
          <w:b w:val="false"/>
          <w:color w:val="000000"/>
          <w:sz w:val="20"/>
          <w:shd w:fill="FFFFFF" w:val="clear"/>
        </w:rPr>
        <w:t>As of September 30, 2023 and 2022, Tax Identity Shield® (TIS) deferred revenue was $20.8 million and $21.2 million, respectively. Deferred revenue related to TIS was $25.2 million and $25.8 million as of June 30, 2023 and 2022, respectively. All deferred revenue related to TIS will be recognized by April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3: EARNINGS PER SHARE AND STOCKHOLDERS' EQUITY </w:t>
      </w:r>
    </w:p>
    <w:p>
      <w:pPr>
        <w:pStyle w:val="TextBody"/>
        <w:bidi w:val="0"/>
        <w:spacing w:lineRule="auto" w:line="288" w:before="120" w:after="283"/>
        <w:jc w:val="both"/>
        <w:rPr/>
      </w:pPr>
      <w:r>
        <w:rPr>
          <w:rFonts w:ascii="Calibri;sans-serif" w:hAnsi="Calibri;sans-serif"/>
          <w:b/>
          <w:color w:val="000000"/>
          <w:sz w:val="20"/>
        </w:rPr>
        <w:t xml:space="preserve">EARNINGS PER SHARE </w:t>
      </w:r>
      <w:r>
        <w:rPr>
          <w:color w:val="000000"/>
        </w:rPr>
        <w:t xml:space="preserve">– </w:t>
      </w:r>
      <w:r>
        <w:rPr>
          <w:rFonts w:ascii="Calibri;sans-serif" w:hAnsi="Calibri;sans-serif"/>
          <w:b w:val="false"/>
          <w:color w:val="000000"/>
          <w:sz w:val="20"/>
        </w:rPr>
        <w:t xml:space="preserve">Basic and diluted earnings (loss)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3.5 million and 4.4 million shares for the three months ended September 30, 2023 and </w:t>
      </w:r>
      <w:r>
        <w:rPr>
          <w:rFonts w:ascii="Calibri;sans-serif" w:hAnsi="Calibri;sans-serif"/>
          <w:b w:val="false"/>
          <w:color w:val="000000"/>
          <w:sz w:val="20"/>
          <w:shd w:fill="FFFFFF" w:val="clear"/>
        </w:rPr>
        <w:t>2022</w:t>
      </w:r>
      <w:r>
        <w:rPr>
          <w:color w:val="000000"/>
        </w:rPr>
        <w:t xml:space="preserve"> </w:t>
      </w:r>
      <w:r>
        <w:rPr>
          <w:rFonts w:ascii="Calibri;sans-serif" w:hAnsi="Calibri;sans-serif"/>
          <w:b w:val="false"/>
          <w:color w:val="000000"/>
          <w:sz w:val="20"/>
        </w:rPr>
        <w:t xml:space="preserve">respectively, </w:t>
      </w:r>
      <w:r>
        <w:rPr>
          <w:rFonts w:ascii="Calibri;sans-serif" w:hAnsi="Calibri;sans-serif"/>
          <w:b w:val="false"/>
          <w:color w:val="000000"/>
          <w:sz w:val="20"/>
          <w:shd w:fill="FFFFFF" w:val="clear"/>
        </w:rPr>
        <w:t>as the effect would be antidilutive due to the net loss from continuing operations during the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3560"/>
                <wp:effectExtent l="0" t="0" r="0" b="0"/>
                <wp:wrapNone/>
                <wp:docPr id="8" name="Frame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6</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6</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left"/>
        <w:rPr>
          <w:rFonts w:ascii="Calibri;sans-serif" w:hAnsi="Calibri;sans-serif"/>
          <w:b w:val="false"/>
          <w:color w:val="000000"/>
          <w:sz w:val="20"/>
        </w:rPr>
      </w:pPr>
      <w:r>
        <w:rPr>
          <w:rFonts w:ascii="Calibri;sans-serif" w:hAnsi="Calibri;sans-serif"/>
          <w:b w:val="false"/>
          <w:color w:val="000000"/>
          <w:sz w:val="20"/>
        </w:rPr>
        <w:t>The computations of basic and diluted earnings (loss) per share from continuing operations are as follows:</w:t>
      </w:r>
    </w:p>
    <w:tbl>
      <w:tblPr>
        <w:tblW w:w="10205" w:type="dxa"/>
        <w:jc w:val="left"/>
        <w:tblInd w:w="0" w:type="dxa"/>
        <w:tblLayout w:type="fixed"/>
        <w:tblCellMar>
          <w:top w:w="28" w:type="dxa"/>
          <w:left w:w="28" w:type="dxa"/>
          <w:bottom w:w="28" w:type="dxa"/>
          <w:right w:w="28" w:type="dxa"/>
        </w:tblCellMar>
      </w:tblPr>
      <w:tblGrid>
        <w:gridCol w:w="1834"/>
        <w:gridCol w:w="1611"/>
        <w:gridCol w:w="1620"/>
        <w:gridCol w:w="241"/>
        <w:gridCol w:w="241"/>
        <w:gridCol w:w="241"/>
        <w:gridCol w:w="241"/>
        <w:gridCol w:w="241"/>
        <w:gridCol w:w="424"/>
        <w:gridCol w:w="181"/>
        <w:gridCol w:w="326"/>
        <w:gridCol w:w="1340"/>
        <w:gridCol w:w="181"/>
        <w:gridCol w:w="109"/>
        <w:gridCol w:w="109"/>
        <w:gridCol w:w="109"/>
        <w:gridCol w:w="196"/>
        <w:gridCol w:w="799"/>
        <w:gridCol w:w="161"/>
      </w:tblGrid>
      <w:tr>
        <w:trPr/>
        <w:tc>
          <w:tcPr>
            <w:tcW w:w="183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9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c>
          <w:tcPr>
            <w:tcW w:w="3511" w:type="dxa"/>
            <w:gridSpan w:val="10"/>
            <w:tcBorders/>
          </w:tcPr>
          <w:p>
            <w:pPr>
              <w:pStyle w:val="TableContents"/>
              <w:bidi w:val="0"/>
              <w:spacing w:before="0" w:after="283"/>
              <w:jc w:val="left"/>
              <w:rPr>
                <w:sz w:val="4"/>
                <w:szCs w:val="4"/>
              </w:rPr>
            </w:pPr>
            <w:r>
              <w:rPr>
                <w:sz w:val="4"/>
                <w:szCs w:val="4"/>
              </w:rPr>
            </w:r>
          </w:p>
        </w:tc>
      </w:tr>
      <w:tr>
        <w:trPr/>
        <w:tc>
          <w:tcPr>
            <w:tcW w:w="5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2"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83" w:type="dxa"/>
            <w:gridSpan w:val="6"/>
            <w:tcBorders/>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5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 attributable to shareholders</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(162,873)</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(167,367)</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Amounts allocated to participating securities</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(179)</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 attributable to common shareholders</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(163,050)</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(167,546)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Basic weighted average common shares</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146,273</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159,284 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Potential dilutive shares</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Dilutive weighted average common shares</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146,273</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159,284 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Loss per share from continuing operations attributable to common shareholders:</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Basic</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Diluted</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The decrease in the weighted average shares outstanding is due to share repurchases completed in the current and prior fiscal years. </w:t>
      </w:r>
    </w:p>
    <w:p>
      <w:pPr>
        <w:pStyle w:val="TextBody"/>
        <w:bidi w:val="0"/>
        <w:spacing w:lineRule="auto" w:line="288" w:before="120" w:after="283"/>
        <w:ind w:left="0" w:right="0" w:firstLine="270"/>
        <w:jc w:val="both"/>
        <w:rPr/>
      </w:pPr>
      <w:r>
        <w:rPr>
          <w:rFonts w:ascii="Calibri;sans-serif" w:hAnsi="Calibri;sans-serif"/>
          <w:b/>
          <w:color w:val="000000"/>
          <w:sz w:val="20"/>
          <w:shd w:fill="FFFFFF" w:val="clear"/>
        </w:rPr>
        <w:t xml:space="preserve">STOCK-BASED COMPENSATION </w:t>
      </w:r>
      <w:r>
        <w:rPr>
          <w:color w:val="000000"/>
          <w:shd w:fill="FFFFFF" w:val="clear"/>
        </w:rPr>
        <w:t xml:space="preserve">– </w:t>
      </w:r>
      <w:r>
        <w:rPr>
          <w:rFonts w:ascii="Calibri;sans-serif" w:hAnsi="Calibri;sans-serif"/>
          <w:b w:val="false"/>
          <w:color w:val="000000"/>
          <w:sz w:val="20"/>
          <w:shd w:fill="FFFFFF" w:val="clear"/>
        </w:rPr>
        <w:t xml:space="preserve">We granted 1.6 million and 0.9 million shares, including adjustments for performance achievement and dividend equivalents, under our stock-based compensation plans during the </w:t>
      </w:r>
      <w:r>
        <w:rPr>
          <w:rFonts w:ascii="Calibri;sans-serif" w:hAnsi="Calibri;sans-serif"/>
          <w:b w:val="false"/>
          <w:color w:val="000000"/>
          <w:sz w:val="20"/>
        </w:rPr>
        <w:t>three</w:t>
      </w:r>
      <w:r>
        <w:rPr>
          <w:color w:val="000000"/>
          <w:shd w:fill="FFFFFF" w:val="clear"/>
        </w:rPr>
        <w:t xml:space="preserve"> </w:t>
      </w:r>
      <w:r>
        <w:rPr>
          <w:rFonts w:ascii="Calibri;sans-serif" w:hAnsi="Calibri;sans-serif"/>
          <w:b w:val="false"/>
          <w:color w:val="000000"/>
          <w:sz w:val="20"/>
          <w:shd w:fill="FFFFFF" w:val="clear"/>
        </w:rPr>
        <w:t xml:space="preserve">months ended September 30, 2023 and 2022, respectively. Stock-based compensation expense of our continuing operations totaled $7.6 million and $7.7 million for the </w:t>
      </w:r>
      <w:r>
        <w:rPr>
          <w:rFonts w:ascii="Calibri;sans-serif" w:hAnsi="Calibri;sans-serif"/>
          <w:b w:val="false"/>
          <w:color w:val="000000"/>
          <w:sz w:val="20"/>
        </w:rPr>
        <w:t>three</w:t>
      </w:r>
      <w:r>
        <w:rPr>
          <w:color w:val="000000"/>
          <w:shd w:fill="FFFFFF" w:val="clear"/>
        </w:rPr>
        <w:t xml:space="preserve"> </w:t>
      </w:r>
      <w:r>
        <w:rPr>
          <w:rFonts w:ascii="Calibri;sans-serif" w:hAnsi="Calibri;sans-serif"/>
          <w:b w:val="false"/>
          <w:color w:val="000000"/>
          <w:sz w:val="20"/>
          <w:shd w:fill="FFFFFF" w:val="clear"/>
        </w:rPr>
        <w:t xml:space="preserve">months ended September 30, 2023 and 2022, respectively. As of September 30, 2023, unrecognized compensation cost for nonvested shares and units totaled $67.6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4: RECEIVABLES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Receivables, net of their related allowance, consist of the following:</w:t>
      </w:r>
    </w:p>
    <w:tbl>
      <w:tblPr>
        <w:tblW w:w="10205" w:type="dxa"/>
        <w:jc w:val="left"/>
        <w:tblInd w:w="0" w:type="dxa"/>
        <w:tblLayout w:type="fixed"/>
        <w:tblCellMar>
          <w:top w:w="28" w:type="dxa"/>
          <w:left w:w="28" w:type="dxa"/>
          <w:bottom w:w="28" w:type="dxa"/>
          <w:right w:w="28" w:type="dxa"/>
        </w:tblCellMar>
      </w:tblPr>
      <w:tblGrid>
        <w:gridCol w:w="1819"/>
        <w:gridCol w:w="1597"/>
        <w:gridCol w:w="1600"/>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646"/>
        <w:gridCol w:w="156"/>
      </w:tblGrid>
      <w:tr>
        <w:trPr/>
        <w:tc>
          <w:tcPr>
            <w:tcW w:w="181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5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June 30, 2023</w:t>
            </w:r>
          </w:p>
        </w:tc>
      </w:tr>
      <w:tr>
        <w:trPr/>
        <w:tc>
          <w:tcPr>
            <w:tcW w:w="5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r>
      <w:tr>
        <w:trPr/>
        <w:tc>
          <w:tcPr>
            <w:tcW w:w="5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Loans to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11,209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19,443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19,206 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Receivables for U.S. assisted and DIY tax preparation and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3,756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Calibri;sans-serif" w:hAnsi="Calibri;sans-serif"/>
                <w:b w:val="false"/>
                <w:color w:val="000000"/>
                <w:sz w:val="18"/>
              </w:rPr>
              <w:t>H&amp;R Block's Instant Refund</w:t>
            </w:r>
            <w:r>
              <w:rPr>
                <w:rFonts w:ascii="Calibri;sans-serif" w:hAnsi="Calibri;sans-serif"/>
                <w:b w:val="false"/>
                <w:color w:val="000000"/>
                <w:sz w:val="12"/>
              </w:rPr>
              <w:t>SM</w:t>
            </w:r>
            <w:r>
              <w:rPr>
                <w:color w:val="000000"/>
              </w:rPr>
              <w:t xml:space="preserve"> </w:t>
            </w:r>
            <w:r>
              <w:rPr>
                <w:rFonts w:ascii="Calibri;sans-serif" w:hAnsi="Calibri;sans-serif"/>
                <w:b w:val="false"/>
                <w:color w:val="000000"/>
                <w:sz w:val="18"/>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H&amp;R Block Emerald Advance®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Software receivables from retailers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Royalties and other receivables from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5,026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 payment processing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1,236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15,537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60,330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32,778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34,641 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Balances presented above as short-term are included in receivables, while the long-term portions are included in other noncurrent assets in the consolidated balance sheets. </w:t>
      </w:r>
    </w:p>
    <w:p>
      <w:pPr>
        <w:pStyle w:val="TextBody"/>
        <w:bidi w:val="0"/>
        <w:spacing w:lineRule="auto" w:line="288" w:before="120" w:after="283"/>
        <w:ind w:left="0" w:right="0" w:firstLine="225"/>
        <w:jc w:val="both"/>
        <w:rPr/>
      </w:pPr>
      <w:r>
        <w:rPr>
          <w:rFonts w:ascii="Calibri;sans-serif" w:hAnsi="Calibri;sans-serif"/>
          <w:b/>
          <w:color w:val="000000"/>
          <w:sz w:val="20"/>
        </w:rPr>
        <w:t xml:space="preserve">LOANS TO FRANCHISEES </w:t>
      </w:r>
      <w:r>
        <w:rPr>
          <w:color w:val="000000"/>
        </w:rPr>
        <w:t xml:space="preserve">– </w:t>
      </w:r>
      <w:r>
        <w:rPr>
          <w:rFonts w:ascii="Calibri;sans-serif" w:hAnsi="Calibri;sans-serif"/>
          <w:b w:val="false"/>
          <w:color w:val="000000"/>
          <w:sz w:val="20"/>
        </w:rPr>
        <w:t xml:space="preserve">Franchisee loan balances consist of term loans made primarily to finance the purchase of franchises and revolving lines of credit primarily for the purpose of funding working capital needs. As of </w:t>
      </w:r>
      <w:r>
        <w:rPr>
          <w:rFonts w:ascii="Calibri;sans-serif" w:hAnsi="Calibri;sans-serif"/>
          <w:b w:val="false"/>
          <w:color w:val="000000"/>
          <w:sz w:val="20"/>
          <w:shd w:fill="FFFFFF" w:val="clear"/>
        </w:rPr>
        <w:t xml:space="preserve">September 30, 2023 </w:t>
      </w:r>
      <w:r>
        <w:rPr>
          <w:rFonts w:ascii="Calibri;sans-serif" w:hAnsi="Calibri;sans-serif"/>
          <w:b w:val="false"/>
          <w:color w:val="000000"/>
          <w:sz w:val="20"/>
        </w:rPr>
        <w:t>and June 30, 2023, loans with a principal balance more than 90 days past due, or on non-accrual status, are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94995"/>
                <wp:effectExtent l="0" t="0" r="0" b="0"/>
                <wp:wrapNone/>
                <wp:docPr id="9" name="Frame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pPr>
      <w:r>
        <w:rPr>
          <w:rFonts w:ascii="Calibri;sans-serif" w:hAnsi="Calibri;sans-serif"/>
          <w:b/>
          <w:color w:val="000000"/>
          <w:sz w:val="20"/>
        </w:rPr>
        <w:t>H&amp;R BLOCK'S INSTANT REFUND</w:t>
      </w:r>
      <w:r>
        <w:rPr>
          <w:rFonts w:ascii="Calibri;sans-serif" w:hAnsi="Calibri;sans-serif"/>
          <w:b/>
          <w:color w:val="000000"/>
          <w:sz w:val="13"/>
        </w:rPr>
        <w:t>SM</w:t>
      </w:r>
      <w:r>
        <w:rPr>
          <w:color w:val="000000"/>
        </w:rPr>
        <w:t xml:space="preserve"> – </w:t>
      </w:r>
      <w:r>
        <w:rPr>
          <w:rFonts w:ascii="Calibri;sans-serif" w:hAnsi="Calibri;sans-serif"/>
          <w:b w:val="false"/>
          <w:color w:val="000000"/>
          <w:sz w:val="20"/>
        </w:rPr>
        <w:t>H&amp;R Block's Instant Refund</w:t>
      </w:r>
      <w:r>
        <w:rPr>
          <w:rFonts w:ascii="Calibri;sans-serif" w:hAnsi="Calibri;sans-serif"/>
          <w:b w:val="false"/>
          <w:color w:val="000000"/>
          <w:sz w:val="13"/>
        </w:rPr>
        <w:t>SM</w:t>
      </w:r>
      <w:r>
        <w:rPr>
          <w:color w:val="000000"/>
        </w:rPr>
        <w:t xml:space="preserve"> </w:t>
      </w:r>
      <w:r>
        <w:rPr>
          <w:rFonts w:ascii="Calibri;sans-serif" w:hAnsi="Calibri;sans-serif"/>
          <w:b w:val="false"/>
          <w:color w:val="000000"/>
          <w:sz w:val="20"/>
        </w:rPr>
        <w:t xml:space="preserve">amounts are generally received from the Canada Revenue Agency within 60 days of filing the client's return, with the remaining balance collectible from the client.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review the credit quality of our Instant Refund receivables based on pools, which are segregated by the tax return year of origination, with older years being deemed more unlikely to be repaid. We establish an allowance for credit losses at an amount that we believe reflects the receivable at net realizable value. In December of each year, we charge-off the receivables and the related allowance to an amount we believe represents the net realizable value.</w:t>
      </w:r>
    </w:p>
    <w:p>
      <w:pPr>
        <w:pStyle w:val="TextBody"/>
        <w:bidi w:val="0"/>
        <w:spacing w:lineRule="auto" w:line="288" w:before="120" w:after="283"/>
        <w:ind w:left="0" w:right="0" w:firstLine="225"/>
        <w:jc w:val="both"/>
        <w:rPr/>
      </w:pPr>
      <w:r>
        <w:rPr>
          <w:rFonts w:ascii="Calibri;sans-serif" w:hAnsi="Calibri;sans-serif"/>
          <w:b w:val="false"/>
          <w:color w:val="000000"/>
          <w:sz w:val="20"/>
        </w:rPr>
        <w:t>Balances and amounts on non-accrual status and classified as impaired, or more than 60 days past due, by tax return year of origination, as of September 30, 2023 are as foll</w:t>
      </w:r>
      <w:r>
        <w:rPr>
          <w:rFonts w:ascii="Calibri;sans-serif" w:hAnsi="Calibri;sans-serif"/>
          <w:b w:val="false"/>
          <w:color w:val="000000"/>
          <w:sz w:val="20"/>
          <w:shd w:fill="FFFFFF" w:val="clear"/>
        </w:rPr>
        <w:t>ows:</w:t>
      </w:r>
    </w:p>
    <w:tbl>
      <w:tblPr>
        <w:tblW w:w="6044" w:type="dxa"/>
        <w:jc w:val="left"/>
        <w:tblInd w:w="0" w:type="dxa"/>
        <w:tblLayout w:type="fixed"/>
        <w:tblCellMar>
          <w:top w:w="28" w:type="dxa"/>
          <w:left w:w="28" w:type="dxa"/>
          <w:bottom w:w="28" w:type="dxa"/>
          <w:right w:w="28" w:type="dxa"/>
        </w:tblCellMar>
      </w:tblPr>
      <w:tblGrid>
        <w:gridCol w:w="821"/>
        <w:gridCol w:w="719"/>
        <w:gridCol w:w="724"/>
        <w:gridCol w:w="109"/>
        <w:gridCol w:w="109"/>
        <w:gridCol w:w="109"/>
        <w:gridCol w:w="196"/>
        <w:gridCol w:w="571"/>
        <w:gridCol w:w="109"/>
        <w:gridCol w:w="109"/>
        <w:gridCol w:w="109"/>
        <w:gridCol w:w="109"/>
        <w:gridCol w:w="479"/>
        <w:gridCol w:w="1395"/>
        <w:gridCol w:w="376"/>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2577" w:type="dxa"/>
            <w:gridSpan w:val="6"/>
            <w:tcBorders/>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return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More Than 60 Days Past Due</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8,392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7,800</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2021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232</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8,624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8,032</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6,659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Calibri;sans-serif" w:hAnsi="Calibri;sans-serif"/>
          <w:b/>
          <w:color w:val="000000"/>
          <w:sz w:val="20"/>
        </w:rPr>
        <w:t>H&amp;R BLOCK EMERALD ADVANCE</w:t>
      </w:r>
      <w:r>
        <w:rPr>
          <w:rFonts w:ascii="Calibri;sans-serif" w:hAnsi="Calibri;sans-serif"/>
          <w:b w:val="false"/>
          <w:color w:val="000000"/>
          <w:sz w:val="20"/>
        </w:rPr>
        <w:t>®</w:t>
      </w:r>
      <w:r>
        <w:rPr>
          <w:color w:val="000000"/>
        </w:rPr>
        <w:t xml:space="preserve"> – </w:t>
      </w:r>
      <w:r>
        <w:rPr>
          <w:rFonts w:ascii="Calibri;sans-serif" w:hAnsi="Calibri;sans-serif"/>
          <w:b w:val="false"/>
          <w:color w:val="000000"/>
          <w:sz w:val="20"/>
        </w:rPr>
        <w:t xml:space="preserve">Historically, Emerald Advance® lines of credit (EA LOCs) have been offered to clients in our offices from mid-November through mid-January. If the borrower met certain criteria as agreed in the loan terms, the line of credit could be utilized year-round (Revolving Loan). In fiscal year 2024, EAs are being offered as term loans (EA TLs), and we are discontinuing the EA LOCs, including the Revolving Loans. See </w:t>
      </w:r>
      <w:hyperlink w:anchor="iafc45a77d047448791facc0098fadc7b_58">
        <w:r>
          <w:rPr>
            <w:rStyle w:val="InternetLink"/>
            <w:rFonts w:ascii="Calibri;sans-serif" w:hAnsi="Calibri;sans-serif"/>
            <w:b w:val="false"/>
            <w:color w:val="0000FF"/>
            <w:sz w:val="20"/>
            <w:u w:val="single"/>
          </w:rPr>
          <w:t>note 8</w:t>
        </w:r>
      </w:hyperlink>
      <w:r>
        <w:rPr>
          <w:color w:val="000000"/>
        </w:rPr>
        <w:t xml:space="preserve"> </w:t>
      </w:r>
      <w:r>
        <w:rPr>
          <w:rFonts w:ascii="Calibri;sans-serif" w:hAnsi="Calibri;sans-serif"/>
          <w:b w:val="false"/>
          <w:color w:val="000000"/>
          <w:sz w:val="20"/>
        </w:rPr>
        <w:t>for discussion of the new EA TL.</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review the credit quality of our purchased participation interests in EA receivables based on pools, which are segregated by the fiscal year of origination, with older years being deemed more unlikely to be repaid. We establish an allowance for credit losses at an amount that we believe reflects the receivable at net realizable value. Typically, in December of each year, we charge-off the receivables and the related allowance for EA LOCs, excluding Revolving Loans, to an amount we believe represents the net realizable value. However, due to the discontinuation of EA LOCs, we have charged-off the receivables and the related allowance of EA LOCs and Revolving Loans to an amount that we believe represents net realizable value as of September 30, 2023.</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Balances and amounts on non-accrual status and classified as impaired, or more than 60 days past due, by fiscal year of origination, as of September 30, 2023 are as follows:</w:t>
      </w:r>
    </w:p>
    <w:tbl>
      <w:tblPr>
        <w:tblW w:w="5071" w:type="dxa"/>
        <w:jc w:val="left"/>
        <w:tblInd w:w="0" w:type="dxa"/>
        <w:tblLayout w:type="fixed"/>
        <w:tblCellMar>
          <w:top w:w="28" w:type="dxa"/>
          <w:left w:w="28" w:type="dxa"/>
          <w:bottom w:w="28" w:type="dxa"/>
          <w:right w:w="28" w:type="dxa"/>
        </w:tblCellMar>
      </w:tblPr>
      <w:tblGrid>
        <w:gridCol w:w="869"/>
        <w:gridCol w:w="763"/>
        <w:gridCol w:w="768"/>
        <w:gridCol w:w="109"/>
        <w:gridCol w:w="109"/>
        <w:gridCol w:w="109"/>
        <w:gridCol w:w="196"/>
        <w:gridCol w:w="661"/>
        <w:gridCol w:w="109"/>
        <w:gridCol w:w="109"/>
        <w:gridCol w:w="109"/>
        <w:gridCol w:w="109"/>
        <w:gridCol w:w="203"/>
        <w:gridCol w:w="687"/>
        <w:gridCol w:w="161"/>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71"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Non-Accrual</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2023 – Lines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11,643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11,643</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2022 and prior –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2,951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2,951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1,129</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15,723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3560"/>
                <wp:effectExtent l="0" t="0" r="0" b="0"/>
                <wp:wrapNone/>
                <wp:docPr id="10" name="Frame1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8</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8</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pPr>
      <w:r>
        <w:rPr>
          <w:rFonts w:ascii="Calibri;sans-serif" w:hAnsi="Calibri;sans-serif"/>
          <w:b/>
          <w:color w:val="000000"/>
          <w:sz w:val="20"/>
        </w:rPr>
        <w:t xml:space="preserve">ALLOWANCE FOR CREDIT LOSSES </w:t>
      </w:r>
      <w:r>
        <w:rPr>
          <w:color w:val="000000"/>
        </w:rPr>
        <w:t xml:space="preserve">– </w:t>
      </w:r>
      <w:r>
        <w:rPr>
          <w:rFonts w:ascii="Calibri;sans-serif" w:hAnsi="Calibri;sans-serif"/>
          <w:b w:val="false"/>
          <w:color w:val="000000"/>
          <w:sz w:val="20"/>
        </w:rPr>
        <w:t>Activity in the allowance for credit losses for our EA and all other short-term and long-term receivables for the three months ended September 30, 2023 and 2022 is as follows:</w:t>
      </w:r>
    </w:p>
    <w:tbl>
      <w:tblPr>
        <w:tblW w:w="7293" w:type="dxa"/>
        <w:jc w:val="left"/>
        <w:tblInd w:w="0" w:type="dxa"/>
        <w:tblLayout w:type="fixed"/>
        <w:tblCellMar>
          <w:top w:w="28" w:type="dxa"/>
          <w:left w:w="28" w:type="dxa"/>
          <w:bottom w:w="28" w:type="dxa"/>
          <w:right w:w="28" w:type="dxa"/>
        </w:tblCellMar>
      </w:tblPr>
      <w:tblGrid>
        <w:gridCol w:w="984"/>
        <w:gridCol w:w="862"/>
        <w:gridCol w:w="869"/>
        <w:gridCol w:w="109"/>
        <w:gridCol w:w="109"/>
        <w:gridCol w:w="109"/>
        <w:gridCol w:w="196"/>
        <w:gridCol w:w="661"/>
        <w:gridCol w:w="109"/>
        <w:gridCol w:w="109"/>
        <w:gridCol w:w="109"/>
        <w:gridCol w:w="109"/>
        <w:gridCol w:w="109"/>
        <w:gridCol w:w="109"/>
        <w:gridCol w:w="109"/>
        <w:gridCol w:w="109"/>
        <w:gridCol w:w="109"/>
        <w:gridCol w:w="109"/>
        <w:gridCol w:w="196"/>
        <w:gridCol w:w="661"/>
        <w:gridCol w:w="109"/>
        <w:gridCol w:w="109"/>
        <w:gridCol w:w="109"/>
        <w:gridCol w:w="109"/>
        <w:gridCol w:w="196"/>
        <w:gridCol w:w="661"/>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2"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2631" w:type="dxa"/>
            <w:gridSpan w:val="12"/>
            <w:tcBorders/>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EAs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Total</w:t>
            </w:r>
          </w:p>
        </w:tc>
      </w:tr>
      <w:tr>
        <w:trPr/>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27,386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35,108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62,494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(27,714)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(28,123)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35,469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35,469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Gross charge-offs of EAs were $27.7 million for the three months ended September 30, 2023, of which $15.4 million related to EA LOCs originated in fiscal year 2023 and $12.3 million related to Revolving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5: GOODWILL AND INTANGIBLE ASSETS </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Changes in the carrying amount of goodwill for the three months ended September 30, 2023 are as follows:</w:t>
      </w:r>
    </w:p>
    <w:tbl>
      <w:tblPr>
        <w:tblW w:w="9082" w:type="dxa"/>
        <w:jc w:val="left"/>
        <w:tblInd w:w="0" w:type="dxa"/>
        <w:tblLayout w:type="fixed"/>
        <w:tblCellMar>
          <w:top w:w="28" w:type="dxa"/>
          <w:left w:w="28" w:type="dxa"/>
          <w:bottom w:w="28" w:type="dxa"/>
          <w:right w:w="28" w:type="dxa"/>
        </w:tblCellMar>
      </w:tblPr>
      <w:tblGrid>
        <w:gridCol w:w="1206"/>
        <w:gridCol w:w="1058"/>
        <w:gridCol w:w="1066"/>
        <w:gridCol w:w="109"/>
        <w:gridCol w:w="109"/>
        <w:gridCol w:w="109"/>
        <w:gridCol w:w="196"/>
        <w:gridCol w:w="751"/>
        <w:gridCol w:w="109"/>
        <w:gridCol w:w="109"/>
        <w:gridCol w:w="109"/>
        <w:gridCol w:w="109"/>
        <w:gridCol w:w="440"/>
        <w:gridCol w:w="1821"/>
        <w:gridCol w:w="244"/>
        <w:gridCol w:w="109"/>
        <w:gridCol w:w="109"/>
        <w:gridCol w:w="109"/>
        <w:gridCol w:w="196"/>
        <w:gridCol w:w="751"/>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28"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Accumulated Impairment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18"/>
              </w:rPr>
            </w:pPr>
            <w:r>
              <w:rPr>
                <w:rFonts w:ascii="Calibri;sans-serif" w:hAnsi="Calibri;sans-serif"/>
                <w:b w:val="false"/>
                <w:color w:val="000000"/>
                <w:sz w:val="18"/>
              </w:rPr>
              <w:t>Balances as of 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913,750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8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(138,297)</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775,453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Acquisitions</w:t>
            </w:r>
            <w:r>
              <w:rPr>
                <w:rFonts w:ascii="Calibri;sans-serif" w:hAnsi="Calibr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3,081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3,081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Disposals and foreign currency changes,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(7,714)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(7,714)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909,117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(138,297)</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770,820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Calibri;sans-serif" w:hAnsi="Calibri;sans-serif"/>
          <w:b w:val="false"/>
          <w:color w:val="000000"/>
          <w:sz w:val="10"/>
        </w:rPr>
        <w:t>(1)</w:t>
      </w:r>
      <w:r>
        <w:rPr>
          <w:color w:val="000000"/>
        </w:rPr>
        <w:t>    </w:t>
      </w:r>
      <w:r>
        <w:rPr>
          <w:rFonts w:ascii="Calibri;sans-serif" w:hAnsi="Calibri;sans-serif"/>
          <w:b w:val="false"/>
          <w:color w:val="000000"/>
          <w:sz w:val="16"/>
        </w:rPr>
        <w:t>All goodwill added during the period is expected to be tax-deductible for federal income tax reporting.</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test goodwill for impairment annually as of February 1, or more frequently if events occur or circumstances change which would, more likely than not, reduce the fair value of a reporting unit below its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94995"/>
                <wp:effectExtent l="0" t="0" r="0" b="0"/>
                <wp:wrapNone/>
                <wp:docPr id="11" name="Frame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Components of intangible assets are as follows:</w:t>
      </w:r>
    </w:p>
    <w:tbl>
      <w:tblPr>
        <w:tblW w:w="7306" w:type="dxa"/>
        <w:jc w:val="left"/>
        <w:tblInd w:w="0" w:type="dxa"/>
        <w:tblLayout w:type="fixed"/>
        <w:tblCellMar>
          <w:top w:w="28" w:type="dxa"/>
          <w:left w:w="28" w:type="dxa"/>
          <w:bottom w:w="28" w:type="dxa"/>
          <w:right w:w="28" w:type="dxa"/>
        </w:tblCellMar>
      </w:tblPr>
      <w:tblGrid>
        <w:gridCol w:w="836"/>
        <w:gridCol w:w="734"/>
        <w:gridCol w:w="739"/>
        <w:gridCol w:w="109"/>
        <w:gridCol w:w="109"/>
        <w:gridCol w:w="109"/>
        <w:gridCol w:w="296"/>
        <w:gridCol w:w="1339"/>
        <w:gridCol w:w="164"/>
        <w:gridCol w:w="109"/>
        <w:gridCol w:w="109"/>
        <w:gridCol w:w="109"/>
        <w:gridCol w:w="196"/>
        <w:gridCol w:w="811"/>
        <w:gridCol w:w="109"/>
        <w:gridCol w:w="109"/>
        <w:gridCol w:w="109"/>
        <w:gridCol w:w="109"/>
        <w:gridCol w:w="196"/>
        <w:gridCol w:w="75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6"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30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Net</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394,535</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(216,277)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178,258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355,271</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(306,460)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48,811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Internally-developed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133,273</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(123,220)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10,053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42,751</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(40,097)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2,654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Franchise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19,201</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(19,068)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122,700</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(98,432)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24,268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5,800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3,335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1,073,531</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(806,019)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267,512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Reacquired franchise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392,452 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(212,495)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179,957 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351,695 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Internally-developed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133,380 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42,596 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Franchise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122,700 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1,067,824 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(790,781)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277,043 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Calibri;sans-serif" w:hAnsi="Calibri;sans-serif"/>
          <w:b w:val="false"/>
          <w:color w:val="000000"/>
          <w:sz w:val="20"/>
        </w:rPr>
        <w:t>We made payments to acquire businesses totaling $6.9 million and $16.5 million during the three months ended September 30, 2023 and 2022, respectively. The amounts and weighted-average lives of intangible assets acquired during the three months e</w:t>
      </w:r>
      <w:r>
        <w:rPr>
          <w:rFonts w:ascii="Calibri;sans-serif" w:hAnsi="Calibri;sans-serif"/>
          <w:b w:val="false"/>
          <w:color w:val="000000"/>
          <w:sz w:val="20"/>
          <w:shd w:fill="FFFFFF" w:val="clear"/>
        </w:rPr>
        <w:t>nded September 30, 2023 a</w:t>
      </w:r>
      <w:r>
        <w:rPr>
          <w:rFonts w:ascii="Calibri;sans-serif" w:hAnsi="Calibri;sans-serif"/>
          <w:b w:val="false"/>
          <w:color w:val="000000"/>
          <w:sz w:val="20"/>
        </w:rPr>
        <w:t>re as follows:</w:t>
      </w:r>
    </w:p>
    <w:tbl>
      <w:tblPr>
        <w:tblW w:w="6239" w:type="dxa"/>
        <w:jc w:val="left"/>
        <w:tblInd w:w="0" w:type="dxa"/>
        <w:tblLayout w:type="fixed"/>
        <w:tblCellMar>
          <w:top w:w="28" w:type="dxa"/>
          <w:left w:w="28" w:type="dxa"/>
          <w:bottom w:w="28" w:type="dxa"/>
          <w:right w:w="28" w:type="dxa"/>
        </w:tblCellMar>
      </w:tblPr>
      <w:tblGrid>
        <w:gridCol w:w="771"/>
        <w:gridCol w:w="677"/>
        <w:gridCol w:w="681"/>
        <w:gridCol w:w="109"/>
        <w:gridCol w:w="109"/>
        <w:gridCol w:w="109"/>
        <w:gridCol w:w="196"/>
        <w:gridCol w:w="571"/>
        <w:gridCol w:w="109"/>
        <w:gridCol w:w="109"/>
        <w:gridCol w:w="109"/>
        <w:gridCol w:w="109"/>
        <w:gridCol w:w="755"/>
        <w:gridCol w:w="755"/>
        <w:gridCol w:w="1070"/>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6239"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(dollars in 000s)</w:t>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Weighted-Average Life (in years)</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4,098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6,433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1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Calibri;sans-serif" w:hAnsi="Calibri;sans-serif"/>
          <w:b w:val="false"/>
          <w:color w:val="000000"/>
          <w:sz w:val="20"/>
        </w:rPr>
        <w:t>Amortization of intangible assets for the three</w:t>
      </w:r>
      <w:r>
        <w:rPr>
          <w:color w:val="000000"/>
          <w:shd w:fill="FFFFFF" w:val="clear"/>
        </w:rPr>
        <w:t xml:space="preserve"> </w:t>
      </w:r>
      <w:r>
        <w:rPr>
          <w:rFonts w:ascii="Calibri;sans-serif" w:hAnsi="Calibri;sans-serif"/>
          <w:b w:val="false"/>
          <w:color w:val="000000"/>
          <w:sz w:val="20"/>
          <w:shd w:fill="FFFFFF" w:val="clear"/>
        </w:rPr>
        <w:t xml:space="preserve">months ended September 30, 2023 was $15.8 million compared to $18.4 million for the </w:t>
      </w:r>
      <w:r>
        <w:rPr>
          <w:rFonts w:ascii="Calibri;sans-serif" w:hAnsi="Calibri;sans-serif"/>
          <w:b w:val="false"/>
          <w:color w:val="000000"/>
          <w:sz w:val="20"/>
        </w:rPr>
        <w:t>three</w:t>
      </w:r>
      <w:r>
        <w:rPr>
          <w:color w:val="000000"/>
          <w:shd w:fill="FFFFFF" w:val="clear"/>
        </w:rPr>
        <w:t xml:space="preserve"> </w:t>
      </w:r>
      <w:r>
        <w:rPr>
          <w:rFonts w:ascii="Calibri;sans-serif" w:hAnsi="Calibri;sans-serif"/>
          <w:b w:val="false"/>
          <w:color w:val="000000"/>
          <w:sz w:val="20"/>
          <w:shd w:fill="FFFFFF" w:val="clear"/>
        </w:rPr>
        <w:t>months ended September 30, 2022. Estimated amortization of intangible assets for fiscal years ending June 30, 2024, 2025, 2026, 2027, and 2028 is $56.9 million, $34.3 million, $25.0 million, $19.0 million and $11.7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43560"/>
                <wp:effectExtent l="0" t="0" r="0" b="0"/>
                <wp:wrapNone/>
                <wp:docPr id="12" name="Frame1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10</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10</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left"/>
        <w:rPr/>
      </w:pPr>
      <w:r>
        <w:rPr>
          <w:rFonts w:ascii="Calibri;sans-serif" w:hAnsi="Calibri;sans-serif"/>
          <w:b/>
          <w:color w:val="14AA40"/>
          <w:sz w:val="28"/>
        </w:rPr>
        <w:t>NOTE 6: LONG-TERM DEBT</w:t>
      </w:r>
      <w:r>
        <w:rPr>
          <w:color w:val="14AA40"/>
        </w:rPr>
        <w:t xml:space="preserve"> </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 components of long-term debt are as follows:</w:t>
      </w:r>
    </w:p>
    <w:tbl>
      <w:tblPr>
        <w:tblW w:w="6554" w:type="dxa"/>
        <w:jc w:val="center"/>
        <w:tblInd w:w="0" w:type="dxa"/>
        <w:tblLayout w:type="fixed"/>
        <w:tblCellMar>
          <w:top w:w="28" w:type="dxa"/>
          <w:left w:w="28" w:type="dxa"/>
          <w:bottom w:w="28" w:type="dxa"/>
          <w:right w:w="28" w:type="dxa"/>
        </w:tblCellMar>
      </w:tblPr>
      <w:tblGrid>
        <w:gridCol w:w="1116"/>
        <w:gridCol w:w="985"/>
        <w:gridCol w:w="989"/>
        <w:gridCol w:w="109"/>
        <w:gridCol w:w="109"/>
        <w:gridCol w:w="109"/>
        <w:gridCol w:w="261"/>
        <w:gridCol w:w="1183"/>
        <w:gridCol w:w="145"/>
        <w:gridCol w:w="109"/>
        <w:gridCol w:w="109"/>
        <w:gridCol w:w="109"/>
        <w:gridCol w:w="196"/>
        <w:gridCol w:w="871"/>
        <w:gridCol w:w="154"/>
      </w:tblGrid>
      <w:tr>
        <w:trPr/>
        <w:tc>
          <w:tcPr>
            <w:tcW w:w="111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June 30, 2023</w:t>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Senior Notes, 5.250%, due October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1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350,000</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Senior Notes, 2.500%, due July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500,000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Senior Notes, 3.875%, due August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650,000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Debt issuance costs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(10,486)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1,489,514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1,488,975 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1,489,514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1,488,975 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Estimated fair value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1,325,000</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Our unsecured committed line of credit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June 11, 2026, unless extended pursuant to the terms of the CLOC, at which time all outstanding amounts thereunder will be due and payable. Our CLOC includes an annual facility fee, which will vary depending on our then current credit ratings.</w:t>
      </w:r>
    </w:p>
    <w:p>
      <w:pPr>
        <w:pStyle w:val="TextBody"/>
        <w:bidi w:val="0"/>
        <w:spacing w:lineRule="auto" w:line="288" w:before="120" w:after="283"/>
        <w:ind w:left="0" w:right="0" w:firstLine="270"/>
        <w:jc w:val="both"/>
        <w:rPr/>
      </w:pPr>
      <w:r>
        <w:rPr>
          <w:rFonts w:ascii="Calibri;sans-serif" w:hAnsi="Calibri;sans-serif"/>
          <w:b w:val="false"/>
          <w:color w:val="000000"/>
          <w:sz w:val="20"/>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w:t>
      </w:r>
      <w:r>
        <w:rPr>
          <w:rFonts w:ascii="Calibri;sans-serif" w:hAnsi="Calibri;sans-serif"/>
          <w:b w:val="false"/>
          <w:color w:val="000000"/>
          <w:sz w:val="20"/>
          <w:shd w:fill="FFFFFF" w:val="clear"/>
        </w:rPr>
        <w:t xml:space="preserve">rposes. We were in compliance with these requirements as of September 30, 2023. </w:t>
      </w:r>
    </w:p>
    <w:p>
      <w:pPr>
        <w:pStyle w:val="TextBody"/>
        <w:bidi w:val="0"/>
        <w:spacing w:lineRule="auto" w:line="288" w:before="120" w:after="283"/>
        <w:ind w:left="0" w:right="0" w:firstLine="270"/>
        <w:jc w:val="both"/>
        <w:rPr/>
      </w:pPr>
      <w:r>
        <w:rPr>
          <w:rFonts w:ascii="Calibri;sans-serif" w:hAnsi="Calibri;sans-serif"/>
          <w:b w:val="false"/>
          <w:color w:val="000000"/>
          <w:sz w:val="20"/>
          <w:shd w:fill="FFFFFF" w:val="clear"/>
        </w:rPr>
        <w:t>We had no outst</w:t>
      </w:r>
      <w:r>
        <w:rPr>
          <w:rFonts w:ascii="Calibri;sans-serif" w:hAnsi="Calibri;sans-serif"/>
          <w:b w:val="false"/>
          <w:color w:val="000000"/>
          <w:sz w:val="20"/>
        </w:rPr>
        <w:t xml:space="preserve">anding balance under our CLOC and amounts available to borrow were not limited by the debt-to-EBITDA covenant as of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Calibri;sans-serif" w:hAnsi="Calibri;sans-serif"/>
          <w:b/>
          <w:color w:val="14AA40"/>
          <w:sz w:val="28"/>
        </w:rPr>
      </w:pPr>
      <w:r>
        <w:rPr>
          <w:rFonts w:ascii="Calibri;sans-serif" w:hAnsi="Calibri;sans-serif"/>
          <w:b/>
          <w:color w:val="14AA40"/>
          <w:sz w:val="28"/>
        </w:rPr>
        <w:t>NOTE 7: INCOME TAXES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 xml:space="preserve">We file a consolidated federal income tax return in the U.S. with the Internal Revenue Service (IRS) and file tax returns in various state, local, and foreign jurisdictions.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We had gross unrecognized tax benefits of $237.9 million and $240.1 million as of September 30, 2023 and June 30, 2023, respectively. The gross unrecognized tax benefits decreased by $2.2 million during the three months ended September 30, 2023. We believe it is reasonably possible that the balance of unrecognized tax benefits could decrease by approximately $136.1 million within the next twelve months. The anticipated decrease is due to the expiration of statutes of limitations and anticipated closure of various matters currently under examination or in appeals. For such matters where a change in the balance of unrecognized tax benefits is not yet deemed reasonably possible, no estimate has been included.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Our effective tax rate for continuing operations, including the effects of discrete tax items, was 23.3% and 24.4% for the three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94995"/>
                <wp:effectExtent l="0" t="0" r="0" b="0"/>
                <wp:wrapNone/>
                <wp:docPr id="13" name="Frame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Consistent with prior years, our pretax loss for the three months ended September 30, 2023 is expected to be offset by income in our third and fourth quarters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three months ended September 30, 2023 reflects management’s estimate of the annual effective tax rate applied to year-to-date loss from continuing operations adjusted for the tax impact of discrete items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8: COMMITMENTS AND CONTINGENCIES </w:t>
      </w:r>
    </w:p>
    <w:p>
      <w:pPr>
        <w:pStyle w:val="TextBody"/>
        <w:bidi w:val="0"/>
        <w:spacing w:lineRule="auto" w:line="288" w:before="120" w:after="283"/>
        <w:jc w:val="both"/>
        <w:rPr/>
      </w:pPr>
      <w:r>
        <w:rPr>
          <w:rFonts w:ascii="Calibri;sans-serif" w:hAnsi="Calibri;sans-serif"/>
          <w:b w:val="false"/>
          <w:color w:val="000000"/>
          <w:sz w:val="20"/>
        </w:rPr>
        <w:t>Our U.S. and Canadian businesses offer our 100% accuracy guarantee. Assisted tax returns</w:t>
      </w:r>
      <w:r>
        <w:rPr>
          <w:color w:val="000000"/>
        </w:rPr>
        <w:t xml:space="preserve"> </w:t>
      </w:r>
      <w:r>
        <w:rPr>
          <w:rFonts w:ascii="Calibri;sans-serif" w:hAnsi="Calibri;sans-serif"/>
          <w:b w:val="false"/>
          <w:color w:val="000000"/>
          <w:sz w:val="20"/>
        </w:rPr>
        <w:t xml:space="preserve">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respective taxing authority that a client would otherwise not have been required to pay. Our liability related to estimated losses under the 100% accuracy guarantee was $14.4 million and $15.8 million as of September 30, 2023 and June 30, 2023, respectively. The short-term and long-term portions of this liability are included in deferred revenue and other liabilities in the consolidated balance sheets.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$20.3 million and $18.3 million as of September 30, 2023 and June 30, 2023 respectively, with amounts recorded in deferred revenue and other liabilities. Should actual results differ from our estimates, future payments made will differ from the above estimate and any differences will be recorded in results from continuing operations.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have contractual commitments to fund certain franchises with approved short-term lines of credit for the purpose of meeting their seasonal working capital needs. Our total obligation under these lines of credit was $14.4 million at September 30, 2023, and net of amounts drawn and outstanding, our remaining commitment to fund totaled $8.4 million.</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purchase a 90% participation interest in each EA originated by Pathward®, N.A. (Pathward) in accordance with our agreement. Historically, EA LOCs have been offered to our clients in our offices. In fiscal year 2024, EAs are being offered as term loans and we are discontinuing EA LOCs. EA TLs are interest bearing with principal and interest due in full on March 31, and there are no annual fees or required monthly payments. EA TLs are offered to clients in our offices, in November and December, in amounts of $350 to $1,300. Effective October 20, 2023, we amended the Program Management Agreement and entered into a new participation agreement related to EA TLs originated by Pathward. We will continue to purchase a 90% participation interest in each loan made by Pathward in accordance with the participation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9: LITIGATION AND OTHER RELATED CONTINGENCIES </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We are a defendant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In addition, jurisdictions may permit plaintiffs to allege monetary damages in amounts well exceeding reasonably possible verdicts in the jurisdiction for similar matters. We believe that the monetary relief which may be specified in a lawsuit or claim bears little relevance to its merits or disposition value due to this variability in pleadings and our experience in handling and resolving numerous claims over an extended period of time.</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43560"/>
                <wp:effectExtent l="0" t="0" r="0" b="0"/>
                <wp:wrapNone/>
                <wp:docPr id="14" name="Frame1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Disposition valuations are also subject to the uncertainty of how opposing parties and their counsel will view the relevant evidence and applicable law.</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In addition to litigation and arbitration matters, we are also subject to other loss contingencies arising out of our business activities, including as described below.</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September 30, 2023.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Our accrued liabilities were $0.2 million as of September 30, 2023 and June 30, 2023.</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September 30, 2023, we believe the estimate of the aggregate range of reasonably possible losses in excess of amounts accrued, where the range of loss can be estimated, is not material.</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4995"/>
                <wp:effectExtent l="0" t="0" r="0" b="0"/>
                <wp:wrapNone/>
                <wp:docPr id="15"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pPr>
      <w:r>
        <w:rPr>
          <w:rFonts w:ascii="Calibri;sans-serif" w:hAnsi="Calibri;sans-serif"/>
          <w:b/>
          <w:color w:val="000000"/>
          <w:sz w:val="20"/>
        </w:rPr>
        <w:t xml:space="preserve">LITIGATION, CLAIMS OR OTHER LOSS CONTINGENCIES PERTAINING TO CONTINUING OPERATIONS </w:t>
      </w:r>
      <w:r>
        <w:rPr>
          <w:color w:val="000000"/>
        </w:rPr>
        <w:t>–</w:t>
      </w:r>
    </w:p>
    <w:p>
      <w:pPr>
        <w:pStyle w:val="TextBody"/>
        <w:bidi w:val="0"/>
        <w:spacing w:lineRule="auto" w:line="288" w:before="120" w:after="120"/>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On May 6, 2019, the Los Angeles City Attorney filed a lawsuit on behalf of the People of the State of California in the Superior Court of California, County of Los Angeles (Case No. 19STCV15742). The case is styled The People of the State of California v. HRB Digital LLC, et al. The complaint alleges that H&amp;R Block, Inc. and HRB Digital LLC engaged in unfair, fraudulent and deceptive business practices and acts in connection with the IRS Free File Program in violation of the California Unfair Competition Law, California Business and Professions Code §§17200 et seq.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for summary judgment, which was denied. A trial date is set for February 20, 2024. We have not concluded that a loss related to this matter is probable, nor have we accrued a liability related to this matter. </w:t>
      </w:r>
    </w:p>
    <w:p>
      <w:pPr>
        <w:pStyle w:val="TextBody"/>
        <w:bidi w:val="0"/>
        <w:spacing w:lineRule="auto" w:line="288" w:before="120" w:after="120"/>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We have received and are responding to certain governmental inquiries and other matters relating to the IRS Free File Program and to our DIY tax preparation services. We received a demand and draft complaint in February 2023 from the Federal Trade Commission (FTC) relating to our DIY tax preparation services. If the parties are not able to reach amicable resolution, the FTC may seek resolution through litigation. We have not concluded that a loss related to these matters is probable, nor have we accrued a liability related to these matters. </w:t>
      </w:r>
    </w:p>
    <w:p>
      <w:pPr>
        <w:pStyle w:val="TextBody"/>
        <w:bidi w:val="0"/>
        <w:spacing w:lineRule="auto" w:line="288" w:before="120" w:after="283"/>
        <w:ind w:left="0" w:right="0" w:firstLine="225"/>
        <w:jc w:val="both"/>
        <w:rPr/>
      </w:pPr>
      <w:r>
        <w:rPr>
          <w:rFonts w:ascii="Calibri;sans-serif" w:hAnsi="Calibri;sans-serif"/>
          <w:b/>
          <w:color w:val="000000"/>
          <w:sz w:val="20"/>
        </w:rPr>
        <w:t>DISCONTINUED MORTGAGE OPERATIONS</w:t>
      </w:r>
      <w:r>
        <w:rPr>
          <w:color w:val="000000"/>
        </w:rPr>
        <w:t> – </w:t>
      </w:r>
      <w:r>
        <w:rPr>
          <w:rFonts w:ascii="Calibri;sans-serif" w:hAnsi="Calibri;sans-serif"/>
          <w:b w:val="false"/>
          <w:color w:val="000000"/>
          <w:sz w:val="20"/>
        </w:rPr>
        <w:t xml:space="preserve">Although SCC ceased its mortgage loan origination activities in December 2007 and sold its loan servicing business in April 2008, SCC or the Company has been and may in the future be, subject to litigation and other loss contingencies, including indemnification and contribution claims, pertaining to SCC's mortgage business activities that occurred prior to such termination and sale. </w:t>
      </w:r>
    </w:p>
    <w:p>
      <w:pPr>
        <w:pStyle w:val="TextBody"/>
        <w:bidi w:val="0"/>
        <w:spacing w:lineRule="auto" w:line="288" w:before="120" w:after="120"/>
        <w:ind w:left="0" w:right="0" w:firstLine="225"/>
        <w:jc w:val="both"/>
        <w:rPr>
          <w:rFonts w:ascii="Calibri;sans-serif" w:hAnsi="Calibri;sans-serif"/>
          <w:b w:val="false"/>
          <w:color w:val="000000"/>
          <w:sz w:val="20"/>
        </w:rPr>
      </w:pPr>
      <w:r>
        <w:rPr>
          <w:rFonts w:ascii="Calibri;sans-serif" w:hAnsi="Calibri;sans-serif"/>
          <w:b w:val="false"/>
          <w:color w:val="000000"/>
          <w:sz w:val="20"/>
        </w:rPr>
        <w:t>Parties, including underwriters, depositors, and securitization trustees, have been, remain, or may in the future be, involved in lawsuits, threatened lawsuits, or settlements related to securitization transactions in which SCC participated. A variety of claims are alleged in these matters, including violations of federal and state securities laws and common law fraud, breaches of representations and warranties, or violations of statutory requirements. SCC has received notices of potential indemnification or contribution obligations relating to such matters. Additional lawsuits against the parties to the securitization transactions may be filed in the future, and SCC may receive additional notices of potential indemnification, contribution or similar obligations with respect to existing or new lawsuits or settlements of such lawsuits or other claims. We have not concluded that a loss related to any of these potential indemnification or contribution claims is probable, nor have we accrued a liability related to any of these claims.</w:t>
      </w:r>
    </w:p>
    <w:p>
      <w:pPr>
        <w:pStyle w:val="TextBody"/>
        <w:bidi w:val="0"/>
        <w:spacing w:lineRule="auto" w:line="288" w:before="120" w:after="120"/>
        <w:ind w:left="0" w:right="0" w:firstLine="225"/>
        <w:jc w:val="both"/>
        <w:rPr>
          <w:rFonts w:ascii="Calibri;sans-serif" w:hAnsi="Calibri;sans-serif"/>
          <w:b w:val="false"/>
          <w:color w:val="000000"/>
          <w:sz w:val="20"/>
        </w:rPr>
      </w:pPr>
      <w:r>
        <w:rPr>
          <w:rFonts w:ascii="Calibri;sans-serif" w:hAnsi="Calibri;sans-serif"/>
          <w:b w:val="false"/>
          <w:color w:val="000000"/>
          <w:sz w:val="20"/>
        </w:rPr>
        <w:t>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and the indeterminate damages sought. If the amount that SCC is ultimately required to pay with respect to loss contingencies,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also may attempt to assert claims against or seek payment directly from the Company even if SCC's assets exceed its liabilities. SCC's principal assets, as of September 30, 2023, total approximately $265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pStyle w:val="TextBody"/>
        <w:bidi w:val="0"/>
        <w:spacing w:lineRule="auto" w:line="288" w:before="120" w:after="120"/>
        <w:ind w:left="0" w:right="0" w:firstLine="270"/>
        <w:jc w:val="both"/>
        <w:rPr/>
      </w:pPr>
      <w:r>
        <w:rPr>
          <w:rFonts w:ascii="Calibri;sans-serif" w:hAnsi="Calibri;sans-serif"/>
          <w:b/>
          <w:color w:val="000000"/>
          <w:sz w:val="20"/>
        </w:rPr>
        <w:t>OTHER</w:t>
      </w:r>
      <w:r>
        <w:rPr>
          <w:color w:val="000000"/>
        </w:rPr>
        <w:t xml:space="preserve"> – </w:t>
      </w:r>
      <w:r>
        <w:rPr>
          <w:rFonts w:ascii="Calibri;sans-serif" w:hAnsi="Calibri;sans-serif"/>
          <w:b w:val="false"/>
          <w:color w:val="000000"/>
          <w:sz w:val="20"/>
        </w:rPr>
        <w:t xml:space="preserve">We are from time to time a party to litigation, arbitration and other loss contingencies not discussed herein arising out of our business operations. These matters may include actions by state attorneys general, other state regulators, federal regulators, individual plaintiffs, and cases in which plaintiffs seek to represent others who may be similarly situated. </w:t>
      </w:r>
    </w:p>
    <w:p>
      <w:pPr>
        <w:pStyle w:val="TextBody"/>
        <w:bidi w:val="0"/>
        <w:spacing w:lineRule="auto" w:line="288" w:before="120" w:after="120"/>
        <w:ind w:left="0" w:right="0" w:firstLine="270"/>
        <w:jc w:val="both"/>
        <w:rPr>
          <w:rFonts w:ascii="Calibri;sans-serif" w:hAnsi="Calibri;sans-serif"/>
          <w:b w:val="false"/>
          <w:color w:val="000000"/>
          <w:sz w:val="20"/>
        </w:rPr>
      </w:pPr>
      <w:r>
        <w:rPr>
          <w:rFonts w:ascii="Calibri;sans-serif" w:hAnsi="Calibri;sans-serif"/>
          <w:b w:val="false"/>
          <w:color w:val="000000"/>
          <w:sz w:val="20"/>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43560"/>
                <wp:effectExtent l="0" t="0" r="0" b="0"/>
                <wp:wrapNone/>
                <wp:docPr id="16" name="Frame1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hanging="1260"/>
        <w:jc w:val="both"/>
        <w:rPr>
          <w:rFonts w:ascii="Calibri;sans-serif" w:hAnsi="Calibri;sans-serif"/>
          <w:b/>
          <w:color w:val="14AA40"/>
          <w:sz w:val="28"/>
        </w:rPr>
      </w:pPr>
      <w:r>
        <w:rPr>
          <w:rFonts w:ascii="Calibri;sans-serif" w:hAnsi="Calibri;sans-serif"/>
          <w:b/>
          <w:color w:val="14AA40"/>
          <w:sz w:val="2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RESULTS OF OPERATIONS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Our subsidiaries provide assisted and do-it-yourself (DIY) tax preparation solutions through multiple channels (including in-person, online and mobile applications, virtual, and desktop software) and distribute H&amp;R Block-branded products and services, including those of our bank partners, to the general public primarily in the United States (U.S.), Canada and Australia. Tax returns are either prepared by H&amp;R Block tax professionals (in company-owned or franchise offices, virtually or via an internet review) or prepared and filed by our clients through our DIY tax solutions. We also offer small business solutions through our company-owned and franchise offices and online through Wave. We report a single segment that includes all of our continuing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4995"/>
                <wp:effectExtent l="0" t="0" r="0" b="0"/>
                <wp:wrapNone/>
                <wp:docPr id="17" name="Frame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tbl>
      <w:tblPr>
        <w:tblW w:w="9245" w:type="dxa"/>
        <w:jc w:val="left"/>
        <w:tblInd w:w="0" w:type="dxa"/>
        <w:tblLayout w:type="fixed"/>
        <w:tblCellMar>
          <w:top w:w="28" w:type="dxa"/>
          <w:left w:w="28" w:type="dxa"/>
          <w:bottom w:w="28" w:type="dxa"/>
          <w:right w:w="28" w:type="dxa"/>
        </w:tblCellMar>
      </w:tblPr>
      <w:tblGrid>
        <w:gridCol w:w="1298"/>
        <w:gridCol w:w="1140"/>
        <w:gridCol w:w="1146"/>
        <w:gridCol w:w="109"/>
        <w:gridCol w:w="109"/>
        <w:gridCol w:w="109"/>
        <w:gridCol w:w="196"/>
        <w:gridCol w:w="811"/>
        <w:gridCol w:w="109"/>
        <w:gridCol w:w="109"/>
        <w:gridCol w:w="109"/>
        <w:gridCol w:w="109"/>
        <w:gridCol w:w="196"/>
        <w:gridCol w:w="811"/>
        <w:gridCol w:w="109"/>
        <w:gridCol w:w="109"/>
        <w:gridCol w:w="109"/>
        <w:gridCol w:w="109"/>
        <w:gridCol w:w="196"/>
        <w:gridCol w:w="556"/>
        <w:gridCol w:w="109"/>
        <w:gridCol w:w="109"/>
        <w:gridCol w:w="109"/>
        <w:gridCol w:w="109"/>
        <w:gridCol w:w="379"/>
        <w:gridCol w:w="386"/>
        <w:gridCol w:w="495"/>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r>
      <w:tr>
        <w:trPr/>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r>
      <w:tr>
        <w:trPr/>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Assisted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5,701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DIY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21.8 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Refund Transfers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Peace of Mind® Extended Service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24,847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Identity Shield®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10,980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90,361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Emerald Card® and Spruce</w:t>
            </w:r>
            <w:r>
              <w:rPr>
                <w:rFonts w:ascii="Calibri;sans-serif" w:hAnsi="Calibr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(25.7)</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Interest and fee income on Emerald Advance</w:t>
            </w:r>
            <w:r>
              <w:rPr>
                <w:rFonts w:ascii="Calibri;sans-serif" w:hAnsi="Calibri;sans-serif"/>
                <w:b w:val="false"/>
                <w:color w:val="000000"/>
                <w:sz w:val="12"/>
              </w:rPr>
              <w:t>SM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(51.5)</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8,931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(27.0)</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60,565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23,943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183,800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179,985 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Field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62,435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72,098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Benefits and other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35,248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169,781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160,258 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99,285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30,225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(1,358.4)</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80,556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390,126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9,836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(15,870)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Pretax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(212,360)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(221,324)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(49,487)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(8.3)</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(162,873)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(163,482)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Adjusted diluted EPS</w:t>
            </w:r>
            <w:r>
              <w:rPr>
                <w:rFonts w:ascii="Calibri;sans-serif" w:hAnsi="Calibr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 xml:space="preserve">EBITDA </w:t>
            </w:r>
            <w:r>
              <w:rPr>
                <w:rFonts w:ascii="Calibri;sans-serif" w:hAnsi="Calibr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(166,265)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(171,876)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Calibri;sans-serif" w:hAnsi="Calibri;sans-serif"/>
          <w:b w:val="false"/>
          <w:color w:val="000000"/>
          <w:sz w:val="10"/>
        </w:rPr>
        <w:t>(1)</w:t>
      </w:r>
      <w:r>
        <w:rPr>
          <w:color w:val="000000"/>
        </w:rPr>
        <w:t>    </w:t>
      </w:r>
      <w:r>
        <w:rPr>
          <w:rFonts w:ascii="Calibri;sans-serif" w:hAnsi="Calibri;sans-serif"/>
          <w:b w:val="false"/>
          <w:color w:val="000000"/>
          <w:sz w:val="16"/>
        </w:rPr>
        <w:t>All non-GAAP measures are results from continuing operations. See "</w:t>
      </w:r>
      <w:hyperlink w:anchor="iafc45a77d047448791facc0098fadc7b_82">
        <w:r>
          <w:rPr>
            <w:rStyle w:val="InternetLink"/>
            <w:rFonts w:ascii="Calibri;sans-serif" w:hAnsi="Calibri;sans-serif"/>
            <w:b w:val="false"/>
            <w:color w:val="0000FF"/>
            <w:sz w:val="16"/>
            <w:u w:val="single"/>
          </w:rPr>
          <w:t>Non-GAAP Financial Information</w:t>
        </w:r>
      </w:hyperlink>
      <w:r>
        <w:rPr>
          <w:rFonts w:ascii="Calibri;sans-serif" w:hAnsi="Calibri;sans-serif"/>
          <w:b w:val="false"/>
          <w:color w:val="000000"/>
          <w:sz w:val="16"/>
        </w:rPr>
        <w:t xml:space="preserve">" at the end of this item for a reconciliation of non-GAAP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43560"/>
                <wp:effectExtent l="0" t="0" r="0" b="0"/>
                <wp:wrapNone/>
                <wp:docPr id="18" name="Frame1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16</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16</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both"/>
        <w:rPr/>
      </w:pPr>
      <w:r>
        <w:rPr>
          <w:rFonts w:ascii="Calibri;sans-serif" w:hAnsi="Calibri;sans-serif"/>
          <w:b/>
          <w:color w:val="000000"/>
          <w:sz w:val="20"/>
          <w:shd w:fill="FFFFFF" w:val="clear"/>
        </w:rPr>
        <w:t xml:space="preserve">Three months ended September 30, 2023 compared to </w:t>
      </w:r>
      <w:r>
        <w:rPr>
          <w:rFonts w:ascii="Calibri;sans-serif" w:hAnsi="Calibri;sans-serif"/>
          <w:b/>
          <w:color w:val="000000"/>
          <w:sz w:val="20"/>
        </w:rPr>
        <w:t>September 30, 2022</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Revenues increased $3.8 million, or 2.1%, from the prior year. U.S. assisted tax preparation revenues increased $3.0 million, or 8.1%, primarily due to a higher net average charge in the current year. Other revenues increased $1.6 million, or 17.3%, primarily due to higher extension filing fees and accounting and bookkeeping fees.</w:t>
      </w:r>
    </w:p>
    <w:p>
      <w:pPr>
        <w:pStyle w:val="TextBody"/>
        <w:bidi w:val="0"/>
        <w:spacing w:lineRule="auto" w:line="288" w:before="120" w:after="283"/>
        <w:ind w:left="0" w:right="0" w:firstLine="270"/>
        <w:jc w:val="both"/>
        <w:rPr/>
      </w:pPr>
      <w:r>
        <w:rPr>
          <w:rFonts w:ascii="Calibri;sans-serif" w:hAnsi="Calibri;sans-serif"/>
          <w:b w:val="false"/>
          <w:color w:val="000000"/>
          <w:sz w:val="20"/>
        </w:rPr>
        <w:t>Emerald Card® and Spruce</w:t>
      </w:r>
      <w:r>
        <w:rPr>
          <w:rFonts w:ascii="Calibri;sans-serif" w:hAnsi="Calibri;sans-serif"/>
          <w:b w:val="false"/>
          <w:color w:val="000000"/>
          <w:sz w:val="13"/>
        </w:rPr>
        <w:t>SM</w:t>
      </w:r>
      <w:r>
        <w:rPr>
          <w:color w:val="000000"/>
        </w:rPr>
        <w:t xml:space="preserve"> </w:t>
      </w:r>
      <w:r>
        <w:rPr>
          <w:rFonts w:ascii="Calibri;sans-serif" w:hAnsi="Calibri;sans-serif"/>
          <w:b w:val="false"/>
          <w:color w:val="000000"/>
          <w:sz w:val="20"/>
        </w:rPr>
        <w:t>revenues decreased $3.0 million, or 25.7%, primarily due to lower Emerald Card® activity in the current year as a result of less funds being loaded in the current year.</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International tax preparation revenues increased $1.7 million, or 2.9%, due to higher volumes in Australia, which was partially offset by the impacts of foreign currency exchange rates. Wave revenues increased $1.3 million, or 5.7%, due to higher small business payments processing volumes.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Total operating expenses increased $1.0 million, or 0.3%, from the prior year. Other wages increased $8.3 million, or 13.1%, primarily due to higher corporate wages and a bonus accrual adjustment in the prior year. Marketing and advertising expense decreased $5.2 million, or 48.5%, primarily due to a vendor refund for expired customer incentives and lower online advertising. Depreciation and amortization expense decreased $3.4 million, or 10.1%, primarily due to lower amortization of acquired intangibles. Bad debt expense increased $4.5 million due to higher Emerald Card® losses in the current year.</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operating expenses decreased $6.1 million, or 7.0%. The components of other expenses are as follows:</w:t>
      </w:r>
    </w:p>
    <w:tbl>
      <w:tblPr>
        <w:tblW w:w="7880" w:type="dxa"/>
        <w:jc w:val="center"/>
        <w:tblInd w:w="0" w:type="dxa"/>
        <w:tblLayout w:type="fixed"/>
        <w:tblCellMar>
          <w:top w:w="28" w:type="dxa"/>
          <w:left w:w="28" w:type="dxa"/>
          <w:bottom w:w="28" w:type="dxa"/>
          <w:right w:w="28" w:type="dxa"/>
        </w:tblCellMar>
      </w:tblPr>
      <w:tblGrid>
        <w:gridCol w:w="999"/>
        <w:gridCol w:w="877"/>
        <w:gridCol w:w="883"/>
        <w:gridCol w:w="109"/>
        <w:gridCol w:w="109"/>
        <w:gridCol w:w="109"/>
        <w:gridCol w:w="196"/>
        <w:gridCol w:w="661"/>
        <w:gridCol w:w="109"/>
        <w:gridCol w:w="109"/>
        <w:gridCol w:w="109"/>
        <w:gridCol w:w="109"/>
        <w:gridCol w:w="196"/>
        <w:gridCol w:w="646"/>
        <w:gridCol w:w="109"/>
        <w:gridCol w:w="109"/>
        <w:gridCol w:w="109"/>
        <w:gridCol w:w="109"/>
        <w:gridCol w:w="196"/>
        <w:gridCol w:w="556"/>
        <w:gridCol w:w="109"/>
        <w:gridCol w:w="109"/>
        <w:gridCol w:w="109"/>
        <w:gridCol w:w="109"/>
        <w:gridCol w:w="269"/>
        <w:gridCol w:w="271"/>
        <w:gridCol w:w="495"/>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7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r>
      <w:tr>
        <w:trPr/>
        <w:tc>
          <w:tcPr>
            <w:tcW w:w="27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Consulting and outsourced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13,134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27.2 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Bank partner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Client claims and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Employee and travel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5,686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Technology-related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23,078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Credit card/bank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17,169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Legal fees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2,763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18.6 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6,081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(42.8)</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80,556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Consulting and outsourced services expense decreased $4.9 million, or 27.2%, primarily due to lower contract labor in the current year. Technology-related expenses decreased $2.8 million, or 10.9%, due to lower costs of technology in the current year.</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income (expense), net increased $6.2 million, or 172.4%, primarily due to higher interest income in the current year.</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recorded an income tax benefit of $49.5 million in the current year compared to $54.0 million in the prior year. The effective tax rate for the three months ended September 30, 2023, and 2022 was 23.3% and 24.4%, respectively.</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Diluted loss per share from continuing operations increased 5.7% from the prior year due to fewer shares outstanding from share repurchases, partially offset by a lower net loss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FINANCIAL CONDITION</w:t>
      </w:r>
    </w:p>
    <w:p>
      <w:pPr>
        <w:pStyle w:val="TextBody"/>
        <w:bidi w:val="0"/>
        <w:spacing w:lineRule="auto" w:line="288" w:before="120" w:after="283"/>
        <w:jc w:val="both"/>
        <w:rPr/>
      </w:pPr>
      <w:r>
        <w:rPr>
          <w:rFonts w:ascii="Calibri;sans-serif" w:hAnsi="Calibri;sans-serif"/>
          <w:b w:val="false"/>
          <w:color w:val="000000"/>
          <w:sz w:val="20"/>
        </w:rPr>
        <w:t xml:space="preserve">These comments should be read in conjunction with the consolidated balance sheets and consolidated statements of cash flows included in </w:t>
      </w:r>
      <w:hyperlink w:anchor="iafc45a77d047448791facc0098fadc7b_25">
        <w:r>
          <w:rPr>
            <w:rStyle w:val="InternetLink"/>
            <w:rFonts w:ascii="Calibri;sans-serif" w:hAnsi="Calibri;sans-serif"/>
            <w:b w:val="false"/>
            <w:color w:val="0000FF"/>
            <w:sz w:val="20"/>
            <w:u w:val="single"/>
          </w:rPr>
          <w:t>Part 1, Item 1</w:t>
        </w:r>
      </w:hyperlink>
      <w:r>
        <w:rPr>
          <w:rFonts w:ascii="Calibri;sans-serif" w:hAnsi="Calibri;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19" name="Frame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both"/>
        <w:rPr/>
      </w:pPr>
      <w:r>
        <w:rPr>
          <w:rFonts w:ascii="Calibri;sans-serif" w:hAnsi="Calibri;sans-serif"/>
          <w:b/>
          <w:color w:val="000000"/>
          <w:sz w:val="20"/>
        </w:rPr>
        <w:t>CAPITAL RESOURCES AND LIQUIDITY</w:t>
      </w:r>
      <w:r>
        <w:rPr>
          <w:color w:val="000000"/>
        </w:rPr>
        <w:t xml:space="preserve"> – </w:t>
      </w:r>
    </w:p>
    <w:p>
      <w:pPr>
        <w:pStyle w:val="TextBody"/>
        <w:bidi w:val="0"/>
        <w:spacing w:lineRule="auto" w:line="288" w:before="120" w:after="283"/>
        <w:ind w:left="0" w:right="0" w:firstLine="270"/>
        <w:jc w:val="both"/>
        <w:rPr/>
      </w:pPr>
      <w:r>
        <w:rPr>
          <w:rFonts w:ascii="Calibri;sans-serif" w:hAnsi="Calibri;sans-serif"/>
          <w:b/>
          <w:color w:val="000000"/>
          <w:sz w:val="20"/>
        </w:rPr>
        <w:t xml:space="preserve">OVERVIEW </w:t>
      </w:r>
      <w:r>
        <w:rPr>
          <w:color w:val="000000"/>
        </w:rPr>
        <w:t xml:space="preserve">– </w:t>
      </w:r>
      <w:r>
        <w:rPr>
          <w:rFonts w:ascii="Calibri;sans-serif" w:hAnsi="Calibri;sans-serif"/>
          <w:b w:val="false"/>
          <w:color w:val="000000"/>
          <w:sz w:val="20"/>
        </w:rPr>
        <w:t>Our primary sources of capital and liquidity include cash from operations (including changes in working capital), draws on our unsecured committed line of credit (CLOC), and issuances of debt. We use our sources of liquidity primarily to fund working capital, service and repay debt, pay dividends, repurchase shares of our common stock, and acquire businesses.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January. We typically have relied on available cash balances from the prior tax season and borrowings to meet liquidity needs.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Given the likely availability of a number of liquidity options discussed herein, we believe that, in the absence of any unexpected developments, our existing sources of capital as of September 30, 2023 are sufficient to meet our operating, investing and financing needs.</w:t>
      </w:r>
    </w:p>
    <w:p>
      <w:pPr>
        <w:pStyle w:val="TextBody"/>
        <w:bidi w:val="0"/>
        <w:spacing w:lineRule="auto" w:line="288" w:before="120" w:after="283"/>
        <w:ind w:left="0" w:right="0" w:firstLine="270"/>
        <w:jc w:val="both"/>
        <w:rPr/>
      </w:pPr>
      <w:r>
        <w:rPr>
          <w:rFonts w:ascii="Calibri;sans-serif" w:hAnsi="Calibri;sans-serif"/>
          <w:b/>
          <w:color w:val="000000"/>
          <w:sz w:val="20"/>
        </w:rPr>
        <w:t xml:space="preserve">DISCUSSION OF CONSOLIDATED STATEMENTS OF CASH FLOWS </w:t>
      </w:r>
      <w:r>
        <w:rPr>
          <w:color w:val="000000"/>
        </w:rPr>
        <w:t xml:space="preserve">– </w:t>
      </w:r>
      <w:r>
        <w:rPr>
          <w:rFonts w:ascii="Calibri;sans-serif" w:hAnsi="Calibri;sans-serif"/>
          <w:b w:val="false"/>
          <w:color w:val="000000"/>
          <w:sz w:val="20"/>
        </w:rPr>
        <w:t xml:space="preserve">The following table summarizes our statements of cash flows for the three months ended September 30, 2023 and 2022. See </w:t>
      </w:r>
      <w:hyperlink w:anchor="iafc45a77d047448791facc0098fadc7b_25">
        <w:r>
          <w:rPr>
            <w:rStyle w:val="InternetLink"/>
            <w:rFonts w:ascii="Calibri;sans-serif" w:hAnsi="Calibri;sans-serif"/>
            <w:b w:val="false"/>
            <w:color w:val="0000FF"/>
            <w:sz w:val="20"/>
            <w:u w:val="single"/>
          </w:rPr>
          <w:t>Item 1</w:t>
        </w:r>
      </w:hyperlink>
      <w:r>
        <w:rPr>
          <w:color w:val="000000"/>
        </w:rPr>
        <w:t xml:space="preserve"> </w:t>
      </w:r>
      <w:r>
        <w:rPr>
          <w:rFonts w:ascii="Calibri;sans-serif" w:hAnsi="Calibri;sans-serif"/>
          <w:b w:val="false"/>
          <w:color w:val="000000"/>
          <w:sz w:val="20"/>
        </w:rPr>
        <w:t>for the complete consolidated statements of cash flows for these periods.</w:t>
      </w:r>
    </w:p>
    <w:tbl>
      <w:tblPr>
        <w:tblW w:w="8564" w:type="dxa"/>
        <w:jc w:val="left"/>
        <w:tblInd w:w="0" w:type="dxa"/>
        <w:tblLayout w:type="fixed"/>
        <w:tblCellMar>
          <w:top w:w="28" w:type="dxa"/>
          <w:left w:w="28" w:type="dxa"/>
          <w:bottom w:w="28" w:type="dxa"/>
          <w:right w:w="28" w:type="dxa"/>
        </w:tblCellMar>
      </w:tblPr>
      <w:tblGrid>
        <w:gridCol w:w="1961"/>
        <w:gridCol w:w="1721"/>
        <w:gridCol w:w="1733"/>
        <w:gridCol w:w="109"/>
        <w:gridCol w:w="109"/>
        <w:gridCol w:w="109"/>
        <w:gridCol w:w="196"/>
        <w:gridCol w:w="811"/>
        <w:gridCol w:w="109"/>
        <w:gridCol w:w="109"/>
        <w:gridCol w:w="109"/>
        <w:gridCol w:w="109"/>
        <w:gridCol w:w="196"/>
        <w:gridCol w:w="811"/>
        <w:gridCol w:w="109"/>
        <w:gridCol w:w="109"/>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(334,989)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(321,666)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(23,890)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(195,198)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(246,893)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Effects of exchange rates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decrease in cash and cash equivalents, including restricted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(557,756)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(619,339)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Calibri;sans-serif" w:hAnsi="Calibri;sans-serif"/>
          <w:b/>
          <w:color w:val="000000"/>
          <w:sz w:val="20"/>
        </w:rPr>
        <w:t>Operating Activities.</w:t>
      </w:r>
      <w:r>
        <w:rPr>
          <w:color w:val="000000"/>
        </w:rPr>
        <w:t xml:space="preserve"> </w:t>
      </w:r>
      <w:r>
        <w:rPr>
          <w:rFonts w:ascii="Calibri;sans-serif" w:hAnsi="Calibri;sans-serif"/>
          <w:b w:val="false"/>
          <w:color w:val="000000"/>
          <w:sz w:val="20"/>
        </w:rPr>
        <w:t>Cash used in operations totaled $335.0 million for the three months ended September 30, 2023 compared to $321.7 million in the prior year period. The change is primarily due to the receipt of income tax receivables in the prior year and changes in deferred tax assets in the current year, partially offset by lower bonus and payroll tax payments in the current year.</w:t>
      </w:r>
    </w:p>
    <w:p>
      <w:pPr>
        <w:pStyle w:val="TextBody"/>
        <w:bidi w:val="0"/>
        <w:spacing w:lineRule="auto" w:line="288" w:before="120" w:after="283"/>
        <w:ind w:left="0" w:right="0" w:firstLine="270"/>
        <w:jc w:val="both"/>
        <w:rPr/>
      </w:pPr>
      <w:r>
        <w:rPr>
          <w:rFonts w:ascii="Calibri;sans-serif" w:hAnsi="Calibri;sans-serif"/>
          <w:b/>
          <w:color w:val="000000"/>
          <w:sz w:val="20"/>
        </w:rPr>
        <w:t xml:space="preserve">Investing Activities. </w:t>
      </w:r>
      <w:r>
        <w:rPr>
          <w:rFonts w:ascii="Calibri;sans-serif" w:hAnsi="Calibri;sans-serif"/>
          <w:b w:val="false"/>
          <w:color w:val="000000"/>
          <w:sz w:val="20"/>
        </w:rPr>
        <w:t>Cash used in investing activities totaled $23.9 million for the three months ended September 30, 2023 compared to $37.4 million in the prior year period. The change is primarily due to lower payments to acquire businesses in the current year.</w:t>
      </w:r>
    </w:p>
    <w:p>
      <w:pPr>
        <w:pStyle w:val="TextBody"/>
        <w:bidi w:val="0"/>
        <w:spacing w:lineRule="auto" w:line="288" w:before="120" w:after="283"/>
        <w:ind w:left="0" w:right="0" w:firstLine="270"/>
        <w:jc w:val="both"/>
        <w:rPr/>
      </w:pPr>
      <w:r>
        <w:rPr>
          <w:rFonts w:ascii="Calibri;sans-serif" w:hAnsi="Calibri;sans-serif"/>
          <w:b/>
          <w:color w:val="000000"/>
          <w:sz w:val="20"/>
        </w:rPr>
        <w:t xml:space="preserve">Financing Activities. </w:t>
      </w:r>
      <w:r>
        <w:rPr>
          <w:rFonts w:ascii="Calibri;sans-serif" w:hAnsi="Calibri;sans-serif"/>
          <w:b w:val="false"/>
          <w:color w:val="000000"/>
          <w:sz w:val="20"/>
        </w:rPr>
        <w:t>Cash used in financing activities totaled $195.2 million for the three months ended September 30, 2023 compared to $246.9 million in the prior year period. The change is primarily due to lower repurchases of common stock in the current year.</w:t>
      </w:r>
    </w:p>
    <w:p>
      <w:pPr>
        <w:pStyle w:val="TextBody"/>
        <w:bidi w:val="0"/>
        <w:spacing w:lineRule="auto" w:line="288" w:before="120" w:after="283"/>
        <w:ind w:left="0" w:right="0" w:firstLine="270"/>
        <w:jc w:val="both"/>
        <w:rPr/>
      </w:pPr>
      <w:r>
        <w:rPr>
          <w:rFonts w:ascii="Calibri;sans-serif" w:hAnsi="Calibri;sans-serif"/>
          <w:b/>
          <w:color w:val="000000"/>
          <w:sz w:val="20"/>
        </w:rPr>
        <w:t>CASH REQUIREMENTS</w:t>
      </w:r>
      <w:r>
        <w:rPr>
          <w:color w:val="000000"/>
        </w:rPr>
        <w:t xml:space="preserve"> –</w:t>
      </w:r>
    </w:p>
    <w:p>
      <w:pPr>
        <w:pStyle w:val="TextBody"/>
        <w:bidi w:val="0"/>
        <w:spacing w:lineRule="auto" w:line="288" w:before="120" w:after="283"/>
        <w:ind w:left="0" w:right="0" w:firstLine="270"/>
        <w:jc w:val="both"/>
        <w:rPr/>
      </w:pPr>
      <w:r>
        <w:rPr>
          <w:rFonts w:ascii="Calibri;sans-serif" w:hAnsi="Calibri;sans-serif"/>
          <w:b/>
          <w:color w:val="000000"/>
          <w:sz w:val="20"/>
        </w:rPr>
        <w:t>Dividends and Share Repurchases.</w:t>
      </w:r>
      <w:r>
        <w:rPr>
          <w:color w:val="000000"/>
        </w:rPr>
        <w:t xml:space="preserve"> </w:t>
      </w:r>
      <w:r>
        <w:rPr>
          <w:rFonts w:ascii="Calibri;sans-serif" w:hAnsi="Calibri;sans-serif"/>
          <w:b w:val="false"/>
          <w:color w:val="000000"/>
          <w:sz w:val="20"/>
        </w:rPr>
        <w:t>Returning capital to shareholders in the form of dividends and the repurchase of outstanding shares is, and has historically been, a significant component of our capital allocation plan.</w:t>
      </w:r>
    </w:p>
    <w:p>
      <w:pPr>
        <w:pStyle w:val="TextBody"/>
        <w:bidi w:val="0"/>
        <w:spacing w:lineRule="auto" w:line="288" w:before="120" w:after="283"/>
        <w:ind w:left="0" w:right="0" w:firstLine="270"/>
        <w:jc w:val="both"/>
        <w:rPr/>
      </w:pPr>
      <w:r>
        <w:rPr>
          <w:rFonts w:ascii="Calibri;sans-serif" w:hAnsi="Calibri;sans-serif"/>
          <w:b w:val="false"/>
          <w:color w:val="000000"/>
          <w:sz w:val="20"/>
        </w:rPr>
        <w:t xml:space="preserve">We have consistently paid quarterly dividends. Dividends paid totaled </w:t>
      </w:r>
      <w:r>
        <w:rPr>
          <w:rFonts w:ascii="Calibri;sans-serif" w:hAnsi="Calibri;sans-serif"/>
          <w:b w:val="false"/>
          <w:color w:val="000000"/>
          <w:sz w:val="20"/>
          <w:shd w:fill="FFFFFF" w:val="clear"/>
        </w:rPr>
        <w:t>$43.0 million</w:t>
      </w:r>
      <w:r>
        <w:rPr>
          <w:color w:val="000000"/>
        </w:rPr>
        <w:t xml:space="preserve"> </w:t>
      </w:r>
      <w:r>
        <w:rPr>
          <w:rFonts w:ascii="Calibri;sans-serif" w:hAnsi="Calibri;sans-serif"/>
          <w:b w:val="false"/>
          <w:color w:val="000000"/>
          <w:sz w:val="20"/>
        </w:rPr>
        <w:t xml:space="preserve">and </w:t>
      </w:r>
      <w:r>
        <w:rPr>
          <w:rFonts w:ascii="Calibri;sans-serif" w:hAnsi="Calibri;sans-serif"/>
          <w:b w:val="false"/>
          <w:color w:val="000000"/>
          <w:sz w:val="20"/>
          <w:shd w:fill="FFFFFF" w:val="clear"/>
        </w:rPr>
        <w:t>$43.1 million</w:t>
      </w:r>
      <w:r>
        <w:rPr>
          <w:color w:val="000000"/>
        </w:rPr>
        <w:t xml:space="preserve"> </w:t>
      </w:r>
      <w:r>
        <w:rPr>
          <w:rFonts w:ascii="Calibri;sans-serif" w:hAnsi="Calibri;sans-serif"/>
          <w:b w:val="false"/>
          <w:color w:val="000000"/>
          <w:sz w:val="20"/>
        </w:rPr>
        <w:t>for the three months ended September 30, 2023 and 2022, respectively. Although we have historically paid dividends and plan to continue to do so, there can be no assurances that circumstances will not change in the future that could affect our ability or decisions to pay dividends.</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During the three months ended September 30, 2023, we repurchased $132.0 million of our common stock at an average price of $40.43 per share, excluding excise taxes in connection with such repurchases. In the prior year period, we repurchased $219.8 million of our common stock at an average price of $44.60 per share. Our current share repurchase program has remaining authorization of $568.1 million, which is effective through June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43560"/>
                <wp:effectExtent l="0" t="0" r="0" b="0"/>
                <wp:wrapNone/>
                <wp:docPr id="20" name="Frame2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18</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18</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pStyle w:val="TextBody"/>
        <w:bidi w:val="0"/>
        <w:spacing w:lineRule="auto" w:line="288" w:before="120" w:after="283"/>
        <w:jc w:val="both"/>
        <w:rPr/>
      </w:pPr>
      <w:r>
        <w:rPr>
          <w:color w:val="000000"/>
        </w:rPr>
        <w:t>    </w:t>
      </w:r>
      <w:r>
        <w:rPr>
          <w:rFonts w:ascii="Calibri;sans-serif" w:hAnsi="Calibri;sans-serif"/>
          <w:b/>
          <w:color w:val="000000"/>
          <w:sz w:val="20"/>
        </w:rPr>
        <w:t xml:space="preserve">Capital Investment. </w:t>
      </w:r>
      <w:r>
        <w:rPr>
          <w:rFonts w:ascii="Calibri;sans-serif" w:hAnsi="Calibri;sans-serif"/>
          <w:b w:val="false"/>
          <w:color w:val="000000"/>
          <w:sz w:val="20"/>
        </w:rPr>
        <w:t xml:space="preserve">Capital expenditures totaled $12.9 million and $16.2 million for the three months ended September 30, 2023 and 2022, 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$6.9 million and $16.5 million during the three months ended September 30, 2023 and 2022, respectively. See </w:t>
      </w:r>
      <w:hyperlink w:anchor="iafc45a77d047448791facc0098fadc7b_46">
        <w:r>
          <w:rPr>
            <w:rStyle w:val="InternetLink"/>
            <w:rFonts w:ascii="Calibri;sans-serif" w:hAnsi="Calibri;sans-serif"/>
            <w:b w:val="false"/>
            <w:color w:val="0000FF"/>
            <w:sz w:val="20"/>
            <w:u w:val="single"/>
          </w:rPr>
          <w:t>Item 1, note 5</w:t>
        </w:r>
      </w:hyperlink>
      <w:r>
        <w:rPr>
          <w:color w:val="000000"/>
        </w:rPr>
        <w:t xml:space="preserve"> </w:t>
      </w:r>
      <w:r>
        <w:rPr>
          <w:rFonts w:ascii="Calibri;sans-serif" w:hAnsi="Calibri;sans-serif"/>
          <w:b w:val="false"/>
          <w:color w:val="000000"/>
          <w:sz w:val="20"/>
        </w:rPr>
        <w:t xml:space="preserve">for additional information on our acquisitions. </w:t>
      </w:r>
    </w:p>
    <w:p>
      <w:pPr>
        <w:pStyle w:val="TextBody"/>
        <w:bidi w:val="0"/>
        <w:spacing w:lineRule="auto" w:line="288" w:before="120" w:after="283"/>
        <w:ind w:left="0" w:right="0" w:firstLine="270"/>
        <w:jc w:val="both"/>
        <w:rPr/>
      </w:pPr>
      <w:r>
        <w:rPr>
          <w:rFonts w:ascii="Calibri;sans-serif" w:hAnsi="Calibri;sans-serif"/>
          <w:b/>
          <w:color w:val="000000"/>
          <w:sz w:val="20"/>
        </w:rPr>
        <w:t xml:space="preserve">FINANCING RESOURCES </w:t>
      </w:r>
      <w:r>
        <w:rPr>
          <w:color w:val="000000"/>
        </w:rPr>
        <w:t xml:space="preserve">– </w:t>
      </w:r>
      <w:r>
        <w:rPr>
          <w:rFonts w:ascii="Calibri;sans-serif" w:hAnsi="Calibri;sans-serif"/>
          <w:b w:val="false"/>
          <w:color w:val="000000"/>
          <w:sz w:val="20"/>
        </w:rPr>
        <w:t xml:space="preserve">The CLOC has capacity up to $1.5 billion and is scheduled to expire in June 2026. Proceeds under the CLOC may be used for working capital needs or for other general corporate purposes. </w:t>
      </w:r>
      <w:r>
        <w:rPr>
          <w:rFonts w:ascii="Calibri;sans-serif" w:hAnsi="Calibri;sans-serif"/>
          <w:b w:val="false"/>
          <w:color w:val="000000"/>
          <w:sz w:val="20"/>
          <w:shd w:fill="FFFFFF" w:val="clear"/>
        </w:rPr>
        <w:t>We had no outst</w:t>
      </w:r>
      <w:r>
        <w:rPr>
          <w:rFonts w:ascii="Calibri;sans-serif" w:hAnsi="Calibri;sans-serif"/>
          <w:b w:val="false"/>
          <w:color w:val="000000"/>
          <w:sz w:val="20"/>
        </w:rPr>
        <w:t xml:space="preserve">anding balance under our CLOC and amounts available to borrow were not limited by the debt-to-EBITDA covenant as of September 30, 2023. </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table provides ratings for debt issued by Block Financial LLC (Block Financial) as of September 30, 2023 and June 30, 2023:</w:t>
      </w:r>
    </w:p>
    <w:tbl>
      <w:tblPr>
        <w:tblW w:w="7669"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305"/>
        <w:gridCol w:w="305"/>
        <w:gridCol w:w="306"/>
        <w:gridCol w:w="109"/>
        <w:gridCol w:w="109"/>
        <w:gridCol w:w="109"/>
        <w:gridCol w:w="290"/>
        <w:gridCol w:w="290"/>
        <w:gridCol w:w="291"/>
        <w:gridCol w:w="109"/>
        <w:gridCol w:w="109"/>
        <w:gridCol w:w="109"/>
        <w:gridCol w:w="225"/>
        <w:gridCol w:w="225"/>
        <w:gridCol w:w="226"/>
        <w:gridCol w:w="109"/>
        <w:gridCol w:w="109"/>
        <w:gridCol w:w="109"/>
        <w:gridCol w:w="305"/>
        <w:gridCol w:w="305"/>
        <w:gridCol w:w="306"/>
        <w:gridCol w:w="109"/>
        <w:gridCol w:w="109"/>
        <w:gridCol w:w="109"/>
        <w:gridCol w:w="290"/>
        <w:gridCol w:w="290"/>
        <w:gridCol w:w="291"/>
        <w:gridCol w:w="109"/>
        <w:gridCol w:w="109"/>
        <w:gridCol w:w="109"/>
        <w:gridCol w:w="211"/>
        <w:gridCol w:w="211"/>
        <w:gridCol w:w="299"/>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000000"/>
                <w:sz w:val="18"/>
              </w:rPr>
            </w:pPr>
            <w:r>
              <w:rPr>
                <w:rFonts w:ascii="Calibri;sans-serif" w:hAnsi="Calibri;sans-serif"/>
                <w:b w:val="false"/>
                <w:color w:val="000000"/>
                <w:sz w:val="18"/>
              </w:rPr>
              <w:t>June 30, 2023</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Outlook</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Positive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S&amp;P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Stable</w:t>
            </w:r>
          </w:p>
        </w:tc>
      </w:tr>
      <w:tr>
        <w:trPr/>
        <w:tc>
          <w:tcPr>
            <w:tcW w:w="7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than described above, there have been no material changes in our borrowings from those reported as of June 30, 2023 in our Annual Report on Form 10-K.</w:t>
      </w:r>
    </w:p>
    <w:p>
      <w:pPr>
        <w:pStyle w:val="TextBody"/>
        <w:bidi w:val="0"/>
        <w:spacing w:lineRule="auto" w:line="288" w:before="120" w:after="283"/>
        <w:ind w:left="0" w:right="0" w:firstLine="270"/>
        <w:jc w:val="both"/>
        <w:rPr/>
      </w:pPr>
      <w:r>
        <w:rPr>
          <w:rFonts w:ascii="Calibri;sans-serif" w:hAnsi="Calibri;sans-serif"/>
          <w:b/>
          <w:color w:val="000000"/>
          <w:sz w:val="20"/>
        </w:rPr>
        <w:t xml:space="preserve">CASH AND OTHER ASSETS </w:t>
      </w:r>
      <w:r>
        <w:rPr>
          <w:color w:val="000000"/>
        </w:rPr>
        <w:t xml:space="preserve">– </w:t>
      </w:r>
      <w:r>
        <w:rPr>
          <w:rFonts w:ascii="Calibri;sans-serif" w:hAnsi="Calibri;sans-serif"/>
          <w:b w:val="false"/>
          <w:color w:val="000000"/>
          <w:sz w:val="20"/>
        </w:rPr>
        <w:t>As of September 30, 2023, we held cash and cash equivalents, excluding restricted amounts, of $427.0 million, including $146.1 million held by our foreign subsidiaries.</w:t>
      </w:r>
    </w:p>
    <w:p>
      <w:pPr>
        <w:pStyle w:val="TextBody"/>
        <w:bidi w:val="0"/>
        <w:spacing w:lineRule="auto" w:line="288" w:before="120" w:after="283"/>
        <w:ind w:left="0" w:right="0" w:firstLine="270"/>
        <w:jc w:val="both"/>
        <w:rPr/>
      </w:pPr>
      <w:r>
        <w:rPr>
          <w:rFonts w:ascii="Calibri;sans-serif" w:hAnsi="Calibri;sans-serif"/>
          <w:b/>
          <w:color w:val="000000"/>
          <w:sz w:val="20"/>
        </w:rPr>
        <w:t>Foreign Operations.</w:t>
      </w:r>
      <w:r>
        <w:rPr>
          <w:color w:val="000000"/>
        </w:rPr>
        <w:t xml:space="preserve"> </w:t>
      </w:r>
      <w:r>
        <w:rPr>
          <w:rFonts w:ascii="Calibri;sans-serif" w:hAnsi="Calibri;sans-serif"/>
          <w:b w:val="false"/>
          <w:color w:val="000000"/>
          <w:sz w:val="20"/>
        </w:rPr>
        <w:t xml:space="preserve">Seasonal borrowing needs of our Canadian operations are typically funded by our U.S. operations. To mitigate foreign currency risk, we sometimes enter into foreign exchange forward contracts. There were no forward contracts outstanding as of September 30, 2023. </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do not currently intend to repatriate non-borrowed funds held by our foreign subsidiaries in a manner that would trigger a material tax liability.</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The impact of changes in foreign exchange rates during the period on our international cash balances resulted in an decrease of $3.7 million and $13.4 million during the three months ended September 30, 2023 and 2022, respectively. </w:t>
      </w:r>
    </w:p>
    <w:p>
      <w:pPr>
        <w:pStyle w:val="TextBody"/>
        <w:bidi w:val="0"/>
        <w:spacing w:lineRule="auto" w:line="288" w:before="120" w:after="283"/>
        <w:ind w:left="0" w:right="0" w:firstLine="270"/>
        <w:jc w:val="both"/>
        <w:rPr/>
      </w:pPr>
      <w:r>
        <w:rPr>
          <w:rFonts w:ascii="Calibri;sans-serif" w:hAnsi="Calibri;sans-serif"/>
          <w:b/>
          <w:color w:val="000000"/>
          <w:sz w:val="20"/>
        </w:rPr>
        <w:t>CONTRACTUAL OBLIGATIONS AND COMMERCIAL COMMITMENTS</w:t>
      </w:r>
      <w:r>
        <w:rPr>
          <w:color w:val="000000"/>
        </w:rPr>
        <w:t xml:space="preserve"> – </w:t>
      </w:r>
      <w:r>
        <w:rPr>
          <w:rFonts w:ascii="Calibri;sans-serif" w:hAnsi="Calibri;sans-serif"/>
          <w:b w:val="false"/>
          <w:color w:val="000000"/>
          <w:sz w:val="20"/>
        </w:rPr>
        <w:t xml:space="preserve">EAs are originated by Pathward. We purchase a 90% participation interest, at par, in all EAs originated by Pathward in accordance with our participation agreement. Effective October 20, 2023, we amended the Program Management Agreement and entered into a new participation agreement related to EAs originated by Pathward. </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There have been no other material changes in our contractual obligations and commercial commitments from those reported in our June 30, 2023 Annual Report on Form 10-K.</w:t>
      </w:r>
    </w:p>
    <w:p>
      <w:pPr>
        <w:pStyle w:val="TextBody"/>
        <w:bidi w:val="0"/>
        <w:spacing w:lineRule="auto" w:line="288" w:before="120" w:after="283"/>
        <w:ind w:left="0" w:right="0" w:firstLine="270"/>
        <w:jc w:val="both"/>
        <w:rPr/>
      </w:pPr>
      <w:r>
        <w:rPr>
          <w:rFonts w:ascii="Calibri;sans-serif" w:hAnsi="Calibri;sans-serif"/>
          <w:b/>
          <w:color w:val="000000"/>
          <w:sz w:val="20"/>
        </w:rPr>
        <w:t>SUMMARIZED GUARANTOR FINANCIAL STATEMENTS</w:t>
      </w:r>
      <w:r>
        <w:rPr>
          <w:color w:val="000000"/>
        </w:rPr>
        <w:t xml:space="preserve"> – </w:t>
      </w:r>
      <w:r>
        <w:rPr>
          <w:rFonts w:ascii="Calibri;sans-serif" w:hAnsi="Calibri;sans-serif"/>
          <w:b w:val="false"/>
          <w:color w:val="000000"/>
          <w:sz w:val="20"/>
        </w:rPr>
        <w:t xml:space="preserve">Block Financial is a 100% owned subsidiary of H&amp;R Block, Inc. Block Financial is the Issuer and H&amp;R Block, Inc. is the full and unconditional Guarantor of our Senior Notes, CLOC and other indebtedness issued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4995"/>
                <wp:effectExtent l="0" t="0" r="0" b="0"/>
                <wp:wrapNone/>
                <wp:docPr id="21" name="Frame2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table presents summarized financial information for H&amp;R Block, Inc. (Guarantor) and Block Financial (Issuer) on a combined basis after intercompany eliminations and excludes investments in and equity earnings in non-guarantor subsidiaries.</w:t>
      </w:r>
    </w:p>
    <w:tbl>
      <w:tblPr>
        <w:tblW w:w="7957" w:type="dxa"/>
        <w:jc w:val="left"/>
        <w:tblInd w:w="0" w:type="dxa"/>
        <w:tblLayout w:type="fixed"/>
        <w:tblCellMar>
          <w:top w:w="28" w:type="dxa"/>
          <w:left w:w="28" w:type="dxa"/>
          <w:bottom w:w="28" w:type="dxa"/>
          <w:right w:w="28" w:type="dxa"/>
        </w:tblCellMar>
      </w:tblPr>
      <w:tblGrid>
        <w:gridCol w:w="1650"/>
        <w:gridCol w:w="1451"/>
        <w:gridCol w:w="1459"/>
        <w:gridCol w:w="109"/>
        <w:gridCol w:w="109"/>
        <w:gridCol w:w="109"/>
        <w:gridCol w:w="322"/>
        <w:gridCol w:w="1088"/>
        <w:gridCol w:w="179"/>
        <w:gridCol w:w="109"/>
        <w:gridCol w:w="109"/>
        <w:gridCol w:w="109"/>
        <w:gridCol w:w="227"/>
        <w:gridCol w:w="749"/>
        <w:gridCol w:w="178"/>
      </w:tblGrid>
      <w:tr>
        <w:trPr/>
        <w:tc>
          <w:tcPr>
            <w:tcW w:w="16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SUMMARIZED BALANCE SHEET - GUARANTOR AND ISSUER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4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June 30, 2023</w:t>
            </w:r>
          </w:p>
        </w:tc>
      </w:tr>
      <w:tr>
        <w:trPr/>
        <w:tc>
          <w:tcPr>
            <w:tcW w:w="4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40,277</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37,407 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1,719,763</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1,725,234 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85,643</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78,259 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1,495,842</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1,494,010 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2"/>
        <w:gridCol w:w="1159"/>
        <w:gridCol w:w="1115"/>
        <w:gridCol w:w="341"/>
        <w:gridCol w:w="341"/>
        <w:gridCol w:w="341"/>
        <w:gridCol w:w="622"/>
        <w:gridCol w:w="1792"/>
        <w:gridCol w:w="341"/>
        <w:gridCol w:w="109"/>
        <w:gridCol w:w="109"/>
        <w:gridCol w:w="109"/>
        <w:gridCol w:w="449"/>
        <w:gridCol w:w="1687"/>
        <w:gridCol w:w="358"/>
      </w:tblGrid>
      <w:tr>
        <w:trPr/>
        <w:tc>
          <w:tcPr>
            <w:tcW w:w="133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73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SUMMARIZED STATEMENTS OF OPERATIONS - GUARANTOR AND ISSUER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Three months ended 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Twelve months ended June 30, 2023</w:t>
            </w:r>
          </w:p>
        </w:tc>
      </w:tr>
      <w:tr>
        <w:trPr/>
        <w:tc>
          <w:tcPr>
            <w:tcW w:w="3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9,952</w:t>
            </w:r>
            <w:r>
              <w:rPr>
                <w:color w:val="000000"/>
              </w:rPr>
              <w:t> </w:t>
            </w:r>
          </w:p>
        </w:tc>
        <w:tc>
          <w:tcPr>
            <w:tcW w:w="3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160,236 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from continuing operations before income taxes</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8,774</w:t>
            </w: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40,258 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6,735</w:t>
            </w: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31,713 </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6,126</w:t>
            </w: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23,613 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The table above reflects $1.7 billion of non-current intercompany receivables due to the Issuer from non-guarantor subsidiaries as of September 30, 2023 and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Calibri;sans-serif" w:hAnsi="Calibri;sans-serif"/>
          <w:b/>
          <w:color w:val="000000"/>
          <w:sz w:val="20"/>
        </w:rPr>
      </w:pPr>
      <w:r>
        <w:rPr>
          <w:rFonts w:ascii="Calibri;sans-serif" w:hAnsi="Calibri;sans-serif"/>
          <w:b/>
          <w:color w:val="000000"/>
          <w:sz w:val="20"/>
        </w:rPr>
        <w:t>REGULATORY ENVIRONMENT</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There have been no material changes in our regulatory environment from what was reported in our June 30,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NON-GAAP FINANCIAL INFORMATION</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Non-GAAP financial measures should not be considered as a substitute for, or superior to, measures of financial performance prepared in accordance with U.S. generally accepted accounting principles (GAAP). Because these measures are not measures of financial performance under GAAP and are susceptible to varying calculations, they may not be comparable to similarly titled measures for other companies.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43560"/>
                <wp:effectExtent l="0" t="0" r="0" b="0"/>
                <wp:wrapNone/>
                <wp:docPr id="22" name="Frame2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20</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20</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is a reconciliation of net loss to EBITDA from continuing operations, which is a non-GAAP financial measure:</w:t>
      </w:r>
    </w:p>
    <w:tbl>
      <w:tblPr>
        <w:tblW w:w="8305" w:type="dxa"/>
        <w:jc w:val="center"/>
        <w:tblInd w:w="0" w:type="dxa"/>
        <w:tblLayout w:type="fixed"/>
        <w:tblCellMar>
          <w:top w:w="28" w:type="dxa"/>
          <w:left w:w="28" w:type="dxa"/>
          <w:bottom w:w="28" w:type="dxa"/>
          <w:right w:w="28" w:type="dxa"/>
        </w:tblCellMar>
      </w:tblPr>
      <w:tblGrid>
        <w:gridCol w:w="1359"/>
        <w:gridCol w:w="1193"/>
        <w:gridCol w:w="1198"/>
        <w:gridCol w:w="109"/>
        <w:gridCol w:w="109"/>
        <w:gridCol w:w="109"/>
        <w:gridCol w:w="192"/>
        <w:gridCol w:w="192"/>
        <w:gridCol w:w="192"/>
        <w:gridCol w:w="192"/>
        <w:gridCol w:w="346"/>
        <w:gridCol w:w="1434"/>
        <w:gridCol w:w="192"/>
        <w:gridCol w:w="109"/>
        <w:gridCol w:w="109"/>
        <w:gridCol w:w="109"/>
        <w:gridCol w:w="196"/>
        <w:gridCol w:w="81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88" w:type="dxa"/>
            <w:gridSpan w:val="6"/>
            <w:tcBorders/>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(163,482)</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(168,421)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609</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 -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(162,873)</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(167,367)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(49,487)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15,870</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30,225</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(3,392)</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EBITDA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(166,265)</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(171,876)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is a reconciliation of our results from continuing operations to our adjusted results from continuing operations, which is a non-GAAP financial measure:</w:t>
      </w:r>
    </w:p>
    <w:tbl>
      <w:tblPr>
        <w:tblW w:w="10023" w:type="dxa"/>
        <w:jc w:val="left"/>
        <w:tblInd w:w="0" w:type="dxa"/>
        <w:tblLayout w:type="fixed"/>
        <w:tblCellMar>
          <w:top w:w="28" w:type="dxa"/>
          <w:left w:w="28" w:type="dxa"/>
          <w:bottom w:w="28" w:type="dxa"/>
          <w:right w:w="28" w:type="dxa"/>
        </w:tblCellMar>
      </w:tblPr>
      <w:tblGrid>
        <w:gridCol w:w="1718"/>
        <w:gridCol w:w="1511"/>
        <w:gridCol w:w="1511"/>
        <w:gridCol w:w="351"/>
        <w:gridCol w:w="351"/>
        <w:gridCol w:w="351"/>
        <w:gridCol w:w="537"/>
        <w:gridCol w:w="166"/>
        <w:gridCol w:w="166"/>
        <w:gridCol w:w="166"/>
        <w:gridCol w:w="300"/>
        <w:gridCol w:w="1241"/>
        <w:gridCol w:w="166"/>
        <w:gridCol w:w="109"/>
        <w:gridCol w:w="109"/>
        <w:gridCol w:w="109"/>
        <w:gridCol w:w="196"/>
        <w:gridCol w:w="811"/>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c>
          <w:tcPr>
            <w:tcW w:w="3693" w:type="dxa"/>
            <w:gridSpan w:val="12"/>
            <w:tcBorders/>
          </w:tcPr>
          <w:p>
            <w:pPr>
              <w:pStyle w:val="TableContents"/>
              <w:bidi w:val="0"/>
              <w:spacing w:before="0" w:after="283"/>
              <w:jc w:val="left"/>
              <w:rPr>
                <w:sz w:val="4"/>
                <w:szCs w:val="4"/>
              </w:rPr>
            </w:pPr>
            <w:r>
              <w:rPr>
                <w:sz w:val="4"/>
                <w:szCs w:val="4"/>
              </w:rPr>
            </w:r>
          </w:p>
        </w:tc>
      </w:tr>
      <w:tr>
        <w:trPr/>
        <w:tc>
          <w:tcPr>
            <w:tcW w:w="4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88" w:type="dxa"/>
            <w:gridSpan w:val="6"/>
            <w:tcBorders/>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 - as reported</w:t>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(162,873)</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(167,367)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w:t>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Amortization of intangibles related to acquisitions (pretax)</w:t>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12,555</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 xml:space="preserve">Tax effect of adjustments </w:t>
            </w:r>
            <w:r>
              <w:rPr>
                <w:rFonts w:ascii="Calibri;sans-serif" w:hAnsi="Calibri;sans-serif"/>
                <w:b w:val="false"/>
                <w:color w:val="000000"/>
                <w:sz w:val="12"/>
              </w:rPr>
              <w:t>(1)</w:t>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(2,936)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net loss from continuing operations</w:t>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(153,254)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(157,892)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Diluted loss per share from continuing operations - as reported</w:t>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 net of tax</w:t>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0.06</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diluted loss per share from continuing operations</w:t>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(1.05)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180"/>
        <w:jc w:val="both"/>
        <w:rPr/>
      </w:pPr>
      <w:r>
        <w:rPr>
          <w:rFonts w:ascii="Calibri;sans-serif" w:hAnsi="Calibri;sans-serif"/>
          <w:b w:val="false"/>
          <w:color w:val="000000"/>
          <w:sz w:val="10"/>
        </w:rPr>
        <w:t>(1)</w:t>
      </w:r>
      <w:r>
        <w:rPr>
          <w:rFonts w:ascii="Calibri;sans-serif" w:hAnsi="Calibri;sans-serif"/>
          <w:b w:val="false"/>
          <w:color w:val="000000"/>
          <w:sz w:val="16"/>
        </w:rPr>
        <w:t>Tax effect of adjustments is the difference between the tax provision calculated on a GAAP basis and on an adjusted non-GAAP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FORWARD-LOOKING INFORMATION</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external events beyond the Company's control, such as outbreaks of infectious disease (including the coronavirus (COVID-19) pandemic), severe weather events, natural or manmade disasters, or changes in the regulatory environment in which we operate.</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All forward-looking statements speak only as of the date they are made and reflect the Company's good faith beliefs, assumptions and expectations, but they are not guarantees of future performance or events. Furthermore,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4995"/>
                <wp:effectExtent l="0" t="0" r="0" b="0"/>
                <wp:wrapNone/>
                <wp:docPr id="23" name="Frame2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 Company disclaims any obligation to publicly update or revise any forward-looking statement to reflect changes in underlying assumptions, factors, or expectations, new information, data or methods, future events or other changes, except as required by law.</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Details about risks, uncertainties and assumptions that could affect various aspects of our business are included throughout our Annual Report on Form 10-K for the fiscal year ended June 30, 2023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Calibri;sans-serif" w:hAnsi="Calibri;sans-serif"/>
          <w:b/>
          <w:color w:val="14AA40"/>
          <w:sz w:val="28"/>
        </w:rPr>
      </w:pPr>
      <w:r>
        <w:rPr>
          <w:rFonts w:ascii="Calibri;sans-serif" w:hAnsi="Calibri;sans-serif"/>
          <w:b/>
          <w:color w:val="14AA40"/>
          <w:sz w:val="28"/>
        </w:rPr>
        <w:t>ITEM 3.     QUANTITATIVE AND QUALITATIVE DISCLOSURES ABOUT MARKET RISK</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There have been no material changes in our market risks from those reported in our June 30,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Calibri;sans-serif" w:hAnsi="Calibri;sans-serif"/>
          <w:b/>
          <w:color w:val="14AA40"/>
          <w:sz w:val="28"/>
        </w:rPr>
      </w:pPr>
      <w:r>
        <w:rPr>
          <w:rFonts w:ascii="Calibri;sans-serif" w:hAnsi="Calibri;sans-serif"/>
          <w:b/>
          <w:color w:val="14AA40"/>
          <w:sz w:val="28"/>
        </w:rPr>
        <w:t>ITEM 4.     CONTROLS AND PROCEDURES</w:t>
      </w:r>
    </w:p>
    <w:p>
      <w:pPr>
        <w:pStyle w:val="TextBody"/>
        <w:bidi w:val="0"/>
        <w:spacing w:lineRule="auto" w:line="288" w:before="120" w:after="60"/>
        <w:jc w:val="both"/>
        <w:rPr/>
      </w:pPr>
      <w:r>
        <w:rPr>
          <w:rFonts w:ascii="Calibri;sans-serif" w:hAnsi="Calibri;sans-serif"/>
          <w:b/>
          <w:color w:val="000000"/>
          <w:sz w:val="20"/>
        </w:rPr>
        <w:t>EVALUATION OF DISCLOSURE CONTROLS AND PROCEDURES</w:t>
      </w:r>
      <w:r>
        <w:rPr>
          <w:color w:val="000000"/>
        </w:rPr>
        <w:t xml:space="preserve"> – </w:t>
      </w:r>
      <w:r>
        <w:rPr>
          <w:rFonts w:ascii="Calibri;sans-serif" w:hAnsi="Calibri;sans-serif"/>
          <w:b w:val="false"/>
          <w:color w:val="000000"/>
          <w:sz w:val="20"/>
        </w:rPr>
        <w:t>As of the end of the period covered by this Form 10-Q, management, 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pStyle w:val="TextBody"/>
        <w:bidi w:val="0"/>
        <w:spacing w:lineRule="auto" w:line="288" w:before="120" w:after="60"/>
        <w:jc w:val="both"/>
        <w:rPr/>
      </w:pPr>
      <w:r>
        <w:rPr>
          <w:rFonts w:ascii="Calibri;sans-serif" w:hAnsi="Calibri;sans-serif"/>
          <w:b/>
          <w:color w:val="000000"/>
          <w:sz w:val="20"/>
        </w:rPr>
        <w:t>CHANGES IN INTERNAL CONTROL OVER FINANCIAL REPORTING</w:t>
      </w:r>
      <w:r>
        <w:rPr>
          <w:color w:val="000000"/>
        </w:rPr>
        <w:t xml:space="preserve"> – </w:t>
      </w:r>
      <w:r>
        <w:rPr>
          <w:rFonts w:ascii="Calibri;sans-serif" w:hAnsi="Calibri;sans-serif"/>
          <w:b w:val="false"/>
          <w:color w:val="000000"/>
          <w:sz w:val="20"/>
        </w:rPr>
        <w:t>There were no changes during the three months ended September 30,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43560"/>
                <wp:effectExtent l="0" t="0" r="0" b="0"/>
                <wp:wrapNone/>
                <wp:docPr id="24" name="Frame2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1.     LEGAL PROCEEDINGS</w:t>
      </w:r>
    </w:p>
    <w:p>
      <w:pPr>
        <w:pStyle w:val="TextBody"/>
        <w:bidi w:val="0"/>
        <w:spacing w:lineRule="auto" w:line="288" w:before="120" w:after="283"/>
        <w:jc w:val="both"/>
        <w:rPr/>
      </w:pPr>
      <w:r>
        <w:rPr>
          <w:rFonts w:ascii="Calibri;sans-serif" w:hAnsi="Calibri;sans-serif"/>
          <w:b w:val="false"/>
          <w:color w:val="000000"/>
          <w:sz w:val="20"/>
        </w:rPr>
        <w:t xml:space="preserve">For a description of our material pending legal proceedings, see discussion in </w:t>
      </w:r>
      <w:hyperlink w:anchor="iafc45a77d047448791facc0098fadc7b_61">
        <w:r>
          <w:rPr>
            <w:rStyle w:val="InternetLink"/>
            <w:rFonts w:ascii="Calibri;sans-serif" w:hAnsi="Calibri;sans-serif"/>
            <w:b w:val="false"/>
            <w:color w:val="0000FF"/>
            <w:sz w:val="20"/>
            <w:u w:val="single"/>
          </w:rPr>
          <w:t>Part I, Item 1, note 9</w:t>
        </w:r>
      </w:hyperlink>
      <w:r>
        <w:rPr>
          <w:color w:val="000000"/>
        </w:rPr>
        <w:t xml:space="preserve"> </w:t>
      </w:r>
      <w:r>
        <w:rPr>
          <w:rFonts w:ascii="Calibri;sans-serif" w:hAnsi="Calibri;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1A.    RISK FACTORS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There have been no material changes in our risk factors from those reported in our June 30,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2.    UNREGISTERED SALES OF EQUITY SECURITIES AND USE OF PROCEEDS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A summary of our purchases of H&amp;R Block common stock during the three months ended September 30, 2023 is as follows:</w:t>
      </w:r>
    </w:p>
    <w:tbl>
      <w:tblPr>
        <w:tblW w:w="10145" w:type="dxa"/>
        <w:jc w:val="left"/>
        <w:tblInd w:w="0" w:type="dxa"/>
        <w:tblLayout w:type="fixed"/>
        <w:tblCellMar>
          <w:top w:w="28" w:type="dxa"/>
          <w:left w:w="28" w:type="dxa"/>
          <w:bottom w:w="28" w:type="dxa"/>
          <w:right w:w="28" w:type="dxa"/>
        </w:tblCellMar>
      </w:tblPr>
      <w:tblGrid>
        <w:gridCol w:w="811"/>
        <w:gridCol w:w="717"/>
        <w:gridCol w:w="721"/>
        <w:gridCol w:w="109"/>
        <w:gridCol w:w="109"/>
        <w:gridCol w:w="109"/>
        <w:gridCol w:w="519"/>
        <w:gridCol w:w="519"/>
        <w:gridCol w:w="521"/>
        <w:gridCol w:w="109"/>
        <w:gridCol w:w="109"/>
        <w:gridCol w:w="109"/>
        <w:gridCol w:w="196"/>
        <w:gridCol w:w="571"/>
        <w:gridCol w:w="109"/>
        <w:gridCol w:w="109"/>
        <w:gridCol w:w="109"/>
        <w:gridCol w:w="109"/>
        <w:gridCol w:w="664"/>
        <w:gridCol w:w="664"/>
        <w:gridCol w:w="666"/>
        <w:gridCol w:w="109"/>
        <w:gridCol w:w="109"/>
        <w:gridCol w:w="109"/>
        <w:gridCol w:w="384"/>
        <w:gridCol w:w="1472"/>
        <w:gridCol w:w="303"/>
      </w:tblGrid>
      <w:tr>
        <w:trPr/>
        <w:tc>
          <w:tcPr>
            <w:tcW w:w="8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145" w:type="dxa"/>
            <w:gridSpan w:val="27"/>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r>
      <w:tr>
        <w:trPr/>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pPr>
            <w:r>
              <w:rPr>
                <w:rFonts w:ascii="Calibri;sans-serif" w:hAnsi="Calibri;sans-serif"/>
                <w:b w:val="false"/>
                <w:color w:val="000000"/>
                <w:sz w:val="18"/>
              </w:rPr>
              <w:t>Total Number of</w:t>
              <w:br/>
              <w:t xml:space="preserve">Shares Purchased </w:t>
            </w:r>
            <w:r>
              <w:rPr>
                <w:rFonts w:ascii="Calibri;sans-serif" w:hAnsi="Calibri;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Average</w:t>
              <w:br/>
              <w:t>Price Paid</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pPr>
            <w:r>
              <w:rPr>
                <w:rFonts w:ascii="Calibri;sans-serif" w:hAnsi="Calibri;sans-serif"/>
                <w:b w:val="false"/>
                <w:color w:val="000000"/>
                <w:sz w:val="18"/>
              </w:rPr>
              <w:t>Total Number of Shares</w:t>
              <w:br/>
              <w:t xml:space="preserve">Purchased as Part of </w:t>
              <w:br/>
              <w:t>Publicly Announced Plans </w:t>
              <w:br/>
              <w:t xml:space="preserve">or Programs </w:t>
            </w:r>
            <w:r>
              <w:rPr>
                <w:rFonts w:ascii="Calibri;sans-serif" w:hAnsi="Calibri;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pPr>
            <w:r>
              <w:rPr>
                <w:rFonts w:ascii="Calibri;sans-serif" w:hAnsi="Calibri;sans-serif"/>
                <w:b w:val="false"/>
                <w:color w:val="000000"/>
                <w:sz w:val="18"/>
              </w:rPr>
              <w:t>Maximum Dollar Value of</w:t>
              <w:br/>
              <w:t xml:space="preserve">Shares that May Yet Be </w:t>
              <w:br/>
              <w:t>Purchased Under the Plans </w:t>
              <w:br/>
              <w:t xml:space="preserve">or Programs </w:t>
            </w:r>
            <w:r>
              <w:rPr>
                <w:rFonts w:ascii="Calibri;sans-serif" w:hAnsi="Calibri;sans-serif"/>
                <w:b w:val="false"/>
                <w:color w:val="000000"/>
                <w:sz w:val="12"/>
              </w:rPr>
              <w:t>(2)</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July 1 -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697</w:t>
            </w:r>
            <w:r>
              <w:rPr>
                <w:color w:val="000000"/>
              </w:rPr>
              <w:t> </w:t>
            </w:r>
          </w:p>
        </w:tc>
        <w:tc>
          <w:tcPr>
            <w:tcW w:w="5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33.61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700,000</w:t>
            </w:r>
            <w:r>
              <w:rPr>
                <w:color w:val="000000"/>
              </w:rPr>
              <w:t> </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August 1 - August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499</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375</w:t>
            </w: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685,000</w:t>
            </w: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September 1 -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2,892</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2,890</w:t>
            </w: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568,068</w:t>
            </w: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4,088</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3,265</w:t>
            </w:r>
            <w:r>
              <w:rPr>
                <w:color w:val="000000"/>
              </w:rPr>
              <w:t>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Calibri;sans-serif" w:hAnsi="Calibri;sans-serif"/>
          <w:b w:val="false"/>
          <w:color w:val="000000"/>
          <w:sz w:val="10"/>
        </w:rPr>
        <w:t>(1)</w:t>
      </w:r>
      <w:r>
        <w:rPr>
          <w:rFonts w:ascii="Calibri;sans-serif" w:hAnsi="Calibri;sans-serif"/>
          <w:b w:val="false"/>
          <w:color w:val="000000"/>
          <w:sz w:val="16"/>
        </w:rPr>
        <w:t xml:space="preserve">We purchased approximately </w:t>
      </w:r>
      <w:r>
        <w:rPr>
          <w:rFonts w:ascii="Calibri;sans-serif" w:hAnsi="Calibri;sans-serif"/>
          <w:b w:val="false"/>
          <w:color w:val="000000"/>
          <w:sz w:val="16"/>
          <w:shd w:fill="FFFFFF" w:val="clear"/>
        </w:rPr>
        <w:t>823 thousand</w:t>
      </w:r>
      <w:r>
        <w:rPr>
          <w:color w:val="000000"/>
        </w:rPr>
        <w:t xml:space="preserve"> </w:t>
      </w:r>
      <w:r>
        <w:rPr>
          <w:rFonts w:ascii="Calibri;sans-serif" w:hAnsi="Calibri;sans-serif"/>
          <w:b w:val="false"/>
          <w:color w:val="000000"/>
          <w:sz w:val="16"/>
        </w:rPr>
        <w:t xml:space="preserve">shares in connection with funding employee income tax withholding obligations arising upon the lapse of restrictions on restricted share units. </w:t>
      </w:r>
    </w:p>
    <w:p>
      <w:pPr>
        <w:pStyle w:val="TextBody"/>
        <w:bidi w:val="0"/>
        <w:spacing w:lineRule="auto" w:line="288" w:before="0" w:after="0"/>
        <w:ind w:left="0" w:right="0" w:hanging="180"/>
        <w:jc w:val="both"/>
        <w:rPr/>
      </w:pPr>
      <w:r>
        <w:rPr>
          <w:rFonts w:ascii="Calibri;sans-serif" w:hAnsi="Calibri;sans-serif"/>
          <w:b w:val="false"/>
          <w:color w:val="000000"/>
          <w:sz w:val="10"/>
        </w:rPr>
        <w:t>(2)</w:t>
      </w:r>
      <w:r>
        <w:rPr>
          <w:rFonts w:ascii="Calibri;sans-serif" w:hAnsi="Calibri;sans-serif"/>
          <w:b w:val="false"/>
          <w:color w:val="000000"/>
          <w:sz w:val="16"/>
        </w:rPr>
        <w:t>In August 2022, we announced that our Board of Directors approved a $1.25 billion share repurchase program, effective through June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3.    DEFAULTS UPON SENIOR SECURITIES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4.    MINE SAFETY DISCLOSURES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5.    OTHER INFORMATION</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During the three months ended September 30,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4995"/>
                <wp:effectExtent l="0" t="0" r="0" b="0"/>
                <wp:wrapNone/>
                <wp:docPr id="25" name="Frame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0" w:after="0"/>
        <w:jc w:val="left"/>
        <w:rPr>
          <w:rFonts w:ascii="Calibri;sans-serif" w:hAnsi="Calibri;sans-serif"/>
          <w:b/>
          <w:color w:val="14AA40"/>
          <w:sz w:val="28"/>
        </w:rPr>
      </w:pPr>
      <w:r>
        <w:rPr>
          <w:rFonts w:ascii="Calibri;sans-serif" w:hAnsi="Calibri;sans-serif"/>
          <w:b/>
          <w:color w:val="14AA40"/>
          <w:sz w:val="28"/>
        </w:rPr>
        <w:t>ITEM 6.    EXHIBITS</w:t>
      </w:r>
    </w:p>
    <w:p>
      <w:pPr>
        <w:pStyle w:val="TextBody"/>
        <w:bidi w:val="0"/>
        <w:spacing w:lineRule="auto" w:line="288" w:before="60" w:after="283"/>
        <w:jc w:val="both"/>
        <w:rPr>
          <w:rFonts w:ascii="Calibri;sans-serif" w:hAnsi="Calibri;sans-serif"/>
          <w:b w:val="false"/>
          <w:color w:val="000000"/>
          <w:sz w:val="20"/>
        </w:rPr>
      </w:pPr>
      <w:r>
        <w:rPr>
          <w:rFonts w:ascii="Calibri;sans-serif" w:hAnsi="Calibri;sans-serif"/>
          <w:b w:val="false"/>
          <w:color w:val="000000"/>
          <w:sz w:val="20"/>
        </w:rPr>
        <w:t>The following exhibits are numbered in accordance with the Exhibit Table of Item 601 of Regulation S-K:</w:t>
      </w:r>
    </w:p>
    <w:tbl>
      <w:tblPr>
        <w:tblW w:w="10205" w:type="dxa"/>
        <w:jc w:val="left"/>
        <w:tblInd w:w="0" w:type="dxa"/>
        <w:tblLayout w:type="fixed"/>
        <w:tblCellMar>
          <w:top w:w="28" w:type="dxa"/>
          <w:left w:w="28" w:type="dxa"/>
          <w:bottom w:w="28" w:type="dxa"/>
          <w:right w:w="28" w:type="dxa"/>
        </w:tblCellMar>
      </w:tblPr>
      <w:tblGrid>
        <w:gridCol w:w="237"/>
        <w:gridCol w:w="209"/>
        <w:gridCol w:w="210"/>
        <w:gridCol w:w="2853"/>
        <w:gridCol w:w="2768"/>
        <w:gridCol w:w="3928"/>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rbq1fy24ex101-secondamend.htm">
              <w:r>
                <w:rPr>
                  <w:rStyle w:val="InternetLink"/>
                  <w:rFonts w:ascii="Calibri;sans-serif" w:hAnsi="Calibri;sans-serif"/>
                  <w:b w:val="false"/>
                  <w:color w:val="0000FF"/>
                  <w:sz w:val="20"/>
                  <w:u w:val="single"/>
                </w:rPr>
                <w:t>10.1</w:t>
              </w:r>
            </w:hyperlink>
          </w:p>
        </w:tc>
        <w:tc>
          <w:tcPr>
            <w:tcW w:w="954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hrbq1fy24ex101-secondamend.htm">
              <w:r>
                <w:rPr>
                  <w:rStyle w:val="InternetLink"/>
                  <w:rFonts w:ascii="Calibri;sans-serif" w:hAnsi="Calibri;sans-serif"/>
                  <w:b w:val="false"/>
                  <w:color w:val="0000FF"/>
                  <w:sz w:val="20"/>
                  <w:u w:val="single"/>
                </w:rPr>
                <w:t>Second Amendment to Program Management Agreement, dated October 20, 2023, by and between Emerald Financial Services, LLC and Pathward, N.A.</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Calibri;sans-serif" w:hAnsi="Calibri;sans-serif"/>
                  <w:b w:val="false"/>
                  <w:color w:val="0000FF"/>
                  <w:sz w:val="20"/>
                  <w:u w:val="single"/>
                </w:rPr>
                <w:t>22</w:t>
              </w:r>
            </w:hyperlink>
          </w:p>
        </w:tc>
        <w:tc>
          <w:tcPr>
            <w:tcW w:w="95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Calibri;sans-serif" w:hAnsi="Calibri;sans-serif"/>
                  <w:b w:val="false"/>
                  <w:color w:val="000080"/>
                  <w:sz w:val="20"/>
                  <w:u w:val="single"/>
                </w:rPr>
                <w:t>List of Guarantor and Issuer Subsidiaries, filed as Exhibit 22 to the Company’s Annual Report on Form 10-K for the year ended June 30, 202</w:t>
              </w:r>
            </w:hyperlink>
            <w:hyperlink r:id="rId4">
              <w:r>
                <w:rPr>
                  <w:rStyle w:val="InternetLink"/>
                  <w:rFonts w:ascii="Calibri;sans-serif" w:hAnsi="Calibri;sans-serif"/>
                  <w:b w:val="false"/>
                  <w:color w:val="000080"/>
                  <w:sz w:val="20"/>
                  <w:u w:val="single"/>
                </w:rPr>
                <w:t>3</w:t>
              </w:r>
            </w:hyperlink>
            <w:hyperlink r:id="rId5">
              <w:r>
                <w:rPr>
                  <w:rStyle w:val="InternetLink"/>
                  <w:rFonts w:ascii="Calibri;sans-serif" w:hAnsi="Calibri;sans-serif"/>
                  <w:b w:val="false"/>
                  <w:color w:val="000080"/>
                  <w:sz w:val="20"/>
                  <w:u w:val="single"/>
                </w:rPr>
                <w:t>, file number 1-06089, is incorporated herein by reference.</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rbq1fy24exhibit311.htm">
              <w:r>
                <w:rPr>
                  <w:rStyle w:val="InternetLink"/>
                  <w:rFonts w:ascii="Calibri;sans-serif" w:hAnsi="Calibri;sans-serif"/>
                  <w:b w:val="false"/>
                  <w:color w:val="0000FF"/>
                  <w:sz w:val="20"/>
                  <w:u w:val="single"/>
                </w:rPr>
                <w:t>31.1</w:t>
              </w:r>
            </w:hyperlink>
          </w:p>
        </w:tc>
        <w:tc>
          <w:tcPr>
            <w:tcW w:w="9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pPr>
            <w:hyperlink w:anchor="hrbq1fy24exhibit311.htm">
              <w:r>
                <w:rPr>
                  <w:rStyle w:val="InternetLink"/>
                  <w:rFonts w:ascii="Calibri;sans-serif" w:hAnsi="Calibri;sans-serif"/>
                  <w:b w:val="false"/>
                  <w:color w:val="0000FF"/>
                  <w:sz w:val="20"/>
                  <w:u w:val="single"/>
                </w:rPr>
                <w:t>Certification by Chief Executive Officer pursuant to Section 302 of the Sarbanes-Oxley Act of 2002.</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rbq1fy24exhibit312.htm">
              <w:r>
                <w:rPr>
                  <w:rStyle w:val="InternetLink"/>
                  <w:rFonts w:ascii="Calibri;sans-serif" w:hAnsi="Calibri;sans-serif"/>
                  <w:b w:val="false"/>
                  <w:color w:val="0000FF"/>
                  <w:sz w:val="20"/>
                  <w:u w:val="single"/>
                </w:rPr>
                <w:t>31.2</w:t>
              </w:r>
            </w:hyperlink>
          </w:p>
        </w:tc>
        <w:tc>
          <w:tcPr>
            <w:tcW w:w="9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0"/>
              <w:jc w:val="both"/>
              <w:rPr/>
            </w:pPr>
            <w:hyperlink w:anchor="hrbq1fy24exhibit312.htm">
              <w:r>
                <w:rPr>
                  <w:rStyle w:val="InternetLink"/>
                  <w:rFonts w:ascii="Calibri;sans-serif" w:hAnsi="Calibri;sans-serif"/>
                  <w:b w:val="false"/>
                  <w:color w:val="0000FF"/>
                  <w:sz w:val="20"/>
                  <w:u w:val="single"/>
                </w:rPr>
                <w:t>Certification by Chief Financial Officer pursuant to Section 302 of the Sarbanes-Oxley Act of 2002.</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rbq1fy24exhibit321.htm">
              <w:r>
                <w:rPr>
                  <w:rStyle w:val="InternetLink"/>
                  <w:rFonts w:ascii="Calibri;sans-serif" w:hAnsi="Calibri;sans-serif"/>
                  <w:b w:val="false"/>
                  <w:color w:val="0000FF"/>
                  <w:sz w:val="20"/>
                  <w:u w:val="single"/>
                </w:rPr>
                <w:t>32.1</w:t>
              </w:r>
            </w:hyperlink>
          </w:p>
        </w:tc>
        <w:tc>
          <w:tcPr>
            <w:tcW w:w="9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hrbq1fy24exhibit321.htm">
              <w:r>
                <w:rPr>
                  <w:rStyle w:val="InternetLink"/>
                  <w:rFonts w:ascii="Calibri;sans-serif" w:hAnsi="Calibri;sans-serif"/>
                  <w:b w:val="false"/>
                  <w:color w:val="0000FF"/>
                  <w:sz w:val="20"/>
                  <w:u w:val="single"/>
                </w:rPr>
                <w:t>Certification by Chief Executive Officer pursuant to 18 U.S.C. 1350, as adopted by Section 906 of the Sarbanes-Oxley Act of 2002.</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rbq1fy24exhibit322.htm">
              <w:r>
                <w:rPr>
                  <w:rStyle w:val="InternetLink"/>
                  <w:rFonts w:ascii="Calibri;sans-serif" w:hAnsi="Calibri;sans-serif"/>
                  <w:b w:val="false"/>
                  <w:color w:val="0000FF"/>
                  <w:sz w:val="20"/>
                  <w:u w:val="single"/>
                </w:rPr>
                <w:t>32.2</w:t>
              </w:r>
            </w:hyperlink>
          </w:p>
        </w:tc>
        <w:tc>
          <w:tcPr>
            <w:tcW w:w="9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hrbq1fy24exhibit322.htm">
              <w:r>
                <w:rPr>
                  <w:rStyle w:val="InternetLink"/>
                  <w:rFonts w:ascii="Calibri;sans-serif" w:hAnsi="Calibri;sans-serif"/>
                  <w:b w:val="false"/>
                  <w:color w:val="0000FF"/>
                  <w:sz w:val="20"/>
                  <w:u w:val="single"/>
                </w:rPr>
                <w:t>Certification by Chief Financial Officer pursuant to 18 U.S.C. 1350, as adopted by Section 906 of the Sarbanes-Oxley Act of 2002.</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101.INS</w:t>
            </w:r>
          </w:p>
        </w:tc>
        <w:tc>
          <w:tcPr>
            <w:tcW w:w="9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Inline XBRL Instance Document - the instance document does not appear in the Interactive Data File because its XBRL tags are embedded within the Inline XBRL document</w:t>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101.SCH</w:t>
            </w:r>
          </w:p>
        </w:tc>
        <w:tc>
          <w:tcPr>
            <w:tcW w:w="9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Schema</w:t>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101.CAL</w:t>
            </w:r>
          </w:p>
        </w:tc>
        <w:tc>
          <w:tcPr>
            <w:tcW w:w="9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Extension Calculation Linkbase</w:t>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101.LAB</w:t>
            </w:r>
          </w:p>
        </w:tc>
        <w:tc>
          <w:tcPr>
            <w:tcW w:w="9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Label Linkbase</w:t>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101.PRE</w:t>
            </w:r>
          </w:p>
        </w:tc>
        <w:tc>
          <w:tcPr>
            <w:tcW w:w="9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Presentation Linkbase</w:t>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101.DEF</w:t>
            </w:r>
          </w:p>
        </w:tc>
        <w:tc>
          <w:tcPr>
            <w:tcW w:w="9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Definition Linkbase</w:t>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9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43560"/>
                <wp:effectExtent l="0" t="0" r="0" b="0"/>
                <wp:wrapNone/>
                <wp:docPr id="26" name="Frame2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FY2024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afc45a77d047448791facc0098fadc7b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thereunto duly authorized.</w:t>
      </w:r>
    </w:p>
    <w:tbl>
      <w:tblPr>
        <w:tblW w:w="3059" w:type="dxa"/>
        <w:jc w:val="right"/>
        <w:tblInd w:w="0" w:type="dxa"/>
        <w:tblLayout w:type="fixed"/>
        <w:tblCellMar>
          <w:top w:w="28" w:type="dxa"/>
          <w:left w:w="28" w:type="dxa"/>
          <w:bottom w:w="28" w:type="dxa"/>
          <w:right w:w="28" w:type="dxa"/>
        </w:tblCellMar>
      </w:tblPr>
      <w:tblGrid>
        <w:gridCol w:w="977"/>
        <w:gridCol w:w="860"/>
        <w:gridCol w:w="1222"/>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H&amp;R BLOCK, INC.</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Jeffrey J. Jones II</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J. Jones II</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President and Chief Executive Officer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2023</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Tony G. Bowen</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Tony G. Bowen</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Financial Officer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2023</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Kellie J. Logerwell</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Kellie J. Logerwell</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Accounting Officer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2023</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4995"/>
                <wp:effectExtent l="0" t="0" r="0" b="0"/>
                <wp:wrapNone/>
                <wp:docPr id="27" name="Frame2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FY2024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val="false"/>
          <w:color w:val="000000"/>
          <w:sz w:val="24"/>
        </w:rPr>
        <w:t>SECOND</w:t>
      </w:r>
      <w:r>
        <w:rPr>
          <w:color w:val="000000"/>
          <w:shd w:fill="FFFFFF" w:val="clear"/>
        </w:rPr>
        <w:t xml:space="preserve"> </w:t>
      </w:r>
      <w:r>
        <w:rPr>
          <w:rFonts w:ascii="Times New Roman;sans-serif" w:hAnsi="Times New Roman;sans-serif"/>
          <w:b w:val="false"/>
          <w:color w:val="000000"/>
          <w:sz w:val="24"/>
          <w:shd w:fill="FFFFFF" w:val="clear"/>
        </w:rPr>
        <w:t>AMENDMENT TO PROGRAM MANAGEMENT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shd w:fill="FFFFFF" w:val="clear"/>
        </w:rPr>
        <w:t>THIS SECOND AMENDMENT TO PROGRAM MANAGEMENT AGREEMENT (this “</w:t>
      </w:r>
      <w:r>
        <w:rPr>
          <w:rFonts w:ascii="Times New Roman;sans-serif" w:hAnsi="Times New Roman;sans-serif"/>
          <w:b/>
          <w:color w:val="000000"/>
          <w:sz w:val="24"/>
          <w:shd w:fill="FFFFFF" w:val="clear"/>
        </w:rPr>
        <w:t>Second Amendment</w:t>
      </w:r>
      <w:r>
        <w:rPr>
          <w:color w:val="000000"/>
          <w:shd w:fill="FFFFFF" w:val="clear"/>
        </w:rPr>
        <w:t>”</w:t>
      </w:r>
      <w:r>
        <w:rPr>
          <w:rFonts w:ascii="Times New Roman;sans-serif" w:hAnsi="Times New Roman;sans-serif"/>
          <w:b w:val="false"/>
          <w:color w:val="000000"/>
          <w:sz w:val="24"/>
          <w:shd w:fill="FFFFFF" w:val="clear"/>
        </w:rPr>
        <w:t xml:space="preserve">), dated as of October 20, 2023, is made by and between </w:t>
      </w:r>
      <w:r>
        <w:rPr>
          <w:rFonts w:ascii="Times New Roman;sans-serif" w:hAnsi="Times New Roman;sans-serif"/>
          <w:b/>
          <w:color w:val="000000"/>
          <w:sz w:val="24"/>
          <w:shd w:fill="FFFFFF" w:val="clear"/>
        </w:rPr>
        <w:t>Emerald Financial Services, LLC</w:t>
      </w:r>
      <w:r>
        <w:rPr>
          <w:rFonts w:ascii="Times New Roman;sans-serif" w:hAnsi="Times New Roman;sans-serif"/>
          <w:b w:val="false"/>
          <w:color w:val="000000"/>
          <w:sz w:val="24"/>
          <w:shd w:fill="FFFFFF" w:val="clear"/>
        </w:rPr>
        <w:t>, a Delaware limited liability company (“</w:t>
      </w:r>
      <w:r>
        <w:rPr>
          <w:rFonts w:ascii="Times New Roman;sans-serif" w:hAnsi="Times New Roman;sans-serif"/>
          <w:b/>
          <w:color w:val="000000"/>
          <w:sz w:val="24"/>
          <w:shd w:fill="FFFFFF" w:val="clear"/>
        </w:rPr>
        <w:t>EFS</w:t>
      </w:r>
      <w:r>
        <w:rPr>
          <w:color w:val="000000"/>
          <w:shd w:fill="FFFFFF" w:val="clear"/>
        </w:rPr>
        <w:t>”</w:t>
      </w:r>
      <w:r>
        <w:rPr>
          <w:rFonts w:ascii="Times New Roman;sans-serif" w:hAnsi="Times New Roman;sans-serif"/>
          <w:b w:val="false"/>
          <w:color w:val="000000"/>
          <w:sz w:val="24"/>
          <w:shd w:fill="FFFFFF" w:val="clear"/>
        </w:rPr>
        <w:t xml:space="preserve">), and </w:t>
      </w:r>
      <w:r>
        <w:rPr>
          <w:rFonts w:ascii="Times New Roman;sans-serif" w:hAnsi="Times New Roman;sans-serif"/>
          <w:b/>
          <w:color w:val="000000"/>
          <w:sz w:val="24"/>
          <w:shd w:fill="FFFFFF" w:val="clear"/>
        </w:rPr>
        <w:t xml:space="preserve">Pathward, N.A. </w:t>
      </w:r>
      <w:r>
        <w:rPr>
          <w:rFonts w:ascii="Times New Roman;sans-serif" w:hAnsi="Times New Roman;sans-serif"/>
          <w:b w:val="false"/>
          <w:color w:val="000000"/>
          <w:sz w:val="24"/>
          <w:shd w:fill="FFFFFF" w:val="clear"/>
        </w:rPr>
        <w:t>(f/k/a MetaBank, N.A.), a national bank (“</w:t>
      </w:r>
      <w:r>
        <w:rPr>
          <w:rFonts w:ascii="Times New Roman;sans-serif" w:hAnsi="Times New Roman;sans-serif"/>
          <w:b/>
          <w:color w:val="000000"/>
          <w:sz w:val="24"/>
          <w:shd w:fill="FFFFFF" w:val="clear"/>
        </w:rPr>
        <w:t>Pathward</w:t>
      </w:r>
      <w:r>
        <w:rPr>
          <w:color w:val="000000"/>
          <w:shd w:fill="FFFFFF" w:val="clear"/>
        </w:rPr>
        <w:t>”</w:t>
      </w:r>
      <w:r>
        <w:rPr>
          <w:rFonts w:ascii="Times New Roman;sans-serif" w:hAnsi="Times New Roman;sans-serif"/>
          <w:b w:val="false"/>
          <w:color w:val="000000"/>
          <w:sz w:val="24"/>
          <w:shd w:fill="FFFFFF" w:val="clear"/>
        </w:rPr>
        <w:t>).</w:t>
      </w:r>
    </w:p>
    <w:p>
      <w:pPr>
        <w:pStyle w:val="TextBody"/>
        <w:bidi w:val="0"/>
        <w:spacing w:lineRule="auto" w:line="240" w:before="0" w:after="24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shd w:fill="FFFFFF" w:val="clear"/>
        </w:rPr>
        <w:t>The Parties entered into a Program Management Agreement on August 5, 2020 (the “</w:t>
      </w:r>
      <w:r>
        <w:rPr>
          <w:rFonts w:ascii="Times New Roman;sans-serif" w:hAnsi="Times New Roman;sans-serif"/>
          <w:b/>
          <w:color w:val="000000"/>
          <w:sz w:val="24"/>
          <w:shd w:fill="FFFFFF" w:val="clear"/>
        </w:rPr>
        <w:t>Original PMA</w:t>
      </w:r>
      <w:r>
        <w:rPr>
          <w:color w:val="000000"/>
          <w:shd w:fill="FFFFFF" w:val="clear"/>
        </w:rPr>
        <w:t>”</w:t>
      </w:r>
      <w:r>
        <w:rPr>
          <w:rFonts w:ascii="Times New Roman;sans-serif" w:hAnsi="Times New Roman;sans-serif"/>
          <w:b w:val="false"/>
          <w:color w:val="000000"/>
          <w:sz w:val="24"/>
          <w:shd w:fill="FFFFFF" w:val="clear"/>
        </w:rPr>
        <w:t>), in which the Parties agreed that EFS would serve as Pathward’s program manager for the Program.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shd w:fill="FFFFFF" w:val="clear"/>
        </w:rPr>
        <w:t>The Parties entered into a First Amendment of the Original PMA on December 20, 2021 (the “</w:t>
      </w:r>
      <w:r>
        <w:rPr>
          <w:rFonts w:ascii="Times New Roman;sans-serif" w:hAnsi="Times New Roman;sans-serif"/>
          <w:b/>
          <w:color w:val="000000"/>
          <w:sz w:val="24"/>
          <w:shd w:fill="FFFFFF" w:val="clear"/>
        </w:rPr>
        <w:t>First Amendment</w:t>
      </w:r>
      <w:r>
        <w:rPr>
          <w:color w:val="000000"/>
          <w:shd w:fill="FFFFFF" w:val="clear"/>
        </w:rPr>
        <w:t>”</w:t>
      </w:r>
      <w:r>
        <w:rPr>
          <w:rFonts w:ascii="Times New Roman;sans-serif" w:hAnsi="Times New Roman;sans-serif"/>
          <w:b w:val="false"/>
          <w:color w:val="000000"/>
          <w:sz w:val="24"/>
          <w:shd w:fill="FFFFFF" w:val="clear"/>
        </w:rPr>
        <w:t>, the Original PMA as amended by the First Amendment, the “</w:t>
      </w:r>
      <w:r>
        <w:rPr>
          <w:rFonts w:ascii="Times New Roman;sans-serif" w:hAnsi="Times New Roman;sans-serif"/>
          <w:b/>
          <w:color w:val="000000"/>
          <w:sz w:val="24"/>
          <w:shd w:fill="FFFFFF" w:val="clear"/>
        </w:rPr>
        <w:t>First Amended PMA</w:t>
      </w:r>
      <w:r>
        <w:rPr>
          <w:color w:val="000000"/>
          <w:shd w:fill="FFFFFF" w:val="clear"/>
        </w:rPr>
        <w:t>”</w:t>
      </w:r>
      <w:r>
        <w:rPr>
          <w:rFonts w:ascii="Times New Roman;sans-serif" w:hAnsi="Times New Roman;sans-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shd w:fill="FFFFFF" w:val="clear"/>
        </w:rPr>
        <w:t>The Parties desire to amend the First Amended PMA in the manner set forth in this Second Amendment (the First Amended PMA, as amended by this Second Amendment, is referred to herein as the “</w:t>
      </w:r>
      <w:r>
        <w:rPr>
          <w:rFonts w:ascii="Times New Roman;sans-serif" w:hAnsi="Times New Roman;sans-serif"/>
          <w:b/>
          <w:color w:val="000000"/>
          <w:sz w:val="24"/>
          <w:shd w:fill="FFFFFF" w:val="clear"/>
        </w:rPr>
        <w:t>PMA</w:t>
      </w:r>
      <w:r>
        <w:rPr>
          <w:color w:val="000000"/>
          <w:shd w:fill="FFFFFF" w:val="clear"/>
        </w:rPr>
        <w:t>”</w:t>
      </w:r>
      <w:r>
        <w:rPr>
          <w:rFonts w:ascii="Times New Roman;sans-serif" w:hAnsi="Times New Roman;sans-serif"/>
          <w:b w:val="false"/>
          <w:color w:val="000000"/>
          <w:sz w:val="24"/>
          <w:shd w:fill="FFFFFF" w:val="clear"/>
        </w:rPr>
        <w:t>).</w:t>
      </w:r>
    </w:p>
    <w:p>
      <w:pPr>
        <w:pStyle w:val="TextBody"/>
        <w:bidi w:val="0"/>
        <w:spacing w:lineRule="auto" w:line="240" w:before="0" w:after="240"/>
        <w:jc w:val="center"/>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AGREEMENT</w:t>
      </w:r>
    </w:p>
    <w:p>
      <w:pPr>
        <w:pStyle w:val="TextBody"/>
        <w:bidi w:val="0"/>
        <w:spacing w:lineRule="auto" w:line="240" w:before="0" w:after="240"/>
        <w:ind w:left="0" w:right="0" w:firstLine="72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ACCORDINGLY, in consideration of the mutual covenants and agreements of the Parties contained herein and other good and valuable consideration, the receipt and sufficiency of which is hereby acknowledged, the Parties agree as follows:</w:t>
      </w:r>
    </w:p>
    <w:p>
      <w:pPr>
        <w:pStyle w:val="TextBody"/>
        <w:bidi w:val="0"/>
        <w:spacing w:lineRule="auto" w:line="240" w:before="0" w:after="24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shd w:fill="FFFFFF" w:val="clear"/>
        </w:rPr>
        <w:t>Definitions</w:t>
      </w:r>
      <w:r>
        <w:rPr>
          <w:rFonts w:ascii="Times New Roman;sans-serif" w:hAnsi="Times New Roman;sans-serif"/>
          <w:b w:val="false"/>
          <w:color w:val="000000"/>
          <w:sz w:val="24"/>
          <w:shd w:fill="FFFFFF" w:val="clear"/>
        </w:rPr>
        <w:t>. Capitalized terms not otherwise defined in this Second Amendment will have the meanings set forth in the First Amended PMA. In addition, Section 1.1 of the First Amended PMA is amended by inserting the following new defined terms in alphabetical order:</w:t>
      </w:r>
    </w:p>
    <w:p>
      <w:pPr>
        <w:pStyle w:val="TextBody"/>
        <w:bidi w:val="0"/>
        <w:spacing w:lineRule="auto" w:line="240" w:before="0" w:after="240"/>
        <w:ind w:left="0" w:right="0" w:firstLine="720"/>
        <w:jc w:val="left"/>
        <w:rPr/>
      </w:pPr>
      <w:r>
        <w:rPr>
          <w:color w:val="000000"/>
          <w:shd w:fill="FFFFFF" w:val="clear"/>
        </w:rPr>
        <w:t>“</w:t>
      </w:r>
      <w:r>
        <w:rPr>
          <w:rFonts w:ascii="Times New Roman;sans-serif" w:hAnsi="Times New Roman;sans-serif"/>
          <w:b/>
          <w:color w:val="000000"/>
          <w:sz w:val="24"/>
          <w:shd w:fill="FFFFFF" w:val="clear"/>
        </w:rPr>
        <w:t>Financial Products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2(a)</w:t>
      </w:r>
      <w:r>
        <w:rPr>
          <w:color w:val="000000"/>
          <w:shd w:fill="FFFFFF" w:val="clear"/>
        </w:rPr>
        <w:t xml:space="preserve"> </w:t>
      </w:r>
      <w:r>
        <w:rPr>
          <w:rFonts w:ascii="Times New Roman;sans-serif" w:hAnsi="Times New Roman;sans-serif"/>
          <w:b w:val="false"/>
          <w:color w:val="000000"/>
          <w:sz w:val="24"/>
          <w:shd w:fill="FFFFFF" w:val="clear"/>
        </w:rPr>
        <w:t xml:space="preserve">(Other Definitions) of this Second Amendment. </w:t>
      </w:r>
    </w:p>
    <w:p>
      <w:pPr>
        <w:pStyle w:val="TextBody"/>
        <w:bidi w:val="0"/>
        <w:spacing w:lineRule="auto" w:line="240" w:before="0" w:after="240"/>
        <w:ind w:left="0" w:right="0" w:firstLine="720"/>
        <w:jc w:val="left"/>
        <w:rPr/>
      </w:pPr>
      <w:r>
        <w:rPr>
          <w:color w:val="000000"/>
          <w:shd w:fill="FFFFFF" w:val="clear"/>
        </w:rPr>
        <w:t>“</w:t>
      </w:r>
      <w:r>
        <w:rPr>
          <w:rFonts w:ascii="Times New Roman;sans-serif" w:hAnsi="Times New Roman;sans-serif"/>
          <w:b/>
          <w:color w:val="000000"/>
          <w:sz w:val="24"/>
          <w:shd w:fill="FFFFFF" w:val="clear"/>
        </w:rPr>
        <w:t>First Amended PMA</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the Recitals of this Second Amendment. </w:t>
      </w:r>
    </w:p>
    <w:p>
      <w:pPr>
        <w:pStyle w:val="TextBody"/>
        <w:bidi w:val="0"/>
        <w:spacing w:lineRule="auto" w:line="240" w:before="0" w:after="240"/>
        <w:ind w:left="0" w:right="0" w:firstLine="720"/>
        <w:jc w:val="left"/>
        <w:rPr/>
      </w:pPr>
      <w:r>
        <w:rPr>
          <w:color w:val="000000"/>
          <w:shd w:fill="FFFFFF" w:val="clear"/>
        </w:rPr>
        <w:t>“</w:t>
      </w:r>
      <w:r>
        <w:rPr>
          <w:rFonts w:ascii="Times New Roman;sans-serif" w:hAnsi="Times New Roman;sans-serif"/>
          <w:b/>
          <w:color w:val="000000"/>
          <w:sz w:val="24"/>
          <w:shd w:fill="FFFFFF" w:val="clear"/>
        </w:rPr>
        <w:t>First Amendment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the Recitals of this Second Amendment. </w:t>
      </w:r>
    </w:p>
    <w:p>
      <w:pPr>
        <w:pStyle w:val="TextBody"/>
        <w:bidi w:val="0"/>
        <w:spacing w:lineRule="auto" w:line="240" w:before="0" w:after="240"/>
        <w:ind w:left="0" w:right="0" w:firstLine="720"/>
        <w:jc w:val="left"/>
        <w:rPr/>
      </w:pPr>
      <w:r>
        <w:rPr>
          <w:color w:val="000000"/>
          <w:shd w:fill="FFFFFF" w:val="clear"/>
        </w:rPr>
        <w:t>“</w:t>
      </w:r>
      <w:r>
        <w:rPr>
          <w:rFonts w:ascii="Times New Roman;sans-serif" w:hAnsi="Times New Roman;sans-serif"/>
          <w:b/>
          <w:color w:val="000000"/>
          <w:sz w:val="24"/>
          <w:shd w:fill="FFFFFF" w:val="clear"/>
        </w:rPr>
        <w:t>Second Amendment Effective Date</w:t>
      </w:r>
      <w:r>
        <w:rPr>
          <w:color w:val="000000"/>
          <w:shd w:fill="FFFFFF" w:val="clear"/>
        </w:rPr>
        <w:t xml:space="preserve">” </w:t>
      </w:r>
      <w:r>
        <w:rPr>
          <w:rFonts w:ascii="Times New Roman;sans-serif" w:hAnsi="Times New Roman;sans-serif"/>
          <w:b w:val="false"/>
          <w:color w:val="000000"/>
          <w:sz w:val="24"/>
          <w:shd w:fill="FFFFFF" w:val="clear"/>
        </w:rPr>
        <w:t xml:space="preserve">means the date set forth in the Preamble of this Second Amendment.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color w:val="000000"/>
          <w:sz w:val="24"/>
        </w:rPr>
        <w:t>Monthly Product Statement</w:t>
      </w:r>
      <w:r>
        <w:rPr>
          <w:color w:val="000000"/>
        </w:rPr>
        <w:t>”</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4(c)</w:t>
      </w:r>
      <w:r>
        <w:rPr>
          <w:color w:val="000000"/>
          <w:shd w:fill="FFFFFF" w:val="clear"/>
        </w:rPr>
        <w:t xml:space="preserve"> </w:t>
      </w:r>
      <w:r>
        <w:rPr>
          <w:rFonts w:ascii="Times New Roman;sans-serif" w:hAnsi="Times New Roman;sans-serif"/>
          <w:b w:val="false"/>
          <w:color w:val="000000"/>
          <w:sz w:val="24"/>
          <w:shd w:fill="FFFFFF" w:val="clear"/>
        </w:rPr>
        <w:t xml:space="preserve">(Monthly Product Statements) of this Second Amendment. </w:t>
      </w:r>
    </w:p>
    <w:p>
      <w:pPr>
        <w:pStyle w:val="TextBody"/>
        <w:bidi w:val="0"/>
        <w:spacing w:lineRule="auto" w:line="240" w:before="0" w:after="240"/>
        <w:ind w:left="0" w:right="0" w:firstLine="720"/>
        <w:jc w:val="left"/>
        <w:rPr/>
      </w:pPr>
      <w:r>
        <w:rPr>
          <w:color w:val="000000"/>
          <w:shd w:fill="FFFFFF" w:val="clear"/>
        </w:rPr>
        <w:t>“</w:t>
      </w:r>
      <w:r>
        <w:rPr>
          <w:rFonts w:ascii="Times New Roman;sans-serif" w:hAnsi="Times New Roman;sans-serif"/>
          <w:b/>
          <w:color w:val="000000"/>
          <w:sz w:val="24"/>
          <w:shd w:fill="FFFFFF" w:val="clear"/>
        </w:rPr>
        <w:t>Original PMA</w:t>
      </w:r>
      <w:r>
        <w:rPr>
          <w:color w:val="000000"/>
          <w:shd w:fill="FFFFFF" w:val="clear"/>
        </w:rPr>
        <w:t xml:space="preserve">” </w:t>
      </w:r>
      <w:r>
        <w:rPr>
          <w:rFonts w:ascii="Times New Roman;sans-serif" w:hAnsi="Times New Roman;sans-serif"/>
          <w:b w:val="false"/>
          <w:color w:val="000000"/>
          <w:sz w:val="24"/>
          <w:shd w:fill="FFFFFF" w:val="clear"/>
        </w:rPr>
        <w:t>has the meaning set forth in the Recitals of this Second Amendment.</w:t>
      </w:r>
      <w:r>
        <w:rPr>
          <w:color w:val="000000"/>
          <w:shd w:fill="FFFFFF" w:val="clear"/>
        </w:rPr>
        <w:t xml:space="preserve"> </w:t>
      </w:r>
    </w:p>
    <w:p>
      <w:pPr>
        <w:pStyle w:val="TextBody"/>
        <w:bidi w:val="0"/>
        <w:spacing w:lineRule="auto" w:line="240" w:before="0" w:after="0"/>
        <w:ind w:left="0" w:right="0" w:firstLine="720"/>
        <w:jc w:val="left"/>
        <w:rPr/>
      </w:pPr>
      <w:r>
        <w:rPr>
          <w:color w:val="000000"/>
          <w:shd w:fill="FFFFFF" w:val="clear"/>
        </w:rPr>
        <w:t>“</w:t>
      </w:r>
      <w:r>
        <w:rPr>
          <w:rFonts w:ascii="Times New Roman;sans-serif" w:hAnsi="Times New Roman;sans-serif"/>
          <w:b/>
          <w:color w:val="000000"/>
          <w:sz w:val="24"/>
        </w:rPr>
        <w:t>Emerald Advance Loan Participation Agreement</w:t>
      </w:r>
      <w:r>
        <w:rPr>
          <w:color w:val="000000"/>
          <w:shd w:fill="FFFFFF" w:val="clear"/>
        </w:rPr>
        <w:t>”</w:t>
      </w:r>
      <w:r>
        <w:rPr>
          <w:color w:val="000000"/>
        </w:rPr>
        <w:t xml:space="preserve"> </w:t>
      </w:r>
      <w:r>
        <w:rPr>
          <w:rFonts w:ascii="Times New Roman;sans-serif" w:hAnsi="Times New Roman;sans-serif"/>
          <w:b w:val="false"/>
          <w:color w:val="000000"/>
          <w:sz w:val="24"/>
        </w:rPr>
        <w:t xml:space="preserve">means the Emerald Advance Loan Participation Agreement described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(New Program Contract) of this Second Amendment.</w:t>
      </w:r>
    </w:p>
    <w:p>
      <w:pPr>
        <w:pStyle w:val="TextBody"/>
        <w:bidi w:val="0"/>
        <w:spacing w:lineRule="auto" w:line="240" w:before="0" w:after="240"/>
        <w:jc w:val="left"/>
        <w:rPr/>
      </w:pPr>
      <w:r>
        <w:rPr>
          <w:rFonts w:ascii="Times New Roman;sans-serif" w:hAnsi="Times New Roman;sans-serif"/>
          <w:b w:val="false"/>
          <w:color w:val="000000"/>
          <w:sz w:val="24"/>
          <w:shd w:fill="FFFFFF" w:val="clear"/>
        </w:rPr>
        <w:br/>
        <w:t>“</w:t>
      </w:r>
      <w:r>
        <w:rPr>
          <w:rFonts w:ascii="Times New Roman;sans-serif" w:hAnsi="Times New Roman;sans-serif"/>
          <w:b/>
          <w:color w:val="000000"/>
          <w:sz w:val="24"/>
          <w:shd w:fill="FFFFFF" w:val="clear"/>
        </w:rPr>
        <w:t>PMA</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the Recitals of this Second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5915"/>
                <wp:effectExtent l="0" t="0" r="0" b="0"/>
                <wp:wrapNone/>
                <wp:docPr id="28" name="Frame2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left"/>
        <w:rPr/>
      </w:pPr>
      <w:r>
        <w:rPr>
          <w:color w:val="000000"/>
          <w:shd w:fill="FFFFFF" w:val="clear"/>
        </w:rPr>
        <w:t>“</w:t>
      </w:r>
      <w:r>
        <w:rPr>
          <w:rFonts w:ascii="Times New Roman;sans-serif" w:hAnsi="Times New Roman;sans-serif"/>
          <w:b/>
          <w:color w:val="000000"/>
          <w:sz w:val="24"/>
          <w:shd w:fill="FFFFFF" w:val="clear"/>
        </w:rPr>
        <w:t>Product Schedules</w:t>
      </w:r>
      <w:r>
        <w:rPr>
          <w:color w:val="000000"/>
          <w:shd w:fill="FFFFFF" w:val="clear"/>
        </w:rPr>
        <w:t xml:space="preserve">” </w:t>
      </w:r>
      <w:r>
        <w:rPr>
          <w:rFonts w:ascii="Times New Roman;sans-serif" w:hAnsi="Times New Roman;sans-serif"/>
          <w:b w:val="false"/>
          <w:color w:val="000000"/>
          <w:sz w:val="24"/>
          <w:shd w:fill="FFFFFF" w:val="clear"/>
        </w:rPr>
        <w:t xml:space="preserve">has the meaning set forth in </w:t>
      </w:r>
      <w:r>
        <w:rPr>
          <w:rFonts w:ascii="Times New Roman;sans-serif" w:hAnsi="Times New Roman;sans-serif"/>
          <w:b w:val="false"/>
          <w:color w:val="000000"/>
          <w:sz w:val="24"/>
          <w:u w:val="single"/>
          <w:shd w:fill="FFFFFF" w:val="clear"/>
        </w:rPr>
        <w:t>Section 2(b)</w:t>
      </w:r>
      <w:r>
        <w:rPr>
          <w:color w:val="000000"/>
          <w:shd w:fill="FFFFFF" w:val="clear"/>
        </w:rPr>
        <w:t xml:space="preserve"> </w:t>
      </w:r>
      <w:r>
        <w:rPr>
          <w:rFonts w:ascii="Times New Roman;sans-serif" w:hAnsi="Times New Roman;sans-serif"/>
          <w:b w:val="false"/>
          <w:color w:val="000000"/>
          <w:sz w:val="24"/>
          <w:shd w:fill="FFFFFF" w:val="clear"/>
        </w:rPr>
        <w:t xml:space="preserve">(Other Definitions) of this Second Amendment. </w:t>
      </w:r>
    </w:p>
    <w:p>
      <w:pPr>
        <w:pStyle w:val="TextBody"/>
        <w:bidi w:val="0"/>
        <w:spacing w:lineRule="auto" w:line="240" w:before="0" w:after="24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shd w:fill="FFFFFF" w:val="clear"/>
        </w:rPr>
        <w:t>Other Definitions</w:t>
      </w:r>
      <w:r>
        <w:rPr>
          <w:rFonts w:ascii="Times New Roman;sans-serif" w:hAnsi="Times New Roman;sans-serif"/>
          <w:b w:val="false"/>
          <w:color w:val="000000"/>
          <w:sz w:val="24"/>
          <w:shd w:fill="FFFFFF" w:val="clear"/>
        </w:rPr>
        <w:t xml:space="preserve">. Section 1.1 of the First Amended PMA is hereby amended by: </w:t>
      </w:r>
    </w:p>
    <w:p>
      <w:pPr>
        <w:pStyle w:val="TextBody"/>
        <w:bidi w:val="0"/>
        <w:spacing w:lineRule="auto" w:line="240" w:before="0" w:after="240"/>
        <w:jc w:val="left"/>
        <w:rPr/>
      </w:pPr>
      <w:r>
        <w:rPr>
          <w:rFonts w:ascii="Times New Roman;sans-serif" w:hAnsi="Times New Roman;sans-serif"/>
          <w:b w:val="false"/>
          <w:color w:val="000000"/>
          <w:sz w:val="24"/>
        </w:rPr>
        <w:t>(a)</w:t>
      </w:r>
      <w:r>
        <w:rPr>
          <w:color w:val="000000"/>
          <w:shd w:fill="FFFFFF" w:val="clear"/>
        </w:rPr>
        <w:t xml:space="preserve">     </w:t>
      </w:r>
      <w:r>
        <w:rPr>
          <w:rFonts w:ascii="Times New Roman;sans-serif" w:hAnsi="Times New Roman;sans-serif"/>
          <w:b w:val="false"/>
          <w:color w:val="000000"/>
          <w:sz w:val="24"/>
          <w:shd w:fill="FFFFFF" w:val="clear"/>
        </w:rPr>
        <w:t>deleting the prior definition of “Financial Products” and inserting the following definition: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Financial Products</w:t>
      </w:r>
      <w:r>
        <w:rPr>
          <w:color w:val="000000"/>
        </w:rPr>
        <w:t xml:space="preserve">” </w:t>
      </w:r>
      <w:r>
        <w:rPr>
          <w:rFonts w:ascii="Times New Roman;sans-serif" w:hAnsi="Times New Roman;sans-serif"/>
          <w:b w:val="false"/>
          <w:color w:val="000000"/>
          <w:sz w:val="24"/>
        </w:rPr>
        <w:t xml:space="preserve">means the Prepaid Products, Refund Transfer, Emerald Advance, Emerald Savings Account, Refund Advance, Spruce Accounts, Emerald Advance Loan, and any New Product, in each case offered by Pathward and distributed by EFS pursuant to the Agreement. </w:t>
      </w:r>
    </w:p>
    <w:p>
      <w:pPr>
        <w:pStyle w:val="TextBody"/>
        <w:bidi w:val="0"/>
        <w:spacing w:lineRule="auto" w:line="240" w:before="0" w:after="2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shd w:fill="FFFFFF" w:val="clear"/>
        </w:rPr>
        <w:t>deleting the prior definition of “Product Schedules” and inserting the following definition:</w:t>
      </w:r>
    </w:p>
    <w:p>
      <w:pPr>
        <w:pStyle w:val="TextBody"/>
        <w:bidi w:val="0"/>
        <w:spacing w:lineRule="auto" w:line="240" w:before="0" w:after="240"/>
        <w:ind w:left="0" w:right="0" w:firstLine="720"/>
        <w:jc w:val="left"/>
        <w:rPr/>
      </w:pPr>
      <w:r>
        <w:rPr>
          <w:color w:val="000000"/>
        </w:rPr>
        <w:t>“</w:t>
      </w:r>
      <w:r>
        <w:rPr>
          <w:rFonts w:ascii="Times New Roman;sans-serif" w:hAnsi="Times New Roman;sans-serif"/>
          <w:b/>
          <w:color w:val="000000"/>
          <w:sz w:val="24"/>
        </w:rPr>
        <w:t>Product Schedules</w:t>
      </w:r>
      <w:r>
        <w:rPr>
          <w:color w:val="000000"/>
        </w:rPr>
        <w:t xml:space="preserve">” </w:t>
      </w:r>
      <w:r>
        <w:rPr>
          <w:rFonts w:ascii="Times New Roman;sans-serif" w:hAnsi="Times New Roman;sans-serif"/>
          <w:b w:val="false"/>
          <w:color w:val="000000"/>
          <w:sz w:val="24"/>
        </w:rPr>
        <w:t xml:space="preserve">means the product schedules set forth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(Prepaid Products Product Schedule), </w:t>
      </w:r>
      <w:r>
        <w:rPr>
          <w:rFonts w:ascii="Times New Roman;sans-serif" w:hAnsi="Times New Roman;sans-serif"/>
          <w:b w:val="false"/>
          <w:color w:val="000000"/>
          <w:sz w:val="24"/>
          <w:u w:val="single"/>
          <w:shd w:fill="FFFFFF" w:val="clear"/>
        </w:rPr>
        <w:t>Schedule</w:t>
      </w:r>
      <w:r>
        <w:rPr>
          <w:color w:val="000000"/>
          <w:u w:val="single"/>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(Refund Transfer Product Schedule),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 xml:space="preserve">(Emerald Advance Product Schedule), </w:t>
      </w:r>
      <w:r>
        <w:rPr>
          <w:rFonts w:ascii="Times New Roman;sans-serif" w:hAnsi="Times New Roman;sans-serif"/>
          <w:b w:val="false"/>
          <w:color w:val="000000"/>
          <w:sz w:val="24"/>
          <w:u w:val="single"/>
        </w:rPr>
        <w:t>Schedule D</w:t>
      </w:r>
      <w:r>
        <w:rPr>
          <w:color w:val="000000"/>
        </w:rPr>
        <w:t xml:space="preserve"> </w:t>
      </w:r>
      <w:r>
        <w:rPr>
          <w:rFonts w:ascii="Times New Roman;sans-serif" w:hAnsi="Times New Roman;sans-serif"/>
          <w:b w:val="false"/>
          <w:color w:val="000000"/>
          <w:sz w:val="24"/>
        </w:rPr>
        <w:t xml:space="preserve">(Emerald Savings Product Schedule), </w:t>
      </w:r>
      <w:r>
        <w:rPr>
          <w:rFonts w:ascii="Times New Roman;sans-serif" w:hAnsi="Times New Roman;sans-serif"/>
          <w:b w:val="false"/>
          <w:color w:val="000000"/>
          <w:sz w:val="24"/>
          <w:u w:val="single"/>
        </w:rPr>
        <w:t>Schedule E</w:t>
      </w:r>
      <w:r>
        <w:rPr>
          <w:color w:val="000000"/>
        </w:rPr>
        <w:t xml:space="preserve"> </w:t>
      </w:r>
      <w:r>
        <w:rPr>
          <w:rFonts w:ascii="Times New Roman;sans-serif" w:hAnsi="Times New Roman;sans-serif"/>
          <w:b w:val="false"/>
          <w:color w:val="000000"/>
          <w:sz w:val="24"/>
        </w:rPr>
        <w:t xml:space="preserve">(Refund Advance Product Schedule), </w:t>
      </w:r>
      <w:r>
        <w:rPr>
          <w:rFonts w:ascii="Times New Roman;sans-serif" w:hAnsi="Times New Roman;sans-serif"/>
          <w:b w:val="false"/>
          <w:color w:val="000000"/>
          <w:sz w:val="24"/>
          <w:u w:val="single"/>
        </w:rPr>
        <w:t>Schedule F</w:t>
      </w:r>
      <w:r>
        <w:rPr>
          <w:color w:val="000000"/>
        </w:rPr>
        <w:t xml:space="preserve"> </w:t>
      </w:r>
      <w:r>
        <w:rPr>
          <w:rFonts w:ascii="Times New Roman;sans-serif" w:hAnsi="Times New Roman;sans-serif"/>
          <w:b w:val="false"/>
          <w:color w:val="000000"/>
          <w:sz w:val="24"/>
        </w:rPr>
        <w:t xml:space="preserve">(Legacy Credit Card Product Schedule), </w:t>
      </w:r>
      <w:r>
        <w:rPr>
          <w:rFonts w:ascii="Times New Roman;sans-serif" w:hAnsi="Times New Roman;sans-serif"/>
          <w:b w:val="false"/>
          <w:color w:val="000000"/>
          <w:sz w:val="24"/>
          <w:u w:val="single"/>
        </w:rPr>
        <w:t>Schedule G</w:t>
      </w:r>
      <w:r>
        <w:rPr>
          <w:color w:val="000000"/>
        </w:rPr>
        <w:t xml:space="preserve"> </w:t>
      </w:r>
      <w:r>
        <w:rPr>
          <w:rFonts w:ascii="Times New Roman;sans-serif" w:hAnsi="Times New Roman;sans-serif"/>
          <w:b w:val="false"/>
          <w:color w:val="000000"/>
          <w:sz w:val="24"/>
        </w:rPr>
        <w:t xml:space="preserve">(Spruce Accounts Product Schedule), and </w:t>
      </w:r>
      <w:r>
        <w:rPr>
          <w:rFonts w:ascii="Times New Roman;sans-serif" w:hAnsi="Times New Roman;sans-serif"/>
          <w:b w:val="false"/>
          <w:color w:val="000000"/>
          <w:sz w:val="24"/>
          <w:u w:val="single"/>
        </w:rPr>
        <w:t>Schedule J</w:t>
      </w:r>
      <w:r>
        <w:rPr>
          <w:color w:val="000000"/>
        </w:rPr>
        <w:t xml:space="preserve"> </w:t>
      </w:r>
      <w:r>
        <w:rPr>
          <w:rFonts w:ascii="Times New Roman;sans-serif" w:hAnsi="Times New Roman;sans-serif"/>
          <w:b w:val="false"/>
          <w:color w:val="000000"/>
          <w:sz w:val="24"/>
        </w:rPr>
        <w:t xml:space="preserve">(Emerald Advance Loan Product Schedule), and any product schedule executed by the Parties for any New Product. </w:t>
      </w:r>
    </w:p>
    <w:p>
      <w:pPr>
        <w:pStyle w:val="TextBody"/>
        <w:bidi w:val="0"/>
        <w:spacing w:lineRule="auto" w:line="240" w:before="0" w:after="2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shd w:fill="FFFFFF" w:val="clear"/>
        </w:rPr>
        <w:t>New Program Contract</w:t>
      </w:r>
      <w:r>
        <w:rPr>
          <w:rFonts w:ascii="Times New Roman;sans-serif" w:hAnsi="Times New Roman;sans-serif"/>
          <w:b w:val="false"/>
          <w:color w:val="000000"/>
          <w:sz w:val="24"/>
          <w:shd w:fill="FFFFFF" w:val="clear"/>
        </w:rPr>
        <w:t xml:space="preserve">. Contemporaneous with the execution of this Second Amendment, EFS and Pathward will execute and deliver, or cause their Affiliates to execute and deliver, the Emerald Advance Loan Participation Agreement, which will become a Program Contract and will be attached as </w:t>
      </w:r>
      <w:r>
        <w:rPr>
          <w:rFonts w:ascii="Times New Roman;sans-serif" w:hAnsi="Times New Roman;sans-serif"/>
          <w:b w:val="false"/>
          <w:color w:val="000000"/>
          <w:sz w:val="24"/>
          <w:u w:val="single"/>
          <w:shd w:fill="FFFFFF" w:val="clear"/>
        </w:rPr>
        <w:t>Exhibit H</w:t>
      </w:r>
      <w:r>
        <w:rPr>
          <w:color w:val="000000"/>
          <w:shd w:fill="FFFFFF" w:val="clear"/>
        </w:rPr>
        <w:t xml:space="preserve"> </w:t>
      </w:r>
      <w:r>
        <w:rPr>
          <w:rFonts w:ascii="Times New Roman;sans-serif" w:hAnsi="Times New Roman;sans-serif"/>
          <w:b w:val="false"/>
          <w:color w:val="000000"/>
          <w:sz w:val="24"/>
          <w:shd w:fill="FFFFFF" w:val="clear"/>
        </w:rPr>
        <w:t xml:space="preserve">to the PMA. </w:t>
      </w:r>
    </w:p>
    <w:p>
      <w:pPr>
        <w:pStyle w:val="TextBody"/>
        <w:bidi w:val="0"/>
        <w:spacing w:lineRule="auto" w:line="240" w:before="0" w:after="24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shd w:fill="FFFFFF" w:val="clear"/>
        </w:rPr>
        <w:t>Program Economics; Expenses; Monthly Product Statements</w:t>
      </w:r>
      <w:r>
        <w:rPr>
          <w:rFonts w:ascii="Times New Roman;sans-serif" w:hAnsi="Times New Roman;sans-serif"/>
          <w:b w:val="false"/>
          <w:color w:val="000000"/>
          <w:sz w:val="24"/>
          <w:shd w:fill="FFFFFF" w:val="clear"/>
        </w:rPr>
        <w:t>. Sections 2.3(a) and (c) of the First Amended PMA is hereby amended as follows: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Program Economics; Expenses; Monthly Product Statements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Program Economics</w:t>
      </w:r>
      <w:r>
        <w:rPr>
          <w:rFonts w:ascii="Times New Roman;sans-serif" w:hAnsi="Times New Roman;sans-serif"/>
          <w:b w:val="false"/>
          <w:color w:val="000000"/>
          <w:sz w:val="24"/>
        </w:rPr>
        <w:t xml:space="preserve">. The economics of the Program and the fees </w:t>
      </w:r>
      <w:r>
        <w:rPr>
          <w:rFonts w:ascii="Times New Roman;sans-serif" w:hAnsi="Times New Roman;sans-serif"/>
          <w:b w:val="false"/>
          <w:color w:val="000000"/>
          <w:sz w:val="24"/>
          <w:shd w:fill="FFFFFF" w:val="clear"/>
        </w:rPr>
        <w:t>payable</w:t>
      </w:r>
      <w:r>
        <w:rPr>
          <w:color w:val="000000"/>
        </w:rPr>
        <w:t xml:space="preserve"> </w:t>
      </w:r>
      <w:r>
        <w:rPr>
          <w:rFonts w:ascii="Times New Roman;sans-serif" w:hAnsi="Times New Roman;sans-serif"/>
          <w:b w:val="false"/>
          <w:color w:val="000000"/>
          <w:sz w:val="24"/>
        </w:rPr>
        <w:t xml:space="preserve">to each Party will be as set forth in the Product Schedules, </w:t>
      </w:r>
      <w:r>
        <w:rPr>
          <w:rFonts w:ascii="Times New Roman;sans-serif" w:hAnsi="Times New Roman;sans-serif"/>
          <w:b w:val="false"/>
          <w:color w:val="000000"/>
          <w:sz w:val="24"/>
          <w:u w:val="single"/>
        </w:rPr>
        <w:t>Schedule H</w:t>
      </w:r>
      <w:r>
        <w:rPr>
          <w:color w:val="000000"/>
        </w:rPr>
        <w:t xml:space="preserve"> </w:t>
      </w:r>
      <w:r>
        <w:rPr>
          <w:rFonts w:ascii="Times New Roman;sans-serif" w:hAnsi="Times New Roman;sans-serif"/>
          <w:b w:val="false"/>
          <w:color w:val="000000"/>
          <w:sz w:val="24"/>
        </w:rPr>
        <w:t xml:space="preserve">(Deposit Compensation),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(Early ACH Access), the RA Payment Agreement, the Participation Agreement, the Credit Card Participation Agreement, and the Emerald Advance Loan Participation Agreement. </w:t>
      </w:r>
    </w:p>
    <w:p>
      <w:pPr>
        <w:pStyle w:val="TextBody"/>
        <w:bidi w:val="0"/>
        <w:spacing w:lineRule="auto" w:line="240" w:before="0" w:after="240"/>
        <w:ind w:left="0" w:right="0" w:firstLine="90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Monthly Product Statements</w:t>
      </w:r>
      <w:r>
        <w:rPr>
          <w:rFonts w:ascii="Times New Roman;sans-serif" w:hAnsi="Times New Roman;sans-serif"/>
          <w:b w:val="false"/>
          <w:color w:val="000000"/>
          <w:sz w:val="24"/>
        </w:rPr>
        <w:t xml:space="preserve">. No later than the third (3rd) day of each calendar month (if a Business Day, or if not, </w:t>
      </w:r>
      <w:r>
        <w:rPr>
          <w:rFonts w:ascii="Times New Roman;sans-serif" w:hAnsi="Times New Roman;sans-serif"/>
          <w:b w:val="false"/>
          <w:color w:val="000000"/>
          <w:sz w:val="24"/>
          <w:shd w:fill="FFFFFF" w:val="clear"/>
        </w:rPr>
        <w:t>the</w:t>
      </w:r>
      <w:r>
        <w:rPr>
          <w:color w:val="000000"/>
        </w:rPr>
        <w:t xml:space="preserve"> </w:t>
      </w:r>
      <w:r>
        <w:rPr>
          <w:rFonts w:ascii="Times New Roman;sans-serif" w:hAnsi="Times New Roman;sans-serif"/>
          <w:b w:val="false"/>
          <w:color w:val="000000"/>
          <w:sz w:val="24"/>
        </w:rPr>
        <w:t>next Business Day), EFS will provide to Pathward one or more product compensation statements (each a “</w:t>
      </w:r>
      <w:r>
        <w:rPr>
          <w:rFonts w:ascii="Times New Roman;sans-serif" w:hAnsi="Times New Roman;sans-serif"/>
          <w:b/>
          <w:color w:val="000000"/>
          <w:sz w:val="24"/>
        </w:rPr>
        <w:t>Monthly Product Statement</w:t>
      </w:r>
      <w:r>
        <w:rPr>
          <w:color w:val="000000"/>
        </w:rPr>
        <w:t>”</w:t>
      </w:r>
      <w:r>
        <w:rPr>
          <w:rFonts w:ascii="Times New Roman;sans-serif" w:hAnsi="Times New Roman;sans-serif"/>
          <w:b w:val="false"/>
          <w:color w:val="000000"/>
          <w:sz w:val="24"/>
        </w:rPr>
        <w:t xml:space="preserve">) setting forth the total amounts for the prior calendar month owed to or by EFS or Pathward with line item specificity in regards to Prepaid Products, Emerald Advances, Refund Transfers, Spruce Accounts, and Emerald Advance Loans, as set forth in the Product Schedules, and the Early Access feature, as set forth in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(Early ACH Access), any payments under </w:t>
      </w:r>
      <w:r>
        <w:rPr>
          <w:rFonts w:ascii="Times New Roman;sans-serif" w:hAnsi="Times New Roman;sans-serif"/>
          <w:b w:val="false"/>
          <w:color w:val="000000"/>
          <w:sz w:val="24"/>
          <w:u w:val="single"/>
        </w:rPr>
        <w:t>Schedule H</w:t>
      </w:r>
      <w:r>
        <w:rPr>
          <w:color w:val="000000"/>
        </w:rPr>
        <w:t xml:space="preserve"> </w:t>
      </w:r>
      <w:r>
        <w:rPr>
          <w:rFonts w:ascii="Times New Roman;sans-serif" w:hAnsi="Times New Roman;sans-serif"/>
          <w:b w:val="false"/>
          <w:color w:val="000000"/>
          <w:sz w:val="24"/>
        </w:rPr>
        <w:t xml:space="preserve">(Deposit Compensation), Rebranding Costs and Same Day ACH Costs. The amounts due and owing by either Party will be paid to the other Party in the manner mutually agreed upon no later than three (3) Business Days following Pathward’s receipt of the Monthly Product Statement(s), except as may be otherwise described herein or otherwise mutually agreed upon by the Parties. The Parties agree that the Monthly Product Statements are only intended to cover the fees payable and due to each Party under the Product Schedules, the Rebranding Costs and Same Day ACH Costs, </w:t>
      </w:r>
      <w:r>
        <w:rPr>
          <w:rFonts w:ascii="Times New Roman;sans-serif" w:hAnsi="Times New Roman;sans-serif"/>
          <w:b w:val="false"/>
          <w:color w:val="000000"/>
          <w:sz w:val="24"/>
          <w:u w:val="single"/>
        </w:rPr>
        <w:t>Schedule H</w:t>
      </w:r>
      <w:r>
        <w:rPr>
          <w:color w:val="000000"/>
        </w:rPr>
        <w:t xml:space="preserve"> </w:t>
      </w:r>
      <w:r>
        <w:rPr>
          <w:rFonts w:ascii="Times New Roman;sans-serif" w:hAnsi="Times New Roman;sans-serif"/>
          <w:b w:val="false"/>
          <w:color w:val="000000"/>
          <w:sz w:val="24"/>
        </w:rPr>
        <w:t xml:space="preserve">(Deposit Compensation), and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(Early ACH Access), and are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5915"/>
                <wp:effectExtent l="0" t="0" r="0" b="0"/>
                <wp:wrapNone/>
                <wp:docPr id="29" name="Frame2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not intended to cover any payments or settlements under the Participation Agreement, the RA Payment Agreement, the Credit Card Participation Agreement, or the Emerald Advance Loan Participation Agreement. </w:t>
      </w:r>
    </w:p>
    <w:p>
      <w:pPr>
        <w:pStyle w:val="TextBody"/>
        <w:bidi w:val="0"/>
        <w:spacing w:lineRule="auto" w:line="240" w:before="0" w:after="24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shd w:fill="FFFFFF" w:val="clear"/>
        </w:rPr>
        <w:t>Purchase Price Amendment for Certain Financial Products</w:t>
      </w:r>
      <w:r>
        <w:rPr>
          <w:rFonts w:ascii="Times New Roman;sans-serif" w:hAnsi="Times New Roman;sans-serif"/>
          <w:b w:val="false"/>
          <w:color w:val="000000"/>
          <w:sz w:val="24"/>
          <w:shd w:fill="FFFFFF" w:val="clear"/>
        </w:rPr>
        <w:t>. The First Amended PMA is hereby amended by deleting the existing Section 14.3(a)(ii) and inserting the following new Section 14.3(a)(ii):</w:t>
      </w:r>
    </w:p>
    <w:p>
      <w:pPr>
        <w:pStyle w:val="TextBody"/>
        <w:bidi w:val="0"/>
        <w:spacing w:lineRule="auto" w:line="240" w:before="0" w:after="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(ii)    the Emerald Advances will be valued at fair value (as described in the Participation Agreement) and the Emerald Advance Loans will be valued at fair value (as described in the Emerald Advance Loan Participation Agreement); provided, that for the avoidance of doubt, if Pathward has not retained any economic interest in such Emerald Advances or Emerald Advance Loans (e.g., because Participant has purchased a 100% participation interest), the fair value will be zero dollars ($0);</w:t>
      </w:r>
    </w:p>
    <w:p>
      <w:pPr>
        <w:pStyle w:val="TextBody"/>
        <w:bidi w:val="0"/>
        <w:spacing w:lineRule="auto" w:line="240" w:before="0" w:after="24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shd w:fill="FFFFFF" w:val="clear"/>
        </w:rPr>
        <w:t>Schedule 3.1</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Schedule 3.1</w:t>
      </w:r>
      <w:r>
        <w:rPr>
          <w:color w:val="000000"/>
          <w:shd w:fill="FFFFFF" w:val="clear"/>
        </w:rPr>
        <w:t xml:space="preserve"> </w:t>
      </w:r>
      <w:r>
        <w:rPr>
          <w:rFonts w:ascii="Times New Roman;sans-serif" w:hAnsi="Times New Roman;sans-serif"/>
          <w:b w:val="false"/>
          <w:color w:val="000000"/>
          <w:sz w:val="24"/>
          <w:shd w:fill="FFFFFF" w:val="clear"/>
        </w:rPr>
        <w:t>(Duties and Responsibilities of the Parties) is amended and restated as set forth in the revised Schedule 3.1 attached hereto.</w:t>
      </w:r>
    </w:p>
    <w:p>
      <w:pPr>
        <w:pStyle w:val="TextBody"/>
        <w:bidi w:val="0"/>
        <w:spacing w:lineRule="auto" w:line="240" w:before="0" w:after="24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shd w:fill="FFFFFF" w:val="clear"/>
        </w:rPr>
        <w:t>Schedule 6.2</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Schedule 6.2</w:t>
      </w:r>
      <w:r>
        <w:rPr>
          <w:color w:val="000000"/>
          <w:shd w:fill="FFFFFF" w:val="clear"/>
        </w:rPr>
        <w:t xml:space="preserve"> </w:t>
      </w:r>
      <w:r>
        <w:rPr>
          <w:rFonts w:ascii="Times New Roman;sans-serif" w:hAnsi="Times New Roman;sans-serif"/>
          <w:b w:val="false"/>
          <w:color w:val="000000"/>
          <w:sz w:val="24"/>
          <w:shd w:fill="FFFFFF" w:val="clear"/>
        </w:rPr>
        <w:t>(Material Third-Party Service Providers) is amended as set forth in the revised Schedule 6.2 attached hereto.</w:t>
      </w:r>
    </w:p>
    <w:p>
      <w:pPr>
        <w:pStyle w:val="TextBody"/>
        <w:bidi w:val="0"/>
        <w:spacing w:lineRule="auto" w:line="240" w:before="0" w:after="24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shd w:fill="FFFFFF" w:val="clear"/>
        </w:rPr>
        <w:t>Prepaid Products Product Schedule</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Schedule A</w:t>
      </w:r>
      <w:r>
        <w:rPr>
          <w:color w:val="000000"/>
          <w:shd w:fill="FFFFFF" w:val="clear"/>
        </w:rPr>
        <w:t xml:space="preserve"> </w:t>
      </w:r>
      <w:r>
        <w:rPr>
          <w:rFonts w:ascii="Times New Roman;sans-serif" w:hAnsi="Times New Roman;sans-serif"/>
          <w:b w:val="false"/>
          <w:color w:val="000000"/>
          <w:sz w:val="24"/>
          <w:shd w:fill="FFFFFF" w:val="clear"/>
        </w:rPr>
        <w:t xml:space="preserve">(Prepaid Products Product Schedule) is amended as set forth in the revised </w:t>
      </w:r>
      <w:r>
        <w:rPr>
          <w:rFonts w:ascii="Times New Roman;sans-serif" w:hAnsi="Times New Roman;sans-serif"/>
          <w:b w:val="false"/>
          <w:color w:val="000000"/>
          <w:sz w:val="24"/>
          <w:u w:val="single"/>
          <w:shd w:fill="FFFFFF" w:val="clear"/>
        </w:rPr>
        <w:t>Schedule A</w:t>
      </w:r>
      <w:r>
        <w:rPr>
          <w:color w:val="000000"/>
          <w:shd w:fill="FFFFFF" w:val="clear"/>
        </w:rPr>
        <w:t xml:space="preserve"> </w:t>
      </w:r>
      <w:r>
        <w:rPr>
          <w:rFonts w:ascii="Times New Roman;sans-serif" w:hAnsi="Times New Roman;sans-serif"/>
          <w:b w:val="false"/>
          <w:color w:val="000000"/>
          <w:sz w:val="24"/>
          <w:shd w:fill="FFFFFF" w:val="clear"/>
        </w:rPr>
        <w:t xml:space="preserve">attached hereto. </w:t>
      </w:r>
    </w:p>
    <w:p>
      <w:pPr>
        <w:pStyle w:val="TextBody"/>
        <w:bidi w:val="0"/>
        <w:spacing w:lineRule="auto" w:line="240" w:before="0" w:after="24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shd w:fill="FFFFFF" w:val="clear"/>
        </w:rPr>
        <w:t>Deposit Compensation</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4"/>
          <w:u w:val="single"/>
          <w:shd w:fill="FFFFFF" w:val="clear"/>
        </w:rPr>
        <w:t>Schedule H</w:t>
      </w:r>
      <w:r>
        <w:rPr>
          <w:color w:val="000000"/>
          <w:shd w:fill="FFFFFF" w:val="clear"/>
        </w:rPr>
        <w:t xml:space="preserve"> </w:t>
      </w:r>
      <w:r>
        <w:rPr>
          <w:rFonts w:ascii="Times New Roman;sans-serif" w:hAnsi="Times New Roman;sans-serif"/>
          <w:b w:val="false"/>
          <w:color w:val="000000"/>
          <w:sz w:val="24"/>
          <w:shd w:fill="FFFFFF" w:val="clear"/>
        </w:rPr>
        <w:t xml:space="preserve">(Deposits Compensation) is amended as set forth in the revised </w:t>
      </w:r>
      <w:r>
        <w:rPr>
          <w:rFonts w:ascii="Times New Roman;sans-serif" w:hAnsi="Times New Roman;sans-serif"/>
          <w:b w:val="false"/>
          <w:color w:val="000000"/>
          <w:sz w:val="24"/>
          <w:u w:val="single"/>
          <w:shd w:fill="FFFFFF" w:val="clear"/>
        </w:rPr>
        <w:t>Schedule H</w:t>
      </w:r>
      <w:r>
        <w:rPr>
          <w:color w:val="000000"/>
          <w:shd w:fill="FFFFFF" w:val="clear"/>
        </w:rPr>
        <w:t xml:space="preserve"> </w:t>
      </w:r>
      <w:r>
        <w:rPr>
          <w:rFonts w:ascii="Times New Roman;sans-serif" w:hAnsi="Times New Roman;sans-serif"/>
          <w:b w:val="false"/>
          <w:color w:val="000000"/>
          <w:sz w:val="24"/>
          <w:shd w:fill="FFFFFF" w:val="clear"/>
        </w:rPr>
        <w:t xml:space="preserve">attached hereto. </w:t>
      </w:r>
    </w:p>
    <w:p>
      <w:pPr>
        <w:pStyle w:val="TextBody"/>
        <w:bidi w:val="0"/>
        <w:spacing w:lineRule="auto" w:line="240" w:before="0" w:after="24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shd w:fill="FFFFFF" w:val="clear"/>
        </w:rPr>
        <w:t>Emerald Advance Loan</w:t>
      </w:r>
      <w:r>
        <w:rPr>
          <w:rFonts w:ascii="Times New Roman;sans-serif" w:hAnsi="Times New Roman;sans-serif"/>
          <w:b w:val="false"/>
          <w:color w:val="000000"/>
          <w:sz w:val="24"/>
          <w:shd w:fill="FFFFFF" w:val="clear"/>
        </w:rPr>
        <w:t xml:space="preserve">. The First Amended PMA is hereby amended by inserting the new </w:t>
      </w:r>
      <w:r>
        <w:rPr>
          <w:rFonts w:ascii="Times New Roman;sans-serif" w:hAnsi="Times New Roman;sans-serif"/>
          <w:b w:val="false"/>
          <w:color w:val="000000"/>
          <w:sz w:val="24"/>
          <w:u w:val="single"/>
          <w:shd w:fill="FFFFFF" w:val="clear"/>
        </w:rPr>
        <w:t>Schedule J</w:t>
      </w:r>
      <w:r>
        <w:rPr>
          <w:color w:val="000000"/>
          <w:shd w:fill="FFFFFF" w:val="clear"/>
        </w:rPr>
        <w:t xml:space="preserve"> </w:t>
      </w:r>
      <w:r>
        <w:rPr>
          <w:rFonts w:ascii="Times New Roman;sans-serif" w:hAnsi="Times New Roman;sans-serif"/>
          <w:b w:val="false"/>
          <w:color w:val="000000"/>
          <w:sz w:val="24"/>
          <w:shd w:fill="FFFFFF" w:val="clear"/>
        </w:rPr>
        <w:t xml:space="preserve">(Emerald Advance Loan Product Schedule), which is attached hereto. </w:t>
      </w:r>
    </w:p>
    <w:p>
      <w:pPr>
        <w:pStyle w:val="TextBody"/>
        <w:bidi w:val="0"/>
        <w:spacing w:lineRule="auto" w:line="240" w:before="0" w:after="24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shd w:fill="FFFFFF" w:val="clear"/>
        </w:rPr>
        <w:t>Amendment of First Amended PMA</w:t>
      </w:r>
      <w:r>
        <w:rPr>
          <w:rFonts w:ascii="Times New Roman;sans-serif" w:hAnsi="Times New Roman;sans-serif"/>
          <w:b w:val="false"/>
          <w:color w:val="000000"/>
          <w:sz w:val="24"/>
          <w:shd w:fill="FFFFFF" w:val="clear"/>
        </w:rPr>
        <w:t>. The terms and provisions set forth in this Second Amendment will modify and supersede the Sections specifically identified herein as well as all inconsistent terms and provisions set forth in the First Amended PMA. The table of contents of the First Amended PMA, and all cross references to Sections of the First Amended PMA amended or deleted by this Second Amendment, are amended accordingly. All references in the First Amended PMA or this Second Amendment to the “Agreement” will be deemed to refer to the PMA. Except as amended by this Second Amendment, all other terms and conditions of the First Amended PMA are hereby ratified and will remain in full force and effect.</w:t>
      </w:r>
    </w:p>
    <w:p>
      <w:pPr>
        <w:pStyle w:val="TextBody"/>
        <w:bidi w:val="0"/>
        <w:spacing w:lineRule="auto" w:line="240" w:before="0" w:after="24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shd w:fill="FFFFFF" w:val="clear"/>
        </w:rPr>
        <w:t>Interpretation</w:t>
      </w:r>
      <w:r>
        <w:rPr>
          <w:rFonts w:ascii="Times New Roman;sans-serif" w:hAnsi="Times New Roman;sans-serif"/>
          <w:b w:val="false"/>
          <w:color w:val="000000"/>
          <w:sz w:val="24"/>
          <w:shd w:fill="FFFFFF" w:val="clear"/>
        </w:rPr>
        <w:t>. Each Party acknowledges that its legal counsel participated in the drafting of this Second Amendment, and that this Second Amendment has been fully reviewed and negotiated by the Parties and their respective counsel. Accordingly, in interpreting this Second Amendment, no weight will be placed upon which Party or its counsel drafted the provision being interpreted.</w:t>
      </w:r>
    </w:p>
    <w:p>
      <w:pPr>
        <w:pStyle w:val="TextBody"/>
        <w:bidi w:val="0"/>
        <w:spacing w:lineRule="auto" w:line="240" w:before="0" w:after="24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shd w:fill="FFFFFF" w:val="clear"/>
        </w:rPr>
        <w:t>Governing Law</w:t>
      </w:r>
      <w:r>
        <w:rPr>
          <w:rFonts w:ascii="Times New Roman;sans-serif" w:hAnsi="Times New Roman;sans-serif"/>
          <w:b w:val="false"/>
          <w:color w:val="000000"/>
          <w:sz w:val="24"/>
          <w:shd w:fill="FFFFFF" w:val="clear"/>
        </w:rPr>
        <w:t>. This Second Amendment and all rights and obligations hereunder, including matters of construction, validity and performance, will be governed by and construed in accordance with the laws of the State of New York, without regard to its conflict of laws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5915"/>
                <wp:effectExtent l="0" t="0" r="0" b="0"/>
                <wp:wrapNone/>
                <wp:docPr id="30" name="Frame3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shd w:fill="FFFFFF" w:val="clear"/>
        </w:rPr>
        <w:t>Counterparts</w:t>
      </w:r>
      <w:r>
        <w:rPr>
          <w:rFonts w:ascii="Times New Roman;sans-serif" w:hAnsi="Times New Roman;sans-serif"/>
          <w:b w:val="false"/>
          <w:color w:val="000000"/>
          <w:sz w:val="24"/>
          <w:shd w:fill="FFFFFF" w:val="clear"/>
        </w:rPr>
        <w:t xml:space="preserve">. This Second Amendment may be executed in one or more counterparts (including by electronic transmission), each of which will be deemed to be an original copy of this Second Amendment and all of which, when taken together, will be deemed to constitute one and the same Second Amendment. </w:t>
      </w:r>
    </w:p>
    <w:p>
      <w:pPr>
        <w:pStyle w:val="TextBody"/>
        <w:bidi w:val="0"/>
        <w:spacing w:before="0" w:after="0"/>
        <w:jc w:val="left"/>
        <w:rPr/>
      </w:pPr>
      <w:r>
        <w:rPr/>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blank; signature page follows</w:t>
      </w:r>
      <w:r>
        <w:rPr>
          <w:rFonts w:ascii="Times New Roman;sans-serif" w:hAnsi="Times New Roman;sans-serif"/>
          <w:b w:val="false"/>
          <w:color w:val="000000"/>
          <w:sz w:val="24"/>
        </w:rPr>
        <w: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5915"/>
                <wp:effectExtent l="0" t="0" r="0" b="0"/>
                <wp:wrapNone/>
                <wp:docPr id="31" name="Frame3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Second Amendment as of the date first written above.</w:t>
      </w:r>
    </w:p>
    <w:p>
      <w:pPr>
        <w:pStyle w:val="TextBody"/>
        <w:bidi w:val="0"/>
        <w:spacing w:before="0" w:after="240"/>
        <w:ind w:left="0" w:right="0" w:firstLine="720"/>
        <w:jc w:val="left"/>
        <w:rPr/>
      </w:pPr>
      <w:r>
        <w:rPr/>
      </w:r>
    </w:p>
    <w:p>
      <w:pPr>
        <w:pStyle w:val="TextBody"/>
        <w:bidi w:val="0"/>
        <w:spacing w:lineRule="auto" w:line="240" w:before="0" w:after="840"/>
        <w:jc w:val="left"/>
        <w:rPr>
          <w:rFonts w:ascii="Times New Roman;sans-serif" w:hAnsi="Times New Roman;sans-serif"/>
          <w:b w:val="false"/>
          <w:color w:val="000000"/>
          <w:sz w:val="24"/>
        </w:rPr>
      </w:pPr>
      <w:r>
        <w:rPr>
          <w:rFonts w:ascii="Times New Roman;sans-serif" w:hAnsi="Times New Roman;sans-serif"/>
          <w:b w:val="false"/>
          <w:color w:val="000000"/>
          <w:sz w:val="24"/>
        </w:rPr>
        <w:t>EMERALD FINANCIAL SERVICES, LLC</w:t>
      </w:r>
    </w:p>
    <w:p>
      <w:pPr>
        <w:pStyle w:val="TextBody"/>
        <w:bidi w:val="0"/>
        <w:spacing w:lineRule="auto" w:line="240" w:before="0" w:after="0"/>
        <w:jc w:val="left"/>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/s/ Jim Koger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Jim Koger</w:t>
      </w:r>
    </w:p>
    <w:p>
      <w:pPr>
        <w:pStyle w:val="TextBody"/>
        <w:bidi w:val="0"/>
        <w:spacing w:lineRule="auto" w:line="240" w:before="0" w:after="1200"/>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w:t>
      </w:r>
    </w:p>
    <w:p>
      <w:pPr>
        <w:pStyle w:val="TextBody"/>
        <w:bidi w:val="0"/>
        <w:spacing w:lineRule="auto" w:line="240" w:before="0" w:after="840"/>
        <w:jc w:val="left"/>
        <w:rPr>
          <w:rFonts w:ascii="Times New Roman;sans-serif" w:hAnsi="Times New Roman;sans-serif"/>
          <w:b w:val="false"/>
          <w:color w:val="000000"/>
          <w:sz w:val="24"/>
        </w:rPr>
      </w:pPr>
      <w:r>
        <w:rPr>
          <w:rFonts w:ascii="Times New Roman;sans-serif" w:hAnsi="Times New Roman;sans-serif"/>
          <w:b w:val="false"/>
          <w:color w:val="000000"/>
          <w:sz w:val="24"/>
        </w:rPr>
        <w:t>PATHWARD, N.A.</w:t>
      </w:r>
    </w:p>
    <w:p>
      <w:pPr>
        <w:pStyle w:val="TextBody"/>
        <w:bidi w:val="0"/>
        <w:spacing w:lineRule="auto" w:line="240" w:before="0" w:after="0"/>
        <w:jc w:val="left"/>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/s/ Anthony Sharett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Anthony Sharett </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President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Exhibit 31.1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I, Jeffrey J. Jones II, Chief Executive Officer, certify that: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 I have reviewed this quarterly report on Form 10-Q of H&amp;R Block, Inc.;</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 Any fraud, whether or not material, that involves management or other employees who have a significant role in the registrant's internal control over financial reporting.</w:t>
      </w:r>
    </w:p>
    <w:tbl>
      <w:tblPr>
        <w:tblW w:w="4346" w:type="dxa"/>
        <w:jc w:val="left"/>
        <w:tblInd w:w="0" w:type="dxa"/>
        <w:tblLayout w:type="fixed"/>
        <w:tblCellMar>
          <w:top w:w="28" w:type="dxa"/>
          <w:left w:w="28" w:type="dxa"/>
          <w:bottom w:w="28" w:type="dxa"/>
          <w:right w:w="28" w:type="dxa"/>
        </w:tblCellMar>
      </w:tblPr>
      <w:tblGrid>
        <w:gridCol w:w="190"/>
        <w:gridCol w:w="167"/>
        <w:gridCol w:w="168"/>
        <w:gridCol w:w="529"/>
        <w:gridCol w:w="529"/>
        <w:gridCol w:w="531"/>
        <w:gridCol w:w="109"/>
        <w:gridCol w:w="109"/>
        <w:gridCol w:w="109"/>
        <w:gridCol w:w="556"/>
        <w:gridCol w:w="556"/>
        <w:gridCol w:w="793"/>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Jeffrey J. Jones II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J. Jones II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w:t>
              <w:br/>
              <w:t>H&amp;R Block, Inc.</w:t>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Calibri;sans-serif" w:hAnsi="Calibri;sans-serif"/>
          <w:b w:val="false"/>
          <w:color w:val="000000"/>
          <w:sz w:val="20"/>
        </w:rPr>
      </w:pPr>
      <w:r>
        <w:rPr>
          <w:rFonts w:ascii="Calibri;sans-serif" w:hAnsi="Calibri;sans-serif"/>
          <w:b w:val="false"/>
          <w:color w:val="000000"/>
          <w:sz w:val="20"/>
        </w:rPr>
        <w:t>Exhibit 31.2</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I, Tony G. Bowen, Chief Financial Officer, certify that: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 I have reviewed this quarterly report on Form 10-Q of H&amp;R Block, Inc.;</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 Any fraud, whether or not material, that involves management or other employees who have a significant role in the registrant's internal control over financial reporting.</w:t>
      </w:r>
    </w:p>
    <w:tbl>
      <w:tblPr>
        <w:tblW w:w="4300" w:type="dxa"/>
        <w:jc w:val="left"/>
        <w:tblInd w:w="0" w:type="dxa"/>
        <w:tblLayout w:type="fixed"/>
        <w:tblCellMar>
          <w:top w:w="28" w:type="dxa"/>
          <w:left w:w="28" w:type="dxa"/>
          <w:bottom w:w="28" w:type="dxa"/>
          <w:right w:w="28" w:type="dxa"/>
        </w:tblCellMar>
      </w:tblPr>
      <w:tblGrid>
        <w:gridCol w:w="190"/>
        <w:gridCol w:w="167"/>
        <w:gridCol w:w="168"/>
        <w:gridCol w:w="529"/>
        <w:gridCol w:w="529"/>
        <w:gridCol w:w="531"/>
        <w:gridCol w:w="109"/>
        <w:gridCol w:w="109"/>
        <w:gridCol w:w="109"/>
        <w:gridCol w:w="543"/>
        <w:gridCol w:w="543"/>
        <w:gridCol w:w="773"/>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Tony G. Bowen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Tony G. Bowen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Financial Officer</w:t>
              <w:br/>
              <w:t>H&amp;R Block,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Exhibit 32.1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Calibri;sans-serif" w:hAnsi="Calibri;sans-serif"/>
          <w:b w:val="false"/>
          <w:color w:val="000000"/>
          <w:sz w:val="20"/>
        </w:rPr>
        <w:t>In connection with the quarterly report of H&amp;R Block, Inc. (the “Company”) on Form 10</w:t>
        <w:noBreakHyphen/>
        <w:t xml:space="preserve">Q for the fiscal quarter ended September 30, 2023 as filed with the Securities and Exchange Commission on the date hereof (the “Report”), I, Jeffrey J. Jones II, Chief Executive Officer of the Company, certify pursuant to 18 U.S.C. § 1350, as adopted pursuant to § 906 of the Sarbanes-Oxley Act of 2002, that: </w:t>
      </w:r>
    </w:p>
    <w:p>
      <w:pPr>
        <w:pStyle w:val="TextBody"/>
        <w:bidi w:val="0"/>
        <w:spacing w:before="0" w:after="0"/>
        <w:jc w:val="both"/>
        <w:rPr/>
      </w:pPr>
      <w:r>
        <w:rPr/>
      </w:r>
    </w:p>
    <w:p>
      <w:pPr>
        <w:pStyle w:val="TextBody"/>
        <w:bidi w:val="0"/>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 xml:space="preserve">(1)The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1920" w:type="dxa"/>
        <w:jc w:val="right"/>
        <w:tblInd w:w="0" w:type="dxa"/>
        <w:tblLayout w:type="fixed"/>
        <w:tblCellMar>
          <w:top w:w="28" w:type="dxa"/>
          <w:left w:w="28" w:type="dxa"/>
          <w:bottom w:w="28" w:type="dxa"/>
          <w:right w:w="28" w:type="dxa"/>
        </w:tblCellMar>
      </w:tblPr>
      <w:tblGrid>
        <w:gridCol w:w="613"/>
        <w:gridCol w:w="540"/>
        <w:gridCol w:w="767"/>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Jeffrey J. Jones II</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J. Jones II</w:t>
              <w:br/>
              <w:t>Chief Executive Officer</w:t>
              <w:br/>
              <w:t>H&amp;R Block, Inc.</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2023</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Exhibit 32.2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Calibri;sans-serif" w:hAnsi="Calibri;sans-serif"/>
          <w:b w:val="false"/>
          <w:color w:val="000000"/>
          <w:sz w:val="20"/>
        </w:rPr>
        <w:t>In connection with the quarterly report of H&amp;R Block, Inc. (the “Company”) on Form 10</w:t>
        <w:noBreakHyphen/>
        <w:t xml:space="preserve">Q for the fiscal quarter ended September 30, 2023 as filed with the Securities and Exchange Commission on the date hereof (the “Report”), I, Tony G. Bowen, Chief Financial Officer of the Company, certify pursuant to 18 U.S.C. § 1350, as adopted pursuant to § 906 of the Sarbanes-Oxley Act of 2002, that: </w:t>
      </w:r>
    </w:p>
    <w:p>
      <w:pPr>
        <w:pStyle w:val="TextBody"/>
        <w:bidi w:val="0"/>
        <w:spacing w:before="0" w:after="0"/>
        <w:jc w:val="both"/>
        <w:rPr/>
      </w:pPr>
      <w:r>
        <w:rPr/>
      </w:r>
    </w:p>
    <w:p>
      <w:pPr>
        <w:pStyle w:val="TextBody"/>
        <w:bidi w:val="0"/>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 xml:space="preserve">(1)The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1875" w:type="dxa"/>
        <w:jc w:val="right"/>
        <w:tblInd w:w="0" w:type="dxa"/>
        <w:tblLayout w:type="fixed"/>
        <w:tblCellMar>
          <w:top w:w="28" w:type="dxa"/>
          <w:left w:w="28" w:type="dxa"/>
          <w:bottom w:w="28" w:type="dxa"/>
          <w:right w:w="28" w:type="dxa"/>
        </w:tblCellMar>
      </w:tblPr>
      <w:tblGrid>
        <w:gridCol w:w="600"/>
        <w:gridCol w:w="526"/>
        <w:gridCol w:w="749"/>
      </w:tblGrid>
      <w:tr>
        <w:trPr/>
        <w:tc>
          <w:tcPr>
            <w:tcW w:w="6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Tony G. Bowen</w:t>
            </w:r>
          </w:p>
        </w:tc>
      </w:tr>
      <w:tr>
        <w:trPr/>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Tony G. Bowen</w:t>
              <w:br/>
              <w:t>Chief Financial Officer</w:t>
              <w:br/>
              <w:t>H&amp;R Block, Inc.</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2023</w:t>
            </w:r>
          </w:p>
        </w:tc>
      </w:tr>
    </w:tbl>
    <w:p>
      <w:pPr>
        <w:pStyle w:val="TextBody"/>
        <w:bidi w:val="0"/>
        <w:spacing w:before="12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659/000183886223000027/hrb20230630exhibit22.htm" TargetMode="External"/><Relationship Id="rId3" Type="http://schemas.openxmlformats.org/officeDocument/2006/relationships/hyperlink" Target="http://www.sec.gov/Archives/edgar/data/12659/000183886223000027/hrb20230630exhibit22.htm" TargetMode="External"/><Relationship Id="rId4" Type="http://schemas.openxmlformats.org/officeDocument/2006/relationships/hyperlink" Target="http://www.sec.gov/Archives/edgar/data/12659/000183886223000027/hrb20230630exhibit22.htm" TargetMode="External"/><Relationship Id="rId5" Type="http://schemas.openxmlformats.org/officeDocument/2006/relationships/hyperlink" Target="http://www.sec.gov/Archives/edgar/data/12659/000183886223000027/hrb20230630exhibit2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13695</Words>
  <Characters>75445</Characters>
  <CharactersWithSpaces>88107</CharactersWithSpaces>
  <Paragraphs>1943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