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Darling Mark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H&amp;R BLOCK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H&amp;R BLOCK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KANSAS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H&amp;R BLOCK INC</w:t>
              </w:r>
            </w:hyperlink>
            <w:r>
              <w:rPr/>
              <w:t xml:space="preserve"> [ </w:t>
            </w:r>
            <w:r>
              <w:rPr>
                <w:rFonts w:ascii="Times;serif" w:hAnsi="Times;serif"/>
                <w:color w:val="0000FF"/>
                <w:sz w:val="24"/>
                <w:shd w:fill="FFFFFF" w:val="clear"/>
              </w:rPr>
              <w:t>HRB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Retail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829"/>
        <w:gridCol w:w="440"/>
        <w:gridCol w:w="836"/>
        <w:gridCol w:w="1351"/>
        <w:gridCol w:w="980"/>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4,429</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22,318.146</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Vesting of Common Stock underlying previously awarded performance share units upon determination by the Compensation Committee that performance criteria for the awards had been satisfied, which remain subject to the executive's continued service through August 31,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Katharine M. Haynes, per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3635" TargetMode="External"/><Relationship Id="rId5" Type="http://schemas.openxmlformats.org/officeDocument/2006/relationships/hyperlink" Target="http://www.sec.gov/cgi-bin/browse-edgar?action=getcompany&amp;CIK=00000126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3315</Characters>
  <CharactersWithSpaces>3855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