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593090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552450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40" w:lineRule="exact"/>
        <w:rPr>
          <w:sz w:val="24"/>
          <w:szCs w:val="24"/>
          <w:color w:val="auto"/>
        </w:rPr>
      </w:pPr>
    </w:p>
    <w:p>
      <w:pPr>
        <w:ind w:left="20"/>
        <w:spacing w:after="0"/>
        <w:rPr>
          <w:sz w:val="20"/>
          <w:szCs w:val="20"/>
          <w:color w:val="auto"/>
        </w:rPr>
      </w:pPr>
      <w:r>
        <w:rPr>
          <w:rFonts w:ascii="Arial" w:cs="Arial" w:eastAsia="Arial" w:hAnsi="Arial"/>
          <w:sz w:val="17"/>
          <w:szCs w:val="17"/>
          <w:color w:val="auto"/>
        </w:rPr>
        <w:t>(Mark One)</w:t>
      </w:r>
    </w:p>
    <w:p>
      <w:pPr>
        <w:spacing w:after="0" w:line="24" w:lineRule="exact"/>
        <w:rPr>
          <w:sz w:val="24"/>
          <w:szCs w:val="24"/>
          <w:color w:val="auto"/>
        </w:rPr>
      </w:pPr>
    </w:p>
    <w:p>
      <w:pPr>
        <w:ind w:left="1080" w:hanging="677"/>
        <w:spacing w:after="0"/>
        <w:tabs>
          <w:tab w:leader="none" w:pos="108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44" w:right="339" w:bottom="1440" w:gutter="0" w:footer="0" w:header="0"/>
        </w:sectPr>
      </w:pPr>
    </w:p>
    <w:p>
      <w:pPr>
        <w:spacing w:after="0" w:line="11" w:lineRule="exact"/>
        <w:rPr>
          <w:sz w:val="24"/>
          <w:szCs w:val="24"/>
          <w:color w:val="auto"/>
        </w:rPr>
      </w:pPr>
    </w:p>
    <w:p>
      <w:pPr>
        <w:ind w:left="1080"/>
        <w:spacing w:after="0"/>
        <w:tabs>
          <w:tab w:leader="none" w:pos="4260" w:val="left"/>
        </w:tabs>
        <w:rPr>
          <w:sz w:val="20"/>
          <w:szCs w:val="20"/>
          <w:color w:val="auto"/>
        </w:rPr>
      </w:pPr>
      <w:r>
        <w:rPr>
          <w:rFonts w:ascii="Arial" w:cs="Arial" w:eastAsia="Arial" w:hAnsi="Arial"/>
          <w:sz w:val="17"/>
          <w:szCs w:val="17"/>
          <w:b w:val="1"/>
          <w:bCs w:val="1"/>
          <w:color w:val="auto"/>
        </w:rPr>
        <w:t>For the quarterly period ended</w:t>
      </w:r>
      <w:r>
        <w:rPr>
          <w:sz w:val="20"/>
          <w:szCs w:val="20"/>
          <w:color w:val="auto"/>
        </w:rPr>
        <w:tab/>
      </w:r>
      <w:r>
        <w:rPr>
          <w:rFonts w:ascii="Arial" w:cs="Arial" w:eastAsia="Arial" w:hAnsi="Arial"/>
          <w:sz w:val="17"/>
          <w:szCs w:val="17"/>
          <w:b w:val="1"/>
          <w:bCs w:val="1"/>
          <w:color w:val="auto"/>
        </w:rPr>
        <w:t>September 30, 2022</w:t>
      </w:r>
    </w:p>
    <w:p>
      <w:pPr>
        <w:spacing w:after="0" w:line="36" w:lineRule="exact"/>
        <w:rPr>
          <w:sz w:val="24"/>
          <w:szCs w:val="24"/>
          <w:color w:val="auto"/>
        </w:rPr>
      </w:pPr>
    </w:p>
    <w:p>
      <w:pPr>
        <w:ind w:left="550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40"/>
          </w:cols>
          <w:pgMar w:left="320" w:top="244" w:right="339" w:bottom="1440" w:gutter="0" w:footer="0" w:header="0"/>
          <w:type w:val="continuous"/>
        </w:sectPr>
      </w:pPr>
    </w:p>
    <w:p>
      <w:pPr>
        <w:spacing w:after="0" w:line="24" w:lineRule="exact"/>
        <w:rPr>
          <w:sz w:val="24"/>
          <w:szCs w:val="24"/>
          <w:color w:val="auto"/>
        </w:rPr>
      </w:pPr>
    </w:p>
    <w:p>
      <w:pPr>
        <w:ind w:left="1080" w:hanging="684"/>
        <w:spacing w:after="0"/>
        <w:tabs>
          <w:tab w:leader="none" w:pos="10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 w:lineRule="exact"/>
        <w:rPr>
          <w:rFonts w:ascii="MS PGothic" w:cs="MS PGothic" w:eastAsia="MS PGothic" w:hAnsi="MS PGothic"/>
          <w:sz w:val="17"/>
          <w:szCs w:val="17"/>
          <w:color w:val="auto"/>
        </w:rPr>
      </w:pPr>
    </w:p>
    <w:p>
      <w:pPr>
        <w:ind w:left="10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transition period from to</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1-06089</w:t>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H&amp;R Block,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44" w:right="339" w:bottom="1440" w:gutter="0" w:footer="0" w:header="0"/>
          <w:type w:val="continuous"/>
        </w:sectPr>
      </w:pPr>
    </w:p>
    <w:p>
      <w:pPr>
        <w:spacing w:after="0" w:line="97" w:lineRule="exact"/>
        <w:rPr>
          <w:sz w:val="24"/>
          <w:szCs w:val="24"/>
          <w:color w:val="auto"/>
        </w:rPr>
      </w:pPr>
    </w:p>
    <w:p>
      <w:pPr>
        <w:ind w:left="244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49" w:lineRule="exact"/>
        <w:rPr>
          <w:sz w:val="24"/>
          <w:szCs w:val="24"/>
          <w:color w:val="auto"/>
        </w:rPr>
      </w:pPr>
    </w:p>
    <w:p>
      <w:pPr>
        <w:sectPr>
          <w:pgSz w:w="11900" w:h="16838" w:orient="portrait"/>
          <w:cols w:equalWidth="0" w:num="2">
            <w:col w:w="7300" w:space="720"/>
            <w:col w:w="3220"/>
          </w:cols>
          <w:pgMar w:left="320" w:top="244" w:right="339" w:bottom="1440" w:gutter="0" w:footer="0" w:header="0"/>
          <w:type w:val="continuous"/>
        </w:sectPr>
      </w:pPr>
    </w:p>
    <w:p>
      <w:pPr>
        <w:ind w:left="19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44" w:lineRule="exact"/>
        <w:rPr>
          <w:sz w:val="24"/>
          <w:szCs w:val="24"/>
          <w:color w:val="auto"/>
        </w:rPr>
      </w:pPr>
    </w:p>
    <w:p>
      <w:pPr>
        <w:sectPr>
          <w:pgSz w:w="11900" w:h="16838" w:orient="portrait"/>
          <w:cols w:equalWidth="0" w:num="2">
            <w:col w:w="7240" w:space="720"/>
            <w:col w:w="3280"/>
          </w:cols>
          <w:pgMar w:left="320" w:top="244" w:right="339" w:bottom="1440" w:gutter="0" w:footer="0" w:header="0"/>
          <w:type w:val="continuous"/>
        </w:sectPr>
      </w:pPr>
    </w:p>
    <w:p>
      <w:pPr>
        <w:ind w:left="19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147" w:lineRule="exact"/>
        <w:rPr>
          <w:sz w:val="24"/>
          <w:szCs w:val="24"/>
          <w:color w:val="auto"/>
        </w:rPr>
      </w:pPr>
    </w:p>
    <w:p>
      <w:pPr>
        <w:sectPr>
          <w:pgSz w:w="11900" w:h="16838" w:orient="portrait"/>
          <w:cols w:equalWidth="0" w:num="2">
            <w:col w:w="7220" w:space="720"/>
            <w:col w:w="3300"/>
          </w:cols>
          <w:pgMar w:left="320" w:top="244"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One H&amp;R Block Way, Kansas City, Missouri 64105</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(816) 854-3000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240"/>
          </w:cols>
          <w:pgMar w:left="320" w:top="244" w:right="339" w:bottom="1440" w:gutter="0" w:footer="0" w:header="0"/>
          <w:type w:val="continuous"/>
        </w:sectPr>
      </w:pPr>
    </w:p>
    <w:p>
      <w:pPr>
        <w:spacing w:after="0" w:line="142" w:lineRule="exact"/>
        <w:rPr>
          <w:sz w:val="24"/>
          <w:szCs w:val="24"/>
          <w:color w:val="auto"/>
        </w:rPr>
      </w:pPr>
    </w:p>
    <w:p>
      <w:pPr>
        <w:ind w:left="17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300" w:space="720"/>
            <w:col w:w="1720" w:space="720"/>
            <w:col w:w="3780"/>
          </w:cols>
          <w:pgMar w:left="320" w:top="244" w:right="33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200" w:lineRule="exact"/>
        <w:rPr>
          <w:sz w:val="24"/>
          <w:szCs w:val="24"/>
          <w:color w:val="auto"/>
        </w:rPr>
      </w:pPr>
    </w:p>
    <w:p>
      <w:pPr>
        <w:sectPr>
          <w:pgSz w:w="11900" w:h="16838" w:orient="portrait"/>
          <w:cols w:equalWidth="0" w:num="3">
            <w:col w:w="4740" w:space="720"/>
            <w:col w:w="1820" w:space="720"/>
            <w:col w:w="3240"/>
          </w:cols>
          <w:pgMar w:left="320" w:top="244" w:right="339" w:bottom="1440" w:gutter="0" w:footer="0" w:header="0"/>
          <w:type w:val="continuous"/>
        </w:sectPr>
      </w:pPr>
    </w:p>
    <w:p>
      <w:pPr>
        <w:spacing w:after="0" w:line="14" w:lineRule="exact"/>
        <w:rPr>
          <w:sz w:val="24"/>
          <w:szCs w:val="24"/>
          <w:color w:val="auto"/>
        </w:rPr>
      </w:pPr>
    </w:p>
    <w:p>
      <w:pPr>
        <w:jc w:val="both"/>
        <w:spacing w:after="0" w:line="25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60" w:lineRule="exact"/>
        <w:rPr>
          <w:sz w:val="24"/>
          <w:szCs w:val="24"/>
          <w:color w:val="auto"/>
        </w:rPr>
      </w:pPr>
    </w:p>
    <w:p>
      <w:pPr>
        <w:jc w:val="both"/>
        <w:spacing w:after="0" w:line="26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60" w:lineRule="exact"/>
        <w:rPr>
          <w:sz w:val="24"/>
          <w:szCs w:val="24"/>
          <w:color w:val="auto"/>
        </w:rPr>
      </w:pPr>
    </w:p>
    <w:p>
      <w:pPr>
        <w:jc w:val="both"/>
        <w:spacing w:after="0" w:line="26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1" w:lineRule="exact"/>
        <w:rPr>
          <w:sz w:val="24"/>
          <w:szCs w:val="24"/>
          <w:color w:val="auto"/>
        </w:rPr>
      </w:pPr>
    </w:p>
    <w:p>
      <w:pPr>
        <w:spacing w:after="0" w:line="196" w:lineRule="exact"/>
        <w:tabs>
          <w:tab w:leader="none" w:pos="1840" w:val="left"/>
          <w:tab w:leader="none" w:pos="3280" w:val="left"/>
          <w:tab w:leader="none" w:pos="50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6"/>
          <w:szCs w:val="16"/>
          <w:color w:val="auto"/>
        </w:rPr>
        <w:t>☐</w:t>
      </w:r>
    </w:p>
    <w:p>
      <w:pPr>
        <w:spacing w:after="0" w:line="264" w:lineRule="exact"/>
        <w:rPr>
          <w:sz w:val="24"/>
          <w:szCs w:val="24"/>
          <w:color w:val="auto"/>
        </w:rPr>
      </w:pPr>
    </w:p>
    <w:p>
      <w:pPr>
        <w:jc w:val="both"/>
        <w:spacing w:after="0" w:line="20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14" w:lineRule="exact"/>
        <w:rPr>
          <w:sz w:val="24"/>
          <w:szCs w:val="24"/>
          <w:color w:val="auto"/>
        </w:rPr>
      </w:pPr>
    </w:p>
    <w:p>
      <w:pPr>
        <w:spacing w:after="0" w:line="196" w:lineRule="exact"/>
        <w:tabs>
          <w:tab w:leader="none" w:pos="60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160"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registrant's Common Stock, without par value, at the close of business on October 31, 2022: 155,468,155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777240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Form 10-Q for the Period ended September 30, 2022</w:t>
      </w:r>
    </w:p>
    <w:p>
      <w:pPr>
        <w:spacing w:after="0" w:line="119"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Table of Contents</w:t>
      </w:r>
    </w:p>
    <w:p>
      <w:pPr>
        <w:spacing w:after="0" w:line="107" w:lineRule="exact"/>
        <w:rPr>
          <w:sz w:val="20"/>
          <w:szCs w:val="20"/>
          <w:color w:val="auto"/>
        </w:rPr>
      </w:pPr>
    </w:p>
    <w:p>
      <w:pPr>
        <w:ind w:left="5260"/>
        <w:spacing w:after="0"/>
        <w:rPr>
          <w:sz w:val="20"/>
          <w:szCs w:val="20"/>
          <w:color w:val="auto"/>
        </w:rPr>
      </w:pPr>
      <w:r>
        <w:rPr>
          <w:rFonts w:ascii="Arial" w:cs="Arial" w:eastAsia="Arial" w:hAnsi="Arial"/>
          <w:sz w:val="21"/>
          <w:szCs w:val="21"/>
          <w:b w:val="1"/>
          <w:bCs w:val="1"/>
          <w:color w:val="auto"/>
        </w:rPr>
        <w:t>PART I</w:t>
      </w:r>
    </w:p>
    <w:tbl>
      <w:tblPr>
        <w:tblLayout w:type="fixed"/>
        <w:tblInd w:w="0" w:type="dxa"/>
        <w:tblCellMar>
          <w:top w:w="0" w:type="dxa"/>
          <w:left w:w="0" w:type="dxa"/>
          <w:bottom w:w="0" w:type="dxa"/>
          <w:right w:w="0" w:type="dxa"/>
        </w:tblCellMar>
      </w:tblPr>
      <w:tr>
        <w:trPr>
          <w:trHeight w:val="261"/>
        </w:trPr>
        <w:tc>
          <w:tcPr>
            <w:tcW w:w="1160" w:type="dxa"/>
            <w:vAlign w:val="bottom"/>
            <w:gridSpan w:val="4"/>
            <w:shd w:val="clear" w:color="auto" w:fill="CCEEFF"/>
          </w:tcPr>
          <w:p>
            <w:pPr>
              <w:ind w:left="20"/>
              <w:spacing w:after="0"/>
              <w:rPr>
                <w:sz w:val="20"/>
                <w:szCs w:val="20"/>
                <w:color w:val="auto"/>
              </w:rPr>
            </w:pPr>
            <w:r>
              <w:rPr>
                <w:rFonts w:ascii="Arial" w:cs="Arial" w:eastAsia="Arial" w:hAnsi="Arial"/>
                <w:sz w:val="21"/>
                <w:szCs w:val="21"/>
                <w:color w:val="0000FF"/>
              </w:rPr>
              <w:t>Item 1.</w:t>
            </w:r>
          </w:p>
        </w:tc>
        <w:tc>
          <w:tcPr>
            <w:tcW w:w="8100" w:type="dxa"/>
            <w:vAlign w:val="bottom"/>
            <w:gridSpan w:val="21"/>
            <w:shd w:val="clear" w:color="auto" w:fill="CCEEFF"/>
          </w:tcPr>
          <w:p>
            <w:pPr>
              <w:spacing w:after="0"/>
              <w:rPr>
                <w:sz w:val="20"/>
                <w:szCs w:val="20"/>
                <w:color w:val="auto"/>
              </w:rPr>
            </w:pPr>
            <w:r>
              <w:rPr>
                <w:rFonts w:ascii="Arial" w:cs="Arial" w:eastAsia="Arial" w:hAnsi="Arial"/>
                <w:sz w:val="21"/>
                <w:szCs w:val="21"/>
                <w:color w:val="0000FF"/>
              </w:rPr>
              <w:t>Consolidated Statements of Operations and Comprehensive Loss</w:t>
            </w:r>
          </w:p>
        </w:tc>
        <w:tc>
          <w:tcPr>
            <w:tcW w:w="1500" w:type="dxa"/>
            <w:vAlign w:val="bottom"/>
            <w:gridSpan w:val="4"/>
            <w:shd w:val="clear" w:color="auto" w:fill="CCEEFF"/>
          </w:tcPr>
          <w:p>
            <w:pPr>
              <w:jc w:val="center"/>
              <w:ind w:left="1157"/>
              <w:spacing w:after="0"/>
              <w:rPr>
                <w:sz w:val="20"/>
                <w:szCs w:val="20"/>
                <w:color w:val="auto"/>
              </w:rPr>
            </w:pPr>
            <w:r>
              <w:rPr>
                <w:rFonts w:ascii="Arial" w:cs="Arial" w:eastAsia="Arial" w:hAnsi="Arial"/>
                <w:sz w:val="21"/>
                <w:szCs w:val="21"/>
                <w:color w:val="0000FF"/>
              </w:rPr>
              <w:t>1</w:t>
            </w:r>
          </w:p>
        </w:tc>
        <w:tc>
          <w:tcPr>
            <w:tcW w:w="480" w:type="dxa"/>
            <w:vAlign w:val="bottom"/>
            <w:shd w:val="clear" w:color="auto" w:fill="CCEEFF"/>
          </w:tcPr>
          <w:p>
            <w:pPr>
              <w:spacing w:after="0"/>
              <w:rPr>
                <w:sz w:val="22"/>
                <w:szCs w:val="22"/>
                <w:color w:val="auto"/>
              </w:rPr>
            </w:pPr>
          </w:p>
        </w:tc>
      </w:tr>
      <w:tr>
        <w:trPr>
          <w:trHeight w:val="19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4760" w:type="dxa"/>
            <w:vAlign w:val="bottom"/>
            <w:tcBorders>
              <w:top w:val="single" w:sz="8" w:color="0000FF"/>
              <w:bottom w:val="single" w:sz="8" w:color="0000FF"/>
            </w:tcBorders>
            <w:gridSpan w:val="15"/>
            <w:shd w:val="clear" w:color="auto" w:fill="CCEEFF"/>
          </w:tcPr>
          <w:p>
            <w:pPr>
              <w:jc w:val="right"/>
              <w:spacing w:after="0" w:line="166" w:lineRule="exact"/>
              <w:rPr>
                <w:sz w:val="20"/>
                <w:szCs w:val="20"/>
                <w:color w:val="auto"/>
              </w:rPr>
            </w:pPr>
            <w:r>
              <w:rPr>
                <w:rFonts w:ascii="Arial" w:cs="Arial" w:eastAsia="Arial" w:hAnsi="Arial"/>
                <w:sz w:val="19"/>
                <w:szCs w:val="19"/>
                <w:color w:val="0000FF"/>
              </w:rPr>
              <w:t>Three months ended September 30, 2022 and 2021</w:t>
            </w:r>
          </w:p>
        </w:tc>
        <w:tc>
          <w:tcPr>
            <w:tcW w:w="110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21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Consolidated Balance Sheets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w:t>
            </w:r>
          </w:p>
        </w:tc>
        <w:tc>
          <w:tcPr>
            <w:tcW w:w="4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420" w:type="dxa"/>
            <w:vAlign w:val="bottom"/>
            <w:tcBorders>
              <w:top w:val="single" w:sz="8" w:color="0000FF"/>
            </w:tcBorders>
            <w:gridSpan w:val="8"/>
          </w:tcPr>
          <w:p>
            <w:pPr>
              <w:spacing w:after="0" w:line="187" w:lineRule="exact"/>
              <w:rPr>
                <w:sz w:val="20"/>
                <w:szCs w:val="20"/>
                <w:color w:val="auto"/>
              </w:rPr>
            </w:pPr>
            <w:r>
              <w:rPr>
                <w:rFonts w:ascii="Arial" w:cs="Arial" w:eastAsia="Arial" w:hAnsi="Arial"/>
                <w:sz w:val="21"/>
                <w:szCs w:val="21"/>
                <w:color w:val="0000FF"/>
                <w:w w:val="98"/>
              </w:rPr>
              <w:t>As of September 30, 2022</w:t>
            </w:r>
          </w:p>
        </w:tc>
        <w:tc>
          <w:tcPr>
            <w:tcW w:w="5400" w:type="dxa"/>
            <w:vAlign w:val="bottom"/>
            <w:gridSpan w:val="10"/>
          </w:tcPr>
          <w:p>
            <w:pPr>
              <w:jc w:val="right"/>
              <w:ind w:right="3660"/>
              <w:spacing w:after="0" w:line="187" w:lineRule="exact"/>
              <w:rPr>
                <w:sz w:val="20"/>
                <w:szCs w:val="20"/>
                <w:color w:val="auto"/>
              </w:rPr>
            </w:pPr>
            <w:r>
              <w:rPr>
                <w:rFonts w:ascii="Arial" w:cs="Arial" w:eastAsia="Arial" w:hAnsi="Arial"/>
                <w:sz w:val="21"/>
                <w:szCs w:val="21"/>
                <w:color w:val="0000FF"/>
                <w:w w:val="98"/>
              </w:rPr>
              <w:t>and June 30, 2022</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Consolidated Statements of Cash Flows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3</w:t>
            </w:r>
          </w:p>
        </w:tc>
        <w:tc>
          <w:tcPr>
            <w:tcW w:w="480" w:type="dxa"/>
            <w:vAlign w:val="bottom"/>
            <w:shd w:val="clear" w:color="auto" w:fill="CCEEFF"/>
          </w:tcPr>
          <w:p>
            <w:pPr>
              <w:spacing w:after="0"/>
              <w:rPr>
                <w:sz w:val="17"/>
                <w:szCs w:val="17"/>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3440" w:type="dxa"/>
            <w:vAlign w:val="bottom"/>
            <w:tcBorders>
              <w:top w:val="single" w:sz="8" w:color="0000FF"/>
              <w:bottom w:val="single" w:sz="8" w:color="0000FF"/>
            </w:tcBorders>
            <w:gridSpan w:val="11"/>
            <w:shd w:val="clear" w:color="auto" w:fill="CCEEFF"/>
          </w:tcPr>
          <w:p>
            <w:pPr>
              <w:spacing w:after="0" w:line="187" w:lineRule="exact"/>
              <w:rPr>
                <w:sz w:val="20"/>
                <w:szCs w:val="20"/>
                <w:color w:val="auto"/>
              </w:rPr>
            </w:pPr>
            <w:r>
              <w:rPr>
                <w:rFonts w:ascii="Arial" w:cs="Arial" w:eastAsia="Arial" w:hAnsi="Arial"/>
                <w:sz w:val="21"/>
                <w:szCs w:val="21"/>
                <w:color w:val="0000FF"/>
              </w:rPr>
              <w:t>Three months ended September 30,</w:t>
            </w:r>
          </w:p>
        </w:tc>
        <w:tc>
          <w:tcPr>
            <w:tcW w:w="1320" w:type="dxa"/>
            <w:vAlign w:val="bottom"/>
            <w:tcBorders>
              <w:top w:val="single" w:sz="8" w:color="CCEEFF"/>
              <w:bottom w:val="single" w:sz="8" w:color="0000FF"/>
            </w:tcBorders>
            <w:gridSpan w:val="4"/>
            <w:shd w:val="clear" w:color="auto" w:fill="CCEEFF"/>
          </w:tcPr>
          <w:p>
            <w:pPr>
              <w:jc w:val="right"/>
              <w:spacing w:after="0" w:line="187" w:lineRule="exact"/>
              <w:rPr>
                <w:sz w:val="20"/>
                <w:szCs w:val="20"/>
                <w:color w:val="auto"/>
              </w:rPr>
            </w:pPr>
            <w:r>
              <w:rPr>
                <w:rFonts w:ascii="Arial" w:cs="Arial" w:eastAsia="Arial" w:hAnsi="Arial"/>
                <w:sz w:val="21"/>
                <w:szCs w:val="21"/>
                <w:color w:val="0000FF"/>
                <w:w w:val="92"/>
              </w:rPr>
              <w:t>2022 and 2021</w:t>
            </w:r>
          </w:p>
        </w:tc>
        <w:tc>
          <w:tcPr>
            <w:tcW w:w="312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Consolidated Statements of Stockholders' Equity</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4</w:t>
            </w:r>
          </w:p>
        </w:tc>
        <w:tc>
          <w:tcPr>
            <w:tcW w:w="4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220" w:type="dxa"/>
            <w:vAlign w:val="bottom"/>
            <w:tcBorders>
              <w:top w:val="single" w:sz="8" w:color="0000FF"/>
              <w:bottom w:val="single" w:sz="8" w:color="0000FF"/>
            </w:tcBorders>
            <w:gridSpan w:val="13"/>
          </w:tcPr>
          <w:p>
            <w:pPr>
              <w:jc w:val="right"/>
              <w:spacing w:after="0" w:line="187" w:lineRule="exact"/>
              <w:rPr>
                <w:sz w:val="20"/>
                <w:szCs w:val="20"/>
                <w:color w:val="auto"/>
              </w:rPr>
            </w:pPr>
            <w:r>
              <w:rPr>
                <w:rFonts w:ascii="Arial" w:cs="Arial" w:eastAsia="Arial" w:hAnsi="Arial"/>
                <w:sz w:val="21"/>
                <w:szCs w:val="21"/>
                <w:color w:val="0000FF"/>
                <w:w w:val="97"/>
              </w:rPr>
              <w:t>Three months ended September 30, 2022 and</w:t>
            </w:r>
          </w:p>
        </w:tc>
        <w:tc>
          <w:tcPr>
            <w:tcW w:w="540" w:type="dxa"/>
            <w:vAlign w:val="bottom"/>
            <w:tcBorders>
              <w:bottom w:val="single" w:sz="8" w:color="0000FF"/>
            </w:tcBorders>
            <w:gridSpan w:val="2"/>
          </w:tcPr>
          <w:p>
            <w:pPr>
              <w:jc w:val="right"/>
              <w:spacing w:after="0" w:line="187" w:lineRule="exact"/>
              <w:rPr>
                <w:sz w:val="20"/>
                <w:szCs w:val="20"/>
                <w:color w:val="auto"/>
              </w:rPr>
            </w:pPr>
            <w:r>
              <w:rPr>
                <w:rFonts w:ascii="Arial" w:cs="Arial" w:eastAsia="Arial" w:hAnsi="Arial"/>
                <w:sz w:val="21"/>
                <w:szCs w:val="21"/>
                <w:color w:val="0000FF"/>
              </w:rPr>
              <w:t>2021</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Notes to Consolidated Financial Statements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5</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2.</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w w:val="97"/>
              </w:rPr>
              <w:t>Management's Discussion and Analysis of Financial Condition and Results of Operations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14</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5400" w:type="dxa"/>
            <w:vAlign w:val="bottom"/>
            <w:tcBorders>
              <w:bottom w:val="single" w:sz="8" w:color="0000FF"/>
            </w:tcBorders>
            <w:gridSpan w:val="18"/>
            <w:shd w:val="clear" w:color="auto" w:fill="CCEEFF"/>
          </w:tcPr>
          <w:p>
            <w:pPr>
              <w:spacing w:after="0" w:line="207" w:lineRule="exact"/>
              <w:rPr>
                <w:sz w:val="20"/>
                <w:szCs w:val="20"/>
                <w:color w:val="auto"/>
              </w:rPr>
            </w:pPr>
            <w:r>
              <w:rPr>
                <w:rFonts w:ascii="Arial" w:cs="Arial" w:eastAsia="Arial" w:hAnsi="Arial"/>
                <w:sz w:val="21"/>
                <w:szCs w:val="21"/>
                <w:color w:val="0000FF"/>
                <w:w w:val="97"/>
              </w:rPr>
              <w:t>Quantitative and Qualitative Disclosures About Market Risk</w:t>
            </w:r>
          </w:p>
        </w:tc>
        <w:tc>
          <w:tcPr>
            <w:tcW w:w="2700" w:type="dxa"/>
            <w:vAlign w:val="bottom"/>
            <w:tcBorders>
              <w:bottom w:val="single" w:sz="8" w:color="CCEEFF"/>
            </w:tcBorders>
            <w:gridSpan w:val="3"/>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21</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Controls and Procedures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21</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58"/>
        </w:trPr>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100" w:type="dxa"/>
            <w:vAlign w:val="bottom"/>
            <w:gridSpan w:val="7"/>
            <w:shd w:val="clear" w:color="auto" w:fill="CCEEFF"/>
          </w:tcPr>
          <w:p>
            <w:pPr>
              <w:ind w:left="60"/>
              <w:spacing w:after="0"/>
              <w:rPr>
                <w:sz w:val="20"/>
                <w:szCs w:val="20"/>
                <w:color w:val="auto"/>
              </w:rPr>
            </w:pPr>
            <w:r>
              <w:rPr>
                <w:rFonts w:ascii="Arial" w:cs="Arial" w:eastAsia="Arial" w:hAnsi="Arial"/>
                <w:sz w:val="21"/>
                <w:szCs w:val="21"/>
                <w:b w:val="1"/>
                <w:bCs w:val="1"/>
                <w:color w:val="auto"/>
              </w:rPr>
              <w:t>PART II</w:t>
            </w: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1.</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Legal Proceedings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21</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line="207" w:lineRule="exact"/>
              <w:rPr>
                <w:sz w:val="20"/>
                <w:szCs w:val="20"/>
                <w:color w:val="auto"/>
              </w:rPr>
            </w:pPr>
            <w:r>
              <w:rPr>
                <w:rFonts w:ascii="Arial" w:cs="Arial" w:eastAsia="Arial" w:hAnsi="Arial"/>
                <w:sz w:val="21"/>
                <w:szCs w:val="21"/>
                <w:color w:val="0000FF"/>
              </w:rPr>
              <w:t>Item 1A.</w:t>
            </w: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Risk Factors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21</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spacing w:after="0" w:line="207" w:lineRule="exact"/>
              <w:rPr>
                <w:sz w:val="20"/>
                <w:szCs w:val="20"/>
                <w:color w:val="auto"/>
              </w:rPr>
            </w:pPr>
            <w:r>
              <w:rPr>
                <w:rFonts w:ascii="Arial" w:cs="Arial" w:eastAsia="Arial" w:hAnsi="Arial"/>
                <w:sz w:val="21"/>
                <w:szCs w:val="21"/>
                <w:color w:val="0000FF"/>
              </w:rPr>
              <w:t>Item 2.</w:t>
            </w:r>
          </w:p>
        </w:tc>
        <w:tc>
          <w:tcPr>
            <w:tcW w:w="380" w:type="dxa"/>
            <w:vAlign w:val="bottom"/>
          </w:tcPr>
          <w:p>
            <w:pPr>
              <w:spacing w:after="0"/>
              <w:rPr>
                <w:sz w:val="17"/>
                <w:szCs w:val="17"/>
                <w:color w:val="auto"/>
              </w:rPr>
            </w:pP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Unregistered Sales of Equity Securities and Use of Proceeds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22</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2920" w:type="dxa"/>
            <w:vAlign w:val="bottom"/>
            <w:tcBorders>
              <w:bottom w:val="single" w:sz="8" w:color="0000FF"/>
            </w:tcBorders>
            <w:gridSpan w:val="12"/>
            <w:shd w:val="clear" w:color="auto" w:fill="CCEEFF"/>
          </w:tcPr>
          <w:p>
            <w:pPr>
              <w:spacing w:after="0" w:line="207" w:lineRule="exact"/>
              <w:rPr>
                <w:sz w:val="20"/>
                <w:szCs w:val="20"/>
                <w:color w:val="auto"/>
              </w:rPr>
            </w:pPr>
            <w:r>
              <w:rPr>
                <w:rFonts w:ascii="Arial" w:cs="Arial" w:eastAsia="Arial" w:hAnsi="Arial"/>
                <w:sz w:val="21"/>
                <w:szCs w:val="21"/>
                <w:color w:val="0000FF"/>
                <w:w w:val="97"/>
              </w:rPr>
              <w:t>Defaults Upon Senior Securities</w:t>
            </w:r>
          </w:p>
        </w:tc>
        <w:tc>
          <w:tcPr>
            <w:tcW w:w="5180" w:type="dxa"/>
            <w:vAlign w:val="bottom"/>
            <w:tcBorders>
              <w:bottom w:val="single" w:sz="8" w:color="CCEEFF"/>
            </w:tcBorders>
            <w:gridSpan w:val="9"/>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22</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Mine Safety Disclosures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22</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5.</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1600" w:type="dxa"/>
            <w:vAlign w:val="bottom"/>
            <w:tcBorders>
              <w:bottom w:val="single" w:sz="8" w:color="0000FF"/>
            </w:tcBorders>
            <w:gridSpan w:val="7"/>
            <w:shd w:val="clear" w:color="auto" w:fill="CCEEFF"/>
          </w:tcPr>
          <w:p>
            <w:pPr>
              <w:spacing w:after="0" w:line="207" w:lineRule="exact"/>
              <w:rPr>
                <w:sz w:val="20"/>
                <w:szCs w:val="20"/>
                <w:color w:val="auto"/>
              </w:rPr>
            </w:pPr>
            <w:r>
              <w:rPr>
                <w:rFonts w:ascii="Arial" w:cs="Arial" w:eastAsia="Arial" w:hAnsi="Arial"/>
                <w:sz w:val="21"/>
                <w:szCs w:val="21"/>
                <w:color w:val="0000FF"/>
                <w:w w:val="96"/>
              </w:rPr>
              <w:t>Other Information</w:t>
            </w:r>
          </w:p>
        </w:tc>
        <w:tc>
          <w:tcPr>
            <w:tcW w:w="6500" w:type="dxa"/>
            <w:vAlign w:val="bottom"/>
            <w:tcBorders>
              <w:bottom w:val="single" w:sz="8" w:color="CCEEFF"/>
            </w:tcBorders>
            <w:gridSpan w:val="14"/>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22</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6.</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Exhibits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22</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Signatures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23</w:t>
            </w:r>
          </w:p>
        </w:tc>
        <w:tc>
          <w:tcPr>
            <w:tcW w:w="480" w:type="dxa"/>
            <w:vAlign w:val="bottom"/>
            <w:shd w:val="clear" w:color="auto" w:fill="CCEEFF"/>
          </w:tcPr>
          <w:p>
            <w:pPr>
              <w:spacing w:after="0"/>
              <w:rPr>
                <w:sz w:val="20"/>
                <w:szCs w:val="20"/>
                <w:color w:val="auto"/>
              </w:rPr>
            </w:pPr>
          </w:p>
        </w:tc>
      </w:tr>
      <w:tr>
        <w:trPr>
          <w:trHeight w:val="1772"/>
        </w:trPr>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1040" w:type="dxa"/>
            <w:vAlign w:val="bottom"/>
          </w:tcPr>
          <w:p>
            <w:pPr>
              <w:spacing w:after="0"/>
              <w:rPr>
                <w:sz w:val="20"/>
                <w:szCs w:val="20"/>
                <w:color w:val="auto"/>
              </w:rPr>
            </w:pPr>
            <w:r>
              <w:rPr>
                <w:rFonts w:ascii="Arial" w:cs="Arial" w:eastAsia="Arial" w:hAnsi="Arial"/>
                <w:sz w:val="24"/>
                <w:szCs w:val="24"/>
                <w:b w:val="1"/>
                <w:bCs w:val="1"/>
                <w:color w:val="14AA40"/>
              </w:rPr>
              <w:t>PART I</w:t>
            </w:r>
          </w:p>
        </w:tc>
        <w:tc>
          <w:tcPr>
            <w:tcW w:w="6640" w:type="dxa"/>
            <w:vAlign w:val="bottom"/>
          </w:tcPr>
          <w:p>
            <w:pPr>
              <w:spacing w:after="0"/>
              <w:rPr>
                <w:sz w:val="20"/>
                <w:szCs w:val="20"/>
                <w:color w:val="auto"/>
              </w:rPr>
            </w:pPr>
            <w:r>
              <w:rPr>
                <w:rFonts w:ascii="Arial" w:cs="Arial" w:eastAsia="Arial" w:hAnsi="Arial"/>
                <w:sz w:val="24"/>
                <w:szCs w:val="24"/>
                <w:b w:val="1"/>
                <w:bCs w:val="1"/>
                <w:color w:val="14AA40"/>
              </w:rPr>
              <w:t>FINANCIAL INFORMATION</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040" w:type="dxa"/>
            <w:vAlign w:val="bottom"/>
          </w:tcPr>
          <w:p>
            <w:pPr>
              <w:spacing w:after="0"/>
              <w:rPr>
                <w:sz w:val="20"/>
                <w:szCs w:val="20"/>
                <w:color w:val="auto"/>
              </w:rPr>
            </w:pPr>
            <w:r>
              <w:rPr>
                <w:rFonts w:ascii="Arial" w:cs="Arial" w:eastAsia="Arial" w:hAnsi="Arial"/>
                <w:sz w:val="24"/>
                <w:szCs w:val="24"/>
                <w:b w:val="1"/>
                <w:bCs w:val="1"/>
                <w:color w:val="14AA40"/>
              </w:rPr>
              <w:t>ITEM 1.</w:t>
            </w:r>
          </w:p>
        </w:tc>
        <w:tc>
          <w:tcPr>
            <w:tcW w:w="6640" w:type="dxa"/>
            <w:vAlign w:val="bottom"/>
          </w:tcPr>
          <w:p>
            <w:pPr>
              <w:ind w:left="80"/>
              <w:spacing w:after="0"/>
              <w:rPr>
                <w:sz w:val="20"/>
                <w:szCs w:val="20"/>
                <w:color w:val="auto"/>
              </w:rPr>
            </w:pPr>
            <w:r>
              <w:rPr>
                <w:rFonts w:ascii="Arial" w:cs="Arial" w:eastAsia="Arial" w:hAnsi="Arial"/>
                <w:sz w:val="24"/>
                <w:szCs w:val="24"/>
                <w:b w:val="1"/>
                <w:bCs w:val="1"/>
                <w:color w:val="14AA40"/>
              </w:rPr>
              <w:t>FINANCIAL STATEMENTS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680" w:type="dxa"/>
            <w:vAlign w:val="bottom"/>
            <w:tcBorders>
              <w:bottom w:val="single" w:sz="8" w:color="auto"/>
            </w:tcBorders>
            <w:gridSpan w:val="2"/>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7680" w:type="dxa"/>
            <w:vAlign w:val="bottom"/>
            <w:gridSpan w:val="2"/>
          </w:tcPr>
          <w:p>
            <w:pPr>
              <w:ind w:left="20"/>
              <w:spacing w:after="0" w:line="212" w:lineRule="exact"/>
              <w:rPr>
                <w:sz w:val="20"/>
                <w:szCs w:val="20"/>
                <w:color w:val="auto"/>
              </w:rPr>
            </w:pPr>
            <w:r>
              <w:rPr>
                <w:rFonts w:ascii="Arial" w:cs="Arial" w:eastAsia="Arial" w:hAnsi="Arial"/>
                <w:sz w:val="24"/>
                <w:szCs w:val="24"/>
                <w:b w:val="1"/>
                <w:bCs w:val="1"/>
                <w:color w:val="auto"/>
              </w:rPr>
              <w:t>CONSOLIDATED STATEMENTS OF OPERATIONS AND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color w:val="auto"/>
                <w:w w:val="99"/>
              </w:rPr>
              <w:t>(unaudited, in 000s, except</w:t>
            </w:r>
          </w:p>
        </w:tc>
        <w:tc>
          <w:tcPr>
            <w:tcW w:w="0" w:type="dxa"/>
            <w:vAlign w:val="bottom"/>
          </w:tcPr>
          <w:p>
            <w:pPr>
              <w:spacing w:after="0"/>
              <w:rPr>
                <w:sz w:val="1"/>
                <w:szCs w:val="1"/>
                <w:color w:val="auto"/>
              </w:rPr>
            </w:pPr>
          </w:p>
        </w:tc>
      </w:tr>
      <w:tr>
        <w:trPr>
          <w:trHeight w:val="133"/>
        </w:trPr>
        <w:tc>
          <w:tcPr>
            <w:tcW w:w="7680" w:type="dxa"/>
            <w:vAlign w:val="bottom"/>
            <w:gridSpan w:val="2"/>
            <w:vMerge w:val="restart"/>
          </w:tcPr>
          <w:p>
            <w:pPr>
              <w:ind w:left="20"/>
              <w:spacing w:after="0"/>
              <w:rPr>
                <w:sz w:val="20"/>
                <w:szCs w:val="20"/>
                <w:color w:val="auto"/>
              </w:rPr>
            </w:pPr>
            <w:r>
              <w:rPr>
                <w:rFonts w:ascii="Arial" w:cs="Arial" w:eastAsia="Arial" w:hAnsi="Arial"/>
                <w:sz w:val="24"/>
                <w:szCs w:val="24"/>
                <w:b w:val="1"/>
                <w:bCs w:val="1"/>
                <w:color w:val="auto"/>
              </w:rPr>
              <w:t>COMPREHENSIVE LOSS:</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68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5"/>
                <w:szCs w:val="15"/>
                <w:color w:val="auto"/>
              </w:rPr>
              <w:t>Three months ended September 30,</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86"/>
        </w:trPr>
        <w:tc>
          <w:tcPr>
            <w:tcW w:w="104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Service revenues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167,194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176,977</w:t>
            </w:r>
          </w:p>
        </w:tc>
        <w:tc>
          <w:tcPr>
            <w:tcW w:w="0" w:type="dxa"/>
            <w:vAlign w:val="bottom"/>
          </w:tcPr>
          <w:p>
            <w:pPr>
              <w:spacing w:after="0"/>
              <w:rPr>
                <w:sz w:val="1"/>
                <w:szCs w:val="1"/>
                <w:color w:val="auto"/>
              </w:rPr>
            </w:pPr>
          </w:p>
        </w:tc>
      </w:tr>
      <w:tr>
        <w:trPr>
          <w:trHeight w:val="205"/>
        </w:trPr>
        <w:tc>
          <w:tcPr>
            <w:tcW w:w="7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Royalty, product and other revenues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12,791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15,647</w:t>
            </w:r>
          </w:p>
        </w:tc>
        <w:tc>
          <w:tcPr>
            <w:tcW w:w="0" w:type="dxa"/>
            <w:vAlign w:val="bottom"/>
          </w:tcPr>
          <w:p>
            <w:pPr>
              <w:spacing w:after="0"/>
              <w:rPr>
                <w:sz w:val="1"/>
                <w:szCs w:val="1"/>
                <w:color w:val="auto"/>
              </w:rPr>
            </w:pPr>
          </w:p>
        </w:tc>
      </w:tr>
      <w:tr>
        <w:trPr>
          <w:trHeight w:val="200"/>
        </w:trPr>
        <w:tc>
          <w:tcPr>
            <w:tcW w:w="104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179,985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192,624</w:t>
            </w:r>
          </w:p>
        </w:tc>
        <w:tc>
          <w:tcPr>
            <w:tcW w:w="0" w:type="dxa"/>
            <w:vAlign w:val="bottom"/>
          </w:tcPr>
          <w:p>
            <w:pPr>
              <w:spacing w:after="0"/>
              <w:rPr>
                <w:sz w:val="1"/>
                <w:szCs w:val="1"/>
                <w:color w:val="auto"/>
              </w:rPr>
            </w:pPr>
          </w:p>
        </w:tc>
      </w:tr>
      <w:tr>
        <w:trPr>
          <w:trHeight w:val="185"/>
        </w:trPr>
        <w:tc>
          <w:tcPr>
            <w:tcW w:w="768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EXPENSES:</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Costs of revenues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260,662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241,532</w:t>
            </w:r>
          </w:p>
        </w:tc>
        <w:tc>
          <w:tcPr>
            <w:tcW w:w="0" w:type="dxa"/>
            <w:vAlign w:val="bottom"/>
          </w:tcPr>
          <w:p>
            <w:pPr>
              <w:spacing w:after="0"/>
              <w:rPr>
                <w:sz w:val="1"/>
                <w:szCs w:val="1"/>
                <w:color w:val="auto"/>
              </w:rPr>
            </w:pPr>
          </w:p>
        </w:tc>
      </w:tr>
      <w:tr>
        <w:trPr>
          <w:trHeight w:val="205"/>
        </w:trPr>
        <w:tc>
          <w:tcPr>
            <w:tcW w:w="7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Selling, general and administrative</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128,434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125,864</w:t>
            </w:r>
          </w:p>
        </w:tc>
        <w:tc>
          <w:tcPr>
            <w:tcW w:w="0" w:type="dxa"/>
            <w:vAlign w:val="bottom"/>
          </w:tcPr>
          <w:p>
            <w:pPr>
              <w:spacing w:after="0"/>
              <w:rPr>
                <w:sz w:val="1"/>
                <w:szCs w:val="1"/>
                <w:color w:val="auto"/>
              </w:rPr>
            </w:pPr>
          </w:p>
        </w:tc>
      </w:tr>
      <w:tr>
        <w:trPr>
          <w:trHeight w:val="19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389,096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367,396</w:t>
            </w: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3,611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205"/>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expense on borrowings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(22,830)</w:t>
            </w:r>
          </w:p>
        </w:tc>
        <w:tc>
          <w:tcPr>
            <w:tcW w:w="0" w:type="dxa"/>
            <w:vAlign w:val="bottom"/>
          </w:tcPr>
          <w:p>
            <w:pPr>
              <w:spacing w:after="0"/>
              <w:rPr>
                <w:sz w:val="1"/>
                <w:szCs w:val="1"/>
                <w:color w:val="auto"/>
              </w:rPr>
            </w:pPr>
          </w:p>
        </w:tc>
      </w:tr>
      <w:tr>
        <w:trPr>
          <w:trHeight w:val="20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before income tax benefit</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(221,324)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(197,318)</w:t>
            </w:r>
          </w:p>
        </w:tc>
        <w:tc>
          <w:tcPr>
            <w:tcW w:w="0" w:type="dxa"/>
            <w:vAlign w:val="bottom"/>
          </w:tcPr>
          <w:p>
            <w:pPr>
              <w:spacing w:after="0"/>
              <w:rPr>
                <w:sz w:val="1"/>
                <w:szCs w:val="1"/>
                <w:color w:val="auto"/>
              </w:rPr>
            </w:pPr>
          </w:p>
        </w:tc>
      </w:tr>
      <w:tr>
        <w:trPr>
          <w:trHeight w:val="205"/>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Income tax benefit</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(53,957)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(47,373)</w:t>
            </w:r>
          </w:p>
        </w:tc>
        <w:tc>
          <w:tcPr>
            <w:tcW w:w="0" w:type="dxa"/>
            <w:vAlign w:val="bottom"/>
          </w:tcPr>
          <w:p>
            <w:pPr>
              <w:spacing w:after="0"/>
              <w:rPr>
                <w:sz w:val="1"/>
                <w:szCs w:val="1"/>
                <w:color w:val="auto"/>
              </w:rPr>
            </w:pPr>
          </w:p>
        </w:tc>
      </w:tr>
      <w:tr>
        <w:trPr>
          <w:trHeight w:val="20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(167,367)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(149,945)</w:t>
            </w:r>
          </w:p>
        </w:tc>
        <w:tc>
          <w:tcPr>
            <w:tcW w:w="0" w:type="dxa"/>
            <w:vAlign w:val="bottom"/>
          </w:tcPr>
          <w:p>
            <w:pPr>
              <w:spacing w:after="0"/>
              <w:rPr>
                <w:sz w:val="1"/>
                <w:szCs w:val="1"/>
                <w:color w:val="auto"/>
              </w:rPr>
            </w:pPr>
          </w:p>
        </w:tc>
      </w:tr>
      <w:tr>
        <w:trPr>
          <w:trHeight w:val="205"/>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 from discontinued operations, net of tax benefits of $316 and $495</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(1,054)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(1,656)</w:t>
            </w:r>
          </w:p>
        </w:tc>
        <w:tc>
          <w:tcPr>
            <w:tcW w:w="0" w:type="dxa"/>
            <w:vAlign w:val="bottom"/>
          </w:tcPr>
          <w:p>
            <w:pPr>
              <w:spacing w:after="0"/>
              <w:rPr>
                <w:sz w:val="1"/>
                <w:szCs w:val="1"/>
                <w:color w:val="auto"/>
              </w:rPr>
            </w:pPr>
          </w:p>
        </w:tc>
      </w:tr>
      <w:tr>
        <w:trPr>
          <w:trHeight w:val="200"/>
        </w:trPr>
        <w:tc>
          <w:tcPr>
            <w:tcW w:w="1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66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(168,421)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(151,601)</w:t>
            </w:r>
          </w:p>
        </w:tc>
        <w:tc>
          <w:tcPr>
            <w:tcW w:w="0" w:type="dxa"/>
            <w:vAlign w:val="bottom"/>
          </w:tcPr>
          <w:p>
            <w:pPr>
              <w:spacing w:after="0"/>
              <w:rPr>
                <w:sz w:val="1"/>
                <w:szCs w:val="1"/>
                <w:color w:val="auto"/>
              </w:rPr>
            </w:pPr>
          </w:p>
        </w:tc>
      </w:tr>
      <w:tr>
        <w:trPr>
          <w:trHeight w:val="185"/>
        </w:trPr>
        <w:tc>
          <w:tcPr>
            <w:tcW w:w="7680" w:type="dxa"/>
            <w:vAlign w:val="bottom"/>
            <w:gridSpan w:val="2"/>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(0.84)</w:t>
            </w:r>
          </w:p>
        </w:tc>
        <w:tc>
          <w:tcPr>
            <w:tcW w:w="0" w:type="dxa"/>
            <w:vAlign w:val="bottom"/>
          </w:tcPr>
          <w:p>
            <w:pPr>
              <w:spacing w:after="0"/>
              <w:rPr>
                <w:sz w:val="1"/>
                <w:szCs w:val="1"/>
                <w:color w:val="auto"/>
              </w:rPr>
            </w:pPr>
          </w:p>
        </w:tc>
      </w:tr>
      <w:tr>
        <w:trPr>
          <w:trHeight w:val="205"/>
        </w:trPr>
        <w:tc>
          <w:tcPr>
            <w:tcW w:w="7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0"/>
        </w:trPr>
        <w:tc>
          <w:tcPr>
            <w:tcW w:w="1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66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198"/>
        </w:trPr>
        <w:tc>
          <w:tcPr>
            <w:tcW w:w="7680" w:type="dxa"/>
            <w:vAlign w:val="bottom"/>
            <w:gridSpan w:val="2"/>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0.29</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0.27</w:t>
            </w:r>
          </w:p>
        </w:tc>
        <w:tc>
          <w:tcPr>
            <w:tcW w:w="0" w:type="dxa"/>
            <w:vAlign w:val="bottom"/>
          </w:tcPr>
          <w:p>
            <w:pPr>
              <w:spacing w:after="0"/>
              <w:rPr>
                <w:sz w:val="1"/>
                <w:szCs w:val="1"/>
                <w:color w:val="auto"/>
              </w:rPr>
            </w:pPr>
          </w:p>
        </w:tc>
      </w:tr>
      <w:tr>
        <w:trPr>
          <w:trHeight w:val="207"/>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LOSS: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40" w:type="dxa"/>
            <w:vAlign w:val="bottom"/>
          </w:tcPr>
          <w:p>
            <w:pPr>
              <w:ind w:left="140"/>
              <w:spacing w:after="0"/>
              <w:rPr>
                <w:sz w:val="20"/>
                <w:szCs w:val="20"/>
                <w:color w:val="auto"/>
              </w:rPr>
            </w:pPr>
            <w:r>
              <w:rPr>
                <w:rFonts w:ascii="Arial" w:cs="Arial" w:eastAsia="Arial" w:hAnsi="Arial"/>
                <w:sz w:val="15"/>
                <w:szCs w:val="15"/>
                <w:color w:val="auto"/>
              </w:rPr>
              <w:t>Net loss</w:t>
            </w:r>
          </w:p>
        </w:tc>
        <w:tc>
          <w:tcPr>
            <w:tcW w:w="664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(168,421)</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(151,601)</w:t>
            </w:r>
          </w:p>
        </w:tc>
        <w:tc>
          <w:tcPr>
            <w:tcW w:w="0" w:type="dxa"/>
            <w:vAlign w:val="bottom"/>
          </w:tcPr>
          <w:p>
            <w:pPr>
              <w:spacing w:after="0"/>
              <w:rPr>
                <w:sz w:val="1"/>
                <w:szCs w:val="1"/>
                <w:color w:val="auto"/>
              </w:rPr>
            </w:pPr>
          </w:p>
        </w:tc>
      </w:tr>
      <w:tr>
        <w:trPr>
          <w:trHeight w:val="206"/>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3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(32,345)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(11,177)</w:t>
            </w:r>
          </w:p>
        </w:tc>
        <w:tc>
          <w:tcPr>
            <w:tcW w:w="0" w:type="dxa"/>
            <w:vAlign w:val="bottom"/>
          </w:tcPr>
          <w:p>
            <w:pPr>
              <w:spacing w:after="0"/>
              <w:rPr>
                <w:sz w:val="1"/>
                <w:szCs w:val="1"/>
                <w:color w:val="auto"/>
              </w:rPr>
            </w:pPr>
          </w:p>
        </w:tc>
      </w:tr>
      <w:tr>
        <w:trPr>
          <w:trHeight w:val="199"/>
        </w:trPr>
        <w:tc>
          <w:tcPr>
            <w:tcW w:w="7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comprehensive loss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(32,345)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(11,177)</w:t>
            </w:r>
          </w:p>
        </w:tc>
        <w:tc>
          <w:tcPr>
            <w:tcW w:w="0" w:type="dxa"/>
            <w:vAlign w:val="bottom"/>
          </w:tcPr>
          <w:p>
            <w:pPr>
              <w:spacing w:after="0"/>
              <w:rPr>
                <w:sz w:val="1"/>
                <w:szCs w:val="1"/>
                <w:color w:val="auto"/>
              </w:rPr>
            </w:pPr>
          </w:p>
        </w:tc>
      </w:tr>
      <w:tr>
        <w:trPr>
          <w:trHeight w:val="200"/>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Comprehensive loss</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(200,766)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(162,778)</w:t>
            </w:r>
          </w:p>
        </w:tc>
        <w:tc>
          <w:tcPr>
            <w:tcW w:w="0" w:type="dxa"/>
            <w:vAlign w:val="bottom"/>
          </w:tcPr>
          <w:p>
            <w:pPr>
              <w:spacing w:after="0"/>
              <w:rPr>
                <w:sz w:val="1"/>
                <w:szCs w:val="1"/>
                <w:color w:val="auto"/>
              </w:rPr>
            </w:pPr>
          </w:p>
        </w:tc>
      </w:tr>
      <w:tr>
        <w:trPr>
          <w:trHeight w:val="32"/>
        </w:trPr>
        <w:tc>
          <w:tcPr>
            <w:tcW w:w="104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615315</wp:posOffset>
            </wp:positionV>
            <wp:extent cx="220980" cy="122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sz w:val="20"/>
          <w:szCs w:val="20"/>
          <w:color w:val="auto"/>
        </w:rPr>
        <w:tab/>
      </w:r>
      <w:r>
        <w:rPr>
          <w:rFonts w:ascii="Arial" w:cs="Arial" w:eastAsia="Arial" w:hAnsi="Arial"/>
          <w:sz w:val="10"/>
          <w:szCs w:val="10"/>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4"/>
                <w:szCs w:val="24"/>
                <w:b w:val="1"/>
                <w:bCs w:val="1"/>
                <w:color w:val="auto"/>
              </w:rPr>
              <w:t>CONSOLIDATED BALANCE SHEETS</w:t>
            </w: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(unaudited, in 000s, except</w:t>
            </w:r>
          </w:p>
        </w:tc>
        <w:tc>
          <w:tcPr>
            <w:tcW w:w="0" w:type="dxa"/>
            <w:vAlign w:val="bottom"/>
          </w:tcPr>
          <w:p>
            <w:pPr>
              <w:spacing w:after="0"/>
              <w:rPr>
                <w:sz w:val="1"/>
                <w:szCs w:val="1"/>
                <w:color w:val="auto"/>
              </w:rPr>
            </w:pPr>
          </w:p>
        </w:tc>
      </w:tr>
      <w:tr>
        <w:trPr>
          <w:trHeight w:val="163"/>
        </w:trPr>
        <w:tc>
          <w:tcPr>
            <w:tcW w:w="72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198"/>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As of</w:t>
            </w: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5"/>
                <w:szCs w:val="15"/>
                <w:b w:val="1"/>
                <w:bCs w:val="1"/>
                <w:color w:val="auto"/>
              </w:rPr>
              <w:t>September 30, 2022</w:t>
            </w: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June 30, 2022</w:t>
            </w:r>
          </w:p>
        </w:tc>
        <w:tc>
          <w:tcPr>
            <w:tcW w:w="0" w:type="dxa"/>
            <w:vAlign w:val="bottom"/>
          </w:tcPr>
          <w:p>
            <w:pPr>
              <w:spacing w:after="0"/>
              <w:rPr>
                <w:sz w:val="1"/>
                <w:szCs w:val="1"/>
                <w:color w:val="auto"/>
              </w:rPr>
            </w:pPr>
          </w:p>
        </w:tc>
      </w:tr>
      <w:tr>
        <w:trPr>
          <w:trHeight w:val="199"/>
        </w:trPr>
        <w:tc>
          <w:tcPr>
            <w:tcW w:w="7160" w:type="dxa"/>
            <w:vAlign w:val="bottom"/>
            <w:tcBorders>
              <w:top w:val="single" w:sz="8" w:color="auto"/>
            </w:tcBorders>
          </w:tcPr>
          <w:p>
            <w:pPr>
              <w:ind w:left="3280"/>
              <w:spacing w:after="0"/>
              <w:rPr>
                <w:sz w:val="20"/>
                <w:szCs w:val="20"/>
                <w:color w:val="auto"/>
              </w:rPr>
            </w:pPr>
            <w:r>
              <w:rPr>
                <w:rFonts w:ascii="Arial" w:cs="Arial" w:eastAsia="Arial" w:hAnsi="Arial"/>
                <w:sz w:val="15"/>
                <w:szCs w:val="15"/>
                <w:b w:val="1"/>
                <w:bCs w:val="1"/>
                <w:color w:val="auto"/>
              </w:rPr>
              <w:t>ASSETS</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322,824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885,015</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108,550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165,698</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Receivables, less allowance for credit losses of $65,217 and $65,351</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61,035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58,447</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Income taxes receivable</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154,123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202,838</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77,906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72,460</w:t>
            </w:r>
          </w:p>
        </w:tc>
        <w:tc>
          <w:tcPr>
            <w:tcW w:w="0" w:type="dxa"/>
            <w:vAlign w:val="bottom"/>
          </w:tcPr>
          <w:p>
            <w:pPr>
              <w:spacing w:after="0"/>
              <w:rPr>
                <w:sz w:val="1"/>
                <w:szCs w:val="1"/>
                <w:color w:val="auto"/>
              </w:rPr>
            </w:pPr>
          </w:p>
        </w:tc>
      </w:tr>
      <w:tr>
        <w:trPr>
          <w:trHeight w:val="199"/>
        </w:trPr>
        <w:tc>
          <w:tcPr>
            <w:tcW w:w="7280" w:type="dxa"/>
            <w:vAlign w:val="bottom"/>
            <w:gridSpan w:val="2"/>
          </w:tcPr>
          <w:p>
            <w:pPr>
              <w:ind w:left="320"/>
              <w:spacing w:after="0"/>
              <w:rPr>
                <w:sz w:val="20"/>
                <w:szCs w:val="20"/>
                <w:color w:val="auto"/>
              </w:rPr>
            </w:pPr>
            <w:r>
              <w:rPr>
                <w:rFonts w:ascii="Arial" w:cs="Arial" w:eastAsia="Arial" w:hAnsi="Arial"/>
                <w:sz w:val="15"/>
                <w:szCs w:val="15"/>
                <w:color w:val="auto"/>
              </w:rPr>
              <w:t>Total current assets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724,438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1,384,458</w:t>
            </w: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5"/>
                <w:szCs w:val="15"/>
                <w:color w:val="auto"/>
              </w:rPr>
              <w:t>Property and equipment, at cost, less accumulated depreciation and amortization of $867,402 and</w:t>
            </w:r>
          </w:p>
        </w:tc>
        <w:tc>
          <w:tcPr>
            <w:tcW w:w="2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127,934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$857,468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123,912</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right of use assets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412,823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427,783</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303,483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309,644</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746,711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760,401</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193,761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208,948</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50,082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54,012</w:t>
            </w:r>
          </w:p>
        </w:tc>
        <w:tc>
          <w:tcPr>
            <w:tcW w:w="0" w:type="dxa"/>
            <w:vAlign w:val="bottom"/>
          </w:tcPr>
          <w:p>
            <w:pPr>
              <w:spacing w:after="0"/>
              <w:rPr>
                <w:sz w:val="1"/>
                <w:szCs w:val="1"/>
                <w:color w:val="auto"/>
              </w:rPr>
            </w:pPr>
          </w:p>
        </w:tc>
      </w:tr>
      <w:tr>
        <w:trPr>
          <w:trHeight w:val="200"/>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2,559,232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3,269,158</w:t>
            </w:r>
          </w:p>
        </w:tc>
        <w:tc>
          <w:tcPr>
            <w:tcW w:w="0" w:type="dxa"/>
            <w:vAlign w:val="bottom"/>
          </w:tcPr>
          <w:p>
            <w:pPr>
              <w:spacing w:after="0"/>
              <w:rPr>
                <w:sz w:val="1"/>
                <w:szCs w:val="1"/>
                <w:color w:val="auto"/>
              </w:rPr>
            </w:pPr>
          </w:p>
        </w:tc>
      </w:tr>
      <w:tr>
        <w:trPr>
          <w:trHeight w:val="185"/>
        </w:trPr>
        <w:tc>
          <w:tcPr>
            <w:tcW w:w="7280" w:type="dxa"/>
            <w:vAlign w:val="bottom"/>
            <w:gridSpan w:val="2"/>
          </w:tcPr>
          <w:p>
            <w:pPr>
              <w:ind w:left="196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80" w:type="dxa"/>
            <w:vAlign w:val="bottom"/>
            <w:gridSpan w:val="2"/>
          </w:tcPr>
          <w:p>
            <w:pPr>
              <w:ind w:left="120"/>
              <w:spacing w:after="0"/>
              <w:rPr>
                <w:sz w:val="20"/>
                <w:szCs w:val="20"/>
                <w:color w:val="auto"/>
              </w:rPr>
            </w:pPr>
            <w:r>
              <w:rPr>
                <w:rFonts w:ascii="Arial" w:cs="Arial" w:eastAsia="Arial" w:hAnsi="Arial"/>
                <w:sz w:val="15"/>
                <w:szCs w:val="15"/>
                <w:color w:val="auto"/>
              </w:rPr>
              <w:t>Accounts payable and accrued expenses</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168,496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160,929</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56,162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154,764</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188,118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280,115</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197,491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206,898</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179,956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196,107</w:t>
            </w:r>
          </w:p>
        </w:tc>
        <w:tc>
          <w:tcPr>
            <w:tcW w:w="0" w:type="dxa"/>
            <w:vAlign w:val="bottom"/>
          </w:tcPr>
          <w:p>
            <w:pPr>
              <w:spacing w:after="0"/>
              <w:rPr>
                <w:sz w:val="1"/>
                <w:szCs w:val="1"/>
                <w:color w:val="auto"/>
              </w:rPr>
            </w:pPr>
          </w:p>
        </w:tc>
      </w:tr>
      <w:tr>
        <w:trPr>
          <w:trHeight w:val="200"/>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790,223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998,813</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Long-term debt</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1,487,407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1,486,876</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229,340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226,362</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222,914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228,820</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94,333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116,656</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2,824,217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3,057,527</w:t>
            </w:r>
          </w:p>
        </w:tc>
        <w:tc>
          <w:tcPr>
            <w:tcW w:w="0" w:type="dxa"/>
            <w:vAlign w:val="bottom"/>
          </w:tcPr>
          <w:p>
            <w:pPr>
              <w:spacing w:after="0"/>
              <w:rPr>
                <w:sz w:val="1"/>
                <w:szCs w:val="1"/>
                <w:color w:val="auto"/>
              </w:rPr>
            </w:pPr>
          </w:p>
        </w:tc>
      </w:tr>
      <w:tr>
        <w:trPr>
          <w:trHeight w:val="18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5"/>
                <w:szCs w:val="15"/>
                <w:color w:val="auto"/>
              </w:rPr>
              <w:t>Common stock, no par, stated value $0.01 per share, 800,000,000 shares authorized, shares issued of</w:t>
            </w:r>
          </w:p>
        </w:tc>
        <w:tc>
          <w:tcPr>
            <w:tcW w:w="2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1,887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188,644,066 and 193,571,309</w:t>
            </w:r>
          </w:p>
        </w:tc>
        <w:tc>
          <w:tcPr>
            <w:tcW w:w="280" w:type="dxa"/>
            <w:vAlign w:val="bottom"/>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1,936</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00"/>
              <w:spacing w:after="0"/>
              <w:rPr>
                <w:sz w:val="20"/>
                <w:szCs w:val="20"/>
                <w:color w:val="auto"/>
              </w:rPr>
            </w:pPr>
            <w:r>
              <w:rPr>
                <w:rFonts w:ascii="Arial" w:cs="Arial" w:eastAsia="Arial" w:hAnsi="Arial"/>
                <w:sz w:val="15"/>
                <w:szCs w:val="15"/>
                <w:color w:val="auto"/>
              </w:rPr>
              <w:t>Additional paid-in capital</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759,629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772,182</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(53,990)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(21,645)</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00"/>
              <w:spacing w:after="0"/>
              <w:rPr>
                <w:sz w:val="20"/>
                <w:szCs w:val="20"/>
                <w:color w:val="auto"/>
              </w:rPr>
            </w:pPr>
            <w:r>
              <w:rPr>
                <w:rFonts w:ascii="Arial" w:cs="Arial" w:eastAsia="Arial" w:hAnsi="Arial"/>
                <w:sz w:val="15"/>
                <w:szCs w:val="15"/>
                <w:color w:val="auto"/>
              </w:rPr>
              <w:t>Retained earnings (deficit)</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(311,671)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120,405</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shares, at cost, of 33,176,727 and 33,640,988</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(660,840)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(661,247)</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stockholders' equity (deficiency)</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(264,985)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211,631</w:t>
            </w:r>
          </w:p>
        </w:tc>
        <w:tc>
          <w:tcPr>
            <w:tcW w:w="0" w:type="dxa"/>
            <w:vAlign w:val="bottom"/>
          </w:tcPr>
          <w:p>
            <w:pPr>
              <w:spacing w:after="0"/>
              <w:rPr>
                <w:sz w:val="1"/>
                <w:szCs w:val="1"/>
                <w:color w:val="auto"/>
              </w:rPr>
            </w:pPr>
          </w:p>
        </w:tc>
      </w:tr>
      <w:tr>
        <w:trPr>
          <w:trHeight w:val="200"/>
        </w:trPr>
        <w:tc>
          <w:tcPr>
            <w:tcW w:w="72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2,559,232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3,269,158</w:t>
            </w:r>
          </w:p>
        </w:tc>
        <w:tc>
          <w:tcPr>
            <w:tcW w:w="0" w:type="dxa"/>
            <w:vAlign w:val="bottom"/>
          </w:tcPr>
          <w:p>
            <w:pPr>
              <w:spacing w:after="0"/>
              <w:rPr>
                <w:sz w:val="1"/>
                <w:szCs w:val="1"/>
                <w:color w:val="auto"/>
              </w:rPr>
            </w:pPr>
          </w:p>
        </w:tc>
      </w:tr>
      <w:tr>
        <w:trPr>
          <w:trHeight w:val="32"/>
        </w:trPr>
        <w:tc>
          <w:tcPr>
            <w:tcW w:w="7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607060</wp:posOffset>
            </wp:positionV>
            <wp:extent cx="229235" cy="122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23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hanging="235"/>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1"/>
                <w:szCs w:val="21"/>
                <w:b w:val="1"/>
                <w:bCs w:val="1"/>
                <w:color w:val="auto"/>
              </w:rPr>
              <w:t>CONSOLIDATED STATEMENTS OF CASH FLOWS</w:t>
            </w:r>
          </w:p>
        </w:tc>
        <w:tc>
          <w:tcPr>
            <w:tcW w:w="5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5"/>
                <w:szCs w:val="15"/>
                <w:color w:val="auto"/>
              </w:rPr>
              <w:t>Three months ended September 30,</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760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(168,421)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(151,601)</w:t>
            </w:r>
          </w:p>
        </w:tc>
      </w:tr>
      <w:tr>
        <w:trPr>
          <w:trHeight w:val="203"/>
        </w:trPr>
        <w:tc>
          <w:tcPr>
            <w:tcW w:w="7720" w:type="dxa"/>
            <w:vAlign w:val="bottom"/>
            <w:gridSpan w:val="2"/>
          </w:tcPr>
          <w:p>
            <w:pPr>
              <w:ind w:left="24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33,624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35,715</w:t>
            </w:r>
          </w:p>
        </w:tc>
      </w:tr>
      <w:tr>
        <w:trPr>
          <w:trHeight w:val="205"/>
        </w:trPr>
        <w:tc>
          <w:tcPr>
            <w:tcW w:w="7720" w:type="dxa"/>
            <w:vAlign w:val="bottom"/>
            <w:gridSpan w:val="2"/>
          </w:tcPr>
          <w:p>
            <w:pPr>
              <w:ind w:left="320"/>
              <w:spacing w:after="0"/>
              <w:rPr>
                <w:sz w:val="20"/>
                <w:szCs w:val="20"/>
                <w:color w:val="auto"/>
              </w:rPr>
            </w:pPr>
            <w:r>
              <w:rPr>
                <w:rFonts w:ascii="Arial" w:cs="Arial" w:eastAsia="Arial" w:hAnsi="Arial"/>
                <w:sz w:val="15"/>
                <w:szCs w:val="15"/>
                <w:color w:val="auto"/>
              </w:rPr>
              <w:t>Provision</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1,077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1,850</w:t>
            </w:r>
          </w:p>
        </w:tc>
      </w:tr>
      <w:tr>
        <w:trPr>
          <w:trHeight w:val="207"/>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Deferred taxes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16,918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(13,547)</w:t>
            </w:r>
          </w:p>
        </w:tc>
      </w:tr>
      <w:tr>
        <w:trPr>
          <w:trHeight w:val="205"/>
        </w:trPr>
        <w:tc>
          <w:tcPr>
            <w:tcW w:w="7720" w:type="dxa"/>
            <w:vAlign w:val="bottom"/>
            <w:gridSpan w:val="2"/>
          </w:tcPr>
          <w:p>
            <w:pPr>
              <w:ind w:left="320"/>
              <w:spacing w:after="0"/>
              <w:rPr>
                <w:sz w:val="20"/>
                <w:szCs w:val="20"/>
                <w:color w:val="auto"/>
              </w:rPr>
            </w:pPr>
            <w:r>
              <w:rPr>
                <w:rFonts w:ascii="Arial" w:cs="Arial" w:eastAsia="Arial" w:hAnsi="Arial"/>
                <w:sz w:val="15"/>
                <w:szCs w:val="15"/>
                <w:color w:val="auto"/>
              </w:rPr>
              <w:t>Stock-based compensation</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7,654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6,847</w:t>
            </w:r>
          </w:p>
        </w:tc>
      </w:tr>
      <w:tr>
        <w:trPr>
          <w:trHeight w:val="207"/>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Changes in assets and liabilities, net of acquisitions: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5"/>
        </w:trPr>
        <w:tc>
          <w:tcPr>
            <w:tcW w:w="7720" w:type="dxa"/>
            <w:vAlign w:val="bottom"/>
            <w:gridSpan w:val="2"/>
          </w:tcPr>
          <w:p>
            <w:pPr>
              <w:ind w:left="440"/>
              <w:spacing w:after="0"/>
              <w:rPr>
                <w:sz w:val="20"/>
                <w:szCs w:val="20"/>
                <w:color w:val="auto"/>
              </w:rPr>
            </w:pPr>
            <w:r>
              <w:rPr>
                <w:rFonts w:ascii="Arial" w:cs="Arial" w:eastAsia="Arial" w:hAnsi="Arial"/>
                <w:sz w:val="15"/>
                <w:szCs w:val="15"/>
                <w:color w:val="auto"/>
              </w:rPr>
              <w:t>Receivables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3,702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35,913</w:t>
            </w:r>
          </w:p>
        </w:tc>
      </w:tr>
      <w:tr>
        <w:trPr>
          <w:trHeight w:val="207"/>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Prepaid expenses, other current and noncurrent assets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8,610</w:t>
            </w:r>
          </w:p>
        </w:tc>
      </w:tr>
      <w:tr>
        <w:trPr>
          <w:trHeight w:val="205"/>
        </w:trPr>
        <w:tc>
          <w:tcPr>
            <w:tcW w:w="7720" w:type="dxa"/>
            <w:vAlign w:val="bottom"/>
            <w:gridSpan w:val="2"/>
          </w:tcPr>
          <w:p>
            <w:pPr>
              <w:ind w:left="440"/>
              <w:spacing w:after="0"/>
              <w:rPr>
                <w:sz w:val="20"/>
                <w:szCs w:val="20"/>
                <w:color w:val="auto"/>
              </w:rPr>
            </w:pPr>
            <w:r>
              <w:rPr>
                <w:rFonts w:ascii="Arial" w:cs="Arial" w:eastAsia="Arial" w:hAnsi="Arial"/>
                <w:sz w:val="15"/>
                <w:szCs w:val="15"/>
                <w:color w:val="auto"/>
              </w:rPr>
              <w:t>Accounts payable, accrued expenses, salaries, wages and payroll taxes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(129,908)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(134,215)</w:t>
            </w:r>
          </w:p>
        </w:tc>
      </w:tr>
      <w:tr>
        <w:trPr>
          <w:trHeight w:val="207"/>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Deferred revenue, other current and noncurrent liabilities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(41,549)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(27,990)</w:t>
            </w:r>
          </w:p>
        </w:tc>
      </w:tr>
      <w:tr>
        <w:trPr>
          <w:trHeight w:val="205"/>
        </w:trPr>
        <w:tc>
          <w:tcPr>
            <w:tcW w:w="7720" w:type="dxa"/>
            <w:vAlign w:val="bottom"/>
            <w:gridSpan w:val="2"/>
          </w:tcPr>
          <w:p>
            <w:pPr>
              <w:ind w:left="440"/>
              <w:spacing w:after="0"/>
              <w:rPr>
                <w:sz w:val="20"/>
                <w:szCs w:val="20"/>
                <w:color w:val="auto"/>
              </w:rPr>
            </w:pPr>
            <w:r>
              <w:rPr>
                <w:rFonts w:ascii="Arial" w:cs="Arial" w:eastAsia="Arial" w:hAnsi="Arial"/>
                <w:sz w:val="15"/>
                <w:szCs w:val="15"/>
                <w:color w:val="auto"/>
              </w:rPr>
              <w:t>Income tax receivables, accrued income taxes and income tax reserves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(41,659)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(72,768)</w:t>
            </w:r>
          </w:p>
        </w:tc>
      </w:tr>
      <w:tr>
        <w:trPr>
          <w:trHeight w:val="206"/>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Other, net</w:t>
            </w: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(1,438)</w:t>
            </w:r>
          </w:p>
        </w:tc>
      </w:tr>
      <w:tr>
        <w:trPr>
          <w:trHeight w:val="199"/>
        </w:trPr>
        <w:tc>
          <w:tcPr>
            <w:tcW w:w="7720" w:type="dxa"/>
            <w:vAlign w:val="bottom"/>
            <w:tcBorders>
              <w:bottom w:val="single" w:sz="8" w:color="CCEEFF"/>
            </w:tcBorders>
            <w:gridSpan w:val="2"/>
          </w:tcPr>
          <w:p>
            <w:pPr>
              <w:ind w:left="520"/>
              <w:spacing w:after="0"/>
              <w:rPr>
                <w:sz w:val="20"/>
                <w:szCs w:val="20"/>
                <w:color w:val="auto"/>
              </w:rPr>
            </w:pPr>
            <w:r>
              <w:rPr>
                <w:rFonts w:ascii="Arial" w:cs="Arial" w:eastAsia="Arial" w:hAnsi="Arial"/>
                <w:sz w:val="15"/>
                <w:szCs w:val="15"/>
                <w:color w:val="auto"/>
              </w:rPr>
              <w:t>Net cash used in operating activities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(321,666)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(312,624)</w:t>
            </w:r>
          </w:p>
        </w:tc>
      </w:tr>
      <w:tr>
        <w:trPr>
          <w:trHeight w:val="18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Capital expenditures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(16,161)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(15,620)</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Payments made for business acquisitions, net of cash acquired</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(4,265)</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Franchise loans funded</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(6,686)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(4,474)</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Payments from franchisees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2,839</w:t>
            </w:r>
          </w:p>
        </w:tc>
      </w:tr>
      <w:tr>
        <w:trPr>
          <w:trHeight w:val="205"/>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net</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2,067</w:t>
            </w:r>
          </w:p>
        </w:tc>
      </w:tr>
      <w:tr>
        <w:trPr>
          <w:trHeight w:val="200"/>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cash used in investing activities</w:t>
            </w: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(37,358)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(19,453)</w:t>
            </w:r>
          </w:p>
        </w:tc>
      </w:tr>
      <w:tr>
        <w:trPr>
          <w:trHeight w:val="185"/>
        </w:trPr>
        <w:tc>
          <w:tcPr>
            <w:tcW w:w="772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Dividends paid</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(43,093)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(48,996)</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Repurchase of common stock, including shares surrendered</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(202,845)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(165,800)</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exercise of stock options</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3,385</w:t>
            </w:r>
          </w:p>
        </w:tc>
      </w:tr>
      <w:tr>
        <w:trPr>
          <w:trHeight w:val="205"/>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net</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(955)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(5,911)</w:t>
            </w:r>
          </w:p>
        </w:tc>
      </w:tr>
      <w:tr>
        <w:trPr>
          <w:trHeight w:val="199"/>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cash used in financing activities</w:t>
            </w: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(246,893)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(217,322)</w:t>
            </w:r>
          </w:p>
        </w:tc>
      </w:tr>
      <w:tr>
        <w:trPr>
          <w:trHeight w:val="199"/>
        </w:trPr>
        <w:tc>
          <w:tcPr>
            <w:tcW w:w="7720" w:type="dxa"/>
            <w:vAlign w:val="bottom"/>
            <w:gridSpan w:val="2"/>
          </w:tcPr>
          <w:p>
            <w:pPr>
              <w:ind w:left="20"/>
              <w:spacing w:after="0"/>
              <w:rPr>
                <w:sz w:val="20"/>
                <w:szCs w:val="20"/>
                <w:color w:val="auto"/>
              </w:rPr>
            </w:pPr>
            <w:r>
              <w:rPr>
                <w:rFonts w:ascii="Arial" w:cs="Arial" w:eastAsia="Arial" w:hAnsi="Arial"/>
                <w:sz w:val="15"/>
                <w:szCs w:val="15"/>
                <w:color w:val="auto"/>
              </w:rPr>
              <w:t>Effects of exchange rate changes on cash</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(13,422)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(3,959)</w:t>
            </w: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(619,339)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(553,358)</w:t>
            </w:r>
          </w:p>
        </w:tc>
      </w:tr>
      <w:tr>
        <w:trPr>
          <w:trHeight w:val="205"/>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1,050,713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1,584,164</w:t>
            </w:r>
          </w:p>
        </w:tc>
      </w:tr>
      <w:tr>
        <w:trPr>
          <w:trHeight w:val="20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431,374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1,030,806</w:t>
            </w:r>
          </w:p>
        </w:tc>
      </w:tr>
      <w:tr>
        <w:trPr>
          <w:trHeight w:val="185"/>
        </w:trPr>
        <w:tc>
          <w:tcPr>
            <w:tcW w:w="7720" w:type="dxa"/>
            <w:vAlign w:val="bottom"/>
            <w:gridSpan w:val="2"/>
          </w:tcPr>
          <w:p>
            <w:pPr>
              <w:ind w:left="20"/>
              <w:spacing w:after="0"/>
              <w:rPr>
                <w:sz w:val="20"/>
                <w:szCs w:val="20"/>
                <w:color w:val="auto"/>
              </w:rPr>
            </w:pPr>
            <w:r>
              <w:rPr>
                <w:rFonts w:ascii="Arial" w:cs="Arial" w:eastAsia="Arial" w:hAnsi="Arial"/>
                <w:sz w:val="15"/>
                <w:szCs w:val="15"/>
                <w:b w:val="1"/>
                <w:bCs w:val="1"/>
                <w:color w:val="auto"/>
              </w:rPr>
              <w:t>SUPPLEMENTARY CASH FLOW DATA:</w:t>
            </w: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Income taxes paid (received), net</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(29,811)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38,419</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Interest paid on borrowings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19,792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12,594</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Accrued purchase of common stock</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32,356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4,785</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Accrued additions to property and equipment</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4,704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6,273</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New operating right of use assets and related lease liabilities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52,265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29,371</w:t>
            </w:r>
          </w:p>
        </w:tc>
      </w:tr>
      <w:tr>
        <w:trPr>
          <w:trHeight w:val="238"/>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Accrued dividends payable to common shareholders</w:t>
            </w:r>
          </w:p>
        </w:tc>
        <w:tc>
          <w:tcPr>
            <w:tcW w:w="5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46,100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47,940</w:t>
            </w:r>
          </w:p>
        </w:tc>
      </w:tr>
      <w:tr>
        <w:trPr>
          <w:trHeight w:val="20"/>
        </w:trPr>
        <w:tc>
          <w:tcPr>
            <w:tcW w:w="7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607060</wp:posOffset>
            </wp:positionV>
            <wp:extent cx="220980" cy="122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34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FY2023 Form 10-Q</w:t>
      </w:r>
      <w:r>
        <w:rPr>
          <w:sz w:val="20"/>
          <w:szCs w:val="20"/>
          <w:color w:val="auto"/>
        </w:rPr>
        <w:tab/>
      </w:r>
      <w:r>
        <w:rPr>
          <w:rFonts w:ascii="Arial" w:cs="Arial" w:eastAsia="Arial" w:hAnsi="Arial"/>
          <w:sz w:val="10"/>
          <w:szCs w:val="10"/>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460" w:type="dxa"/>
            <w:vAlign w:val="bottom"/>
            <w:tcBorders>
              <w:top w:val="single" w:sz="8" w:color="auto"/>
              <w:bottom w:val="single" w:sz="8" w:color="auto"/>
            </w:tcBorders>
            <w:gridSpan w:val="13"/>
          </w:tcPr>
          <w:p>
            <w:pPr>
              <w:ind w:left="20"/>
              <w:spacing w:after="0"/>
              <w:rPr>
                <w:sz w:val="20"/>
                <w:szCs w:val="20"/>
                <w:color w:val="auto"/>
              </w:rPr>
            </w:pPr>
            <w:r>
              <w:rPr>
                <w:rFonts w:ascii="Arial" w:cs="Arial" w:eastAsia="Arial" w:hAnsi="Arial"/>
                <w:sz w:val="24"/>
                <w:szCs w:val="24"/>
                <w:b w:val="1"/>
                <w:bCs w:val="1"/>
                <w:color w:val="auto"/>
              </w:rPr>
              <w:t>CONSOLIDATED STATEMENTS OF STOCKHOLDERS' EQUITY</w:t>
            </w: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4"/>
                <w:szCs w:val="14"/>
                <w:color w:val="auto"/>
                <w:w w:val="97"/>
              </w:rPr>
              <w:t>(amounts in 000s, except per share amounts)</w:t>
            </w:r>
          </w:p>
        </w:tc>
        <w:tc>
          <w:tcPr>
            <w:tcW w:w="0" w:type="dxa"/>
            <w:vAlign w:val="bottom"/>
          </w:tcPr>
          <w:p>
            <w:pPr>
              <w:spacing w:after="0"/>
              <w:rPr>
                <w:sz w:val="1"/>
                <w:szCs w:val="1"/>
                <w:color w:val="auto"/>
              </w:rPr>
            </w:pPr>
          </w:p>
        </w:tc>
      </w:tr>
      <w:tr>
        <w:trPr>
          <w:trHeight w:val="289"/>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Retained</w:t>
            </w:r>
          </w:p>
        </w:tc>
        <w:tc>
          <w:tcPr>
            <w:tcW w:w="18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3"/>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100"/>
              <w:spacing w:after="0" w:line="114" w:lineRule="exact"/>
              <w:rPr>
                <w:sz w:val="20"/>
                <w:szCs w:val="20"/>
                <w:color w:val="auto"/>
              </w:rPr>
            </w:pPr>
            <w:r>
              <w:rPr>
                <w:rFonts w:ascii="Arial" w:cs="Arial" w:eastAsia="Arial" w:hAnsi="Arial"/>
                <w:sz w:val="13"/>
                <w:szCs w:val="13"/>
                <w:color w:val="auto"/>
              </w:rPr>
              <w:t>Paid-in</w:t>
            </w:r>
          </w:p>
        </w:tc>
        <w:tc>
          <w:tcPr>
            <w:tcW w:w="180" w:type="dxa"/>
            <w:vAlign w:val="bottom"/>
          </w:tcPr>
          <w:p>
            <w:pPr>
              <w:spacing w:after="0"/>
              <w:rPr>
                <w:sz w:val="9"/>
                <w:szCs w:val="9"/>
                <w:color w:val="auto"/>
              </w:rPr>
            </w:pPr>
          </w:p>
        </w:tc>
        <w:tc>
          <w:tcPr>
            <w:tcW w:w="1160" w:type="dxa"/>
            <w:vAlign w:val="bottom"/>
            <w:gridSpan w:val="2"/>
          </w:tcPr>
          <w:p>
            <w:pPr>
              <w:jc w:val="right"/>
              <w:ind w:right="120"/>
              <w:spacing w:after="0" w:line="114" w:lineRule="exact"/>
              <w:rPr>
                <w:sz w:val="20"/>
                <w:szCs w:val="20"/>
                <w:color w:val="auto"/>
              </w:rPr>
            </w:pPr>
            <w:r>
              <w:rPr>
                <w:rFonts w:ascii="Arial" w:cs="Arial" w:eastAsia="Arial" w:hAnsi="Arial"/>
                <w:sz w:val="13"/>
                <w:szCs w:val="13"/>
                <w:color w:val="auto"/>
              </w:rPr>
              <w:t>Comprehensive</w:t>
            </w:r>
          </w:p>
        </w:tc>
        <w:tc>
          <w:tcPr>
            <w:tcW w:w="180" w:type="dxa"/>
            <w:vAlign w:val="bottom"/>
          </w:tcPr>
          <w:p>
            <w:pPr>
              <w:spacing w:after="0"/>
              <w:rPr>
                <w:sz w:val="9"/>
                <w:szCs w:val="9"/>
                <w:color w:val="auto"/>
              </w:rPr>
            </w:pPr>
          </w:p>
        </w:tc>
        <w:tc>
          <w:tcPr>
            <w:tcW w:w="800" w:type="dxa"/>
            <w:vAlign w:val="bottom"/>
            <w:gridSpan w:val="2"/>
          </w:tcPr>
          <w:p>
            <w:pPr>
              <w:ind w:left="120"/>
              <w:spacing w:after="0" w:line="114" w:lineRule="exact"/>
              <w:rPr>
                <w:sz w:val="20"/>
                <w:szCs w:val="20"/>
                <w:color w:val="auto"/>
              </w:rPr>
            </w:pPr>
            <w:r>
              <w:rPr>
                <w:rFonts w:ascii="Arial" w:cs="Arial" w:eastAsia="Arial" w:hAnsi="Arial"/>
                <w:sz w:val="13"/>
                <w:szCs w:val="13"/>
                <w:color w:val="auto"/>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88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r>
              <w:rPr>
                <w:rFonts w:ascii="Arial" w:cs="Arial" w:eastAsia="Arial" w:hAnsi="Arial"/>
                <w:sz w:val="8"/>
                <w:szCs w:val="8"/>
                <w:color w:val="auto"/>
              </w:rPr>
              <w:t>(1)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193,571</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1,936</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772,182</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520"/>
              <w:spacing w:after="0"/>
              <w:rPr>
                <w:sz w:val="20"/>
                <w:szCs w:val="20"/>
                <w:color w:val="auto"/>
              </w:rPr>
            </w:pPr>
            <w:r>
              <w:rPr>
                <w:rFonts w:ascii="Arial" w:cs="Arial" w:eastAsia="Arial" w:hAnsi="Arial"/>
                <w:sz w:val="14"/>
                <w:szCs w:val="14"/>
                <w:b w:val="1"/>
                <w:bCs w:val="1"/>
                <w:color w:val="auto"/>
                <w:w w:val="99"/>
              </w:rPr>
              <w:t>(21,645)</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120,405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(33,641)</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(661,247)</w:t>
            </w:r>
          </w:p>
        </w:tc>
        <w:tc>
          <w:tcPr>
            <w:tcW w:w="80" w:type="dxa"/>
            <w:vAlign w:val="bottom"/>
          </w:tcPr>
          <w:p>
            <w:pPr>
              <w:spacing w:after="0"/>
              <w:rPr>
                <w:sz w:val="16"/>
                <w:szCs w:val="16"/>
                <w:color w:val="auto"/>
              </w:rPr>
            </w:pPr>
          </w:p>
        </w:tc>
        <w:tc>
          <w:tcPr>
            <w:tcW w:w="18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211,631</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(168,421)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(168,421)</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4"/>
                <w:szCs w:val="14"/>
                <w:b w:val="1"/>
                <w:bCs w:val="1"/>
                <w:color w:val="auto"/>
                <w:w w:val="99"/>
              </w:rPr>
              <w:t>(32,345)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(32,345)</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5,630</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(15,276)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(742)</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805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15,839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(15,432)</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(4,927)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(216,813)</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(219,769)</w:t>
            </w:r>
          </w:p>
        </w:tc>
        <w:tc>
          <w:tcPr>
            <w:tcW w:w="0" w:type="dxa"/>
            <w:vAlign w:val="bottom"/>
          </w:tcPr>
          <w:p>
            <w:pPr>
              <w:spacing w:after="0"/>
              <w:rPr>
                <w:sz w:val="1"/>
                <w:szCs w:val="1"/>
                <w:color w:val="auto"/>
              </w:rPr>
            </w:pPr>
          </w:p>
        </w:tc>
      </w:tr>
      <w:tr>
        <w:trPr>
          <w:trHeight w:val="19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$0.29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(46,100)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(46,100)</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188,644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1,887</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759,629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w w:val="99"/>
              </w:rPr>
              <w:t>(53,990)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(311,671)</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(33,177)</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(660,840)</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(264,985)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7138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Retained</w:t>
            </w:r>
          </w:p>
        </w:tc>
        <w:tc>
          <w:tcPr>
            <w:tcW w:w="1920" w:type="dxa"/>
            <w:vAlign w:val="bottom"/>
            <w:gridSpan w:val="5"/>
          </w:tcPr>
          <w:p>
            <w:pPr>
              <w:ind w:left="46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13"/>
        </w:trPr>
        <w:tc>
          <w:tcPr>
            <w:tcW w:w="3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100"/>
              <w:spacing w:after="0" w:line="113" w:lineRule="exact"/>
              <w:rPr>
                <w:sz w:val="20"/>
                <w:szCs w:val="20"/>
                <w:color w:val="auto"/>
              </w:rPr>
            </w:pPr>
            <w:r>
              <w:rPr>
                <w:rFonts w:ascii="Arial" w:cs="Arial" w:eastAsia="Arial" w:hAnsi="Arial"/>
                <w:sz w:val="13"/>
                <w:szCs w:val="13"/>
                <w:color w:val="auto"/>
              </w:rPr>
              <w:t>Paid-in</w:t>
            </w:r>
          </w:p>
        </w:tc>
        <w:tc>
          <w:tcPr>
            <w:tcW w:w="160" w:type="dxa"/>
            <w:vAlign w:val="bottom"/>
          </w:tcPr>
          <w:p>
            <w:pPr>
              <w:spacing w:after="0"/>
              <w:rPr>
                <w:sz w:val="9"/>
                <w:szCs w:val="9"/>
                <w:color w:val="auto"/>
              </w:rPr>
            </w:pPr>
          </w:p>
        </w:tc>
        <w:tc>
          <w:tcPr>
            <w:tcW w:w="1160" w:type="dxa"/>
            <w:vAlign w:val="bottom"/>
            <w:gridSpan w:val="2"/>
          </w:tcPr>
          <w:p>
            <w:pPr>
              <w:jc w:val="right"/>
              <w:ind w:right="100"/>
              <w:spacing w:after="0" w:line="113" w:lineRule="exact"/>
              <w:rPr>
                <w:sz w:val="20"/>
                <w:szCs w:val="20"/>
                <w:color w:val="auto"/>
              </w:rPr>
            </w:pPr>
            <w:r>
              <w:rPr>
                <w:rFonts w:ascii="Arial" w:cs="Arial" w:eastAsia="Arial" w:hAnsi="Arial"/>
                <w:sz w:val="13"/>
                <w:szCs w:val="13"/>
                <w:color w:val="auto"/>
              </w:rPr>
              <w:t>Comprehensive</w:t>
            </w:r>
          </w:p>
        </w:tc>
        <w:tc>
          <w:tcPr>
            <w:tcW w:w="200" w:type="dxa"/>
            <w:vAlign w:val="bottom"/>
          </w:tcPr>
          <w:p>
            <w:pPr>
              <w:spacing w:after="0"/>
              <w:rPr>
                <w:sz w:val="9"/>
                <w:szCs w:val="9"/>
                <w:color w:val="auto"/>
              </w:rPr>
            </w:pPr>
          </w:p>
        </w:tc>
        <w:tc>
          <w:tcPr>
            <w:tcW w:w="7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Earnings</w:t>
            </w:r>
          </w:p>
        </w:tc>
        <w:tc>
          <w:tcPr>
            <w:tcW w:w="8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spacing w:after="0" w:line="113" w:lineRule="exact"/>
              <w:rPr>
                <w:sz w:val="20"/>
                <w:szCs w:val="20"/>
                <w:color w:val="auto"/>
              </w:rPr>
            </w:pPr>
            <w:r>
              <w:rPr>
                <w:rFonts w:ascii="Arial" w:cs="Arial" w:eastAsia="Arial" w:hAnsi="Arial"/>
                <w:sz w:val="13"/>
                <w:szCs w:val="13"/>
                <w:color w:val="auto"/>
              </w:rPr>
              <w:t>Stockholders’</w:t>
            </w:r>
          </w:p>
        </w:tc>
      </w:tr>
      <w:tr>
        <w:trPr>
          <w:trHeight w:val="184"/>
        </w:trPr>
        <w:tc>
          <w:tcPr>
            <w:tcW w:w="3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4"/>
                <w:szCs w:val="14"/>
                <w:color w:val="auto"/>
              </w:rPr>
              <w:t>Income (Loss)</w:t>
            </w:r>
            <w:r>
              <w:rPr>
                <w:rFonts w:ascii="Arial" w:cs="Arial" w:eastAsia="Arial" w:hAnsi="Arial"/>
                <w:sz w:val="17"/>
                <w:szCs w:val="17"/>
                <w:color w:val="auto"/>
                <w:vertAlign w:val="superscript"/>
              </w:rPr>
              <w:t>(1)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r>
      <w:tr>
        <w:trPr>
          <w:trHeight w:val="180"/>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2021</w:t>
            </w:r>
          </w:p>
        </w:tc>
        <w:tc>
          <w:tcPr>
            <w:tcW w:w="860" w:type="dxa"/>
            <w:vAlign w:val="bottom"/>
          </w:tcPr>
          <w:p>
            <w:pPr>
              <w:jc w:val="right"/>
              <w:spacing w:after="0"/>
              <w:rPr>
                <w:sz w:val="20"/>
                <w:szCs w:val="20"/>
                <w:color w:val="auto"/>
              </w:rPr>
            </w:pPr>
            <w:r>
              <w:rPr>
                <w:rFonts w:ascii="Arial" w:cs="Arial" w:eastAsia="Arial" w:hAnsi="Arial"/>
                <w:sz w:val="14"/>
                <w:szCs w:val="14"/>
                <w:color w:val="auto"/>
              </w:rPr>
              <w:t>216,656</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5"/>
                <w:szCs w:val="15"/>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779,465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286,694</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(34,842)</w:t>
            </w:r>
          </w:p>
        </w:tc>
        <w:tc>
          <w:tcPr>
            <w:tcW w:w="80" w:type="dxa"/>
            <w:vAlign w:val="bottom"/>
          </w:tcPr>
          <w:p>
            <w:pPr>
              <w:spacing w:after="0"/>
              <w:rPr>
                <w:sz w:val="15"/>
                <w:szCs w:val="15"/>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(680,356)</w:t>
            </w:r>
          </w:p>
        </w:tc>
        <w:tc>
          <w:tcPr>
            <w:tcW w:w="8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388,058</w:t>
            </w:r>
          </w:p>
        </w:tc>
      </w:tr>
      <w:tr>
        <w:trPr>
          <w:trHeight w:val="19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(151,601)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(151,601)</w:t>
            </w:r>
          </w:p>
        </w:tc>
      </w:tr>
      <w:tr>
        <w:trPr>
          <w:trHeight w:val="188"/>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(11,177)</w:t>
            </w:r>
          </w:p>
        </w:tc>
      </w:tr>
      <w:tr>
        <w:trPr>
          <w:trHeight w:val="19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w:t>
            </w:r>
          </w:p>
        </w:tc>
      </w:tr>
      <w:tr>
        <w:trPr>
          <w:trHeight w:val="188"/>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705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3,146</w:t>
            </w:r>
          </w:p>
        </w:tc>
      </w:tr>
      <w:tr>
        <w:trPr>
          <w:trHeight w:val="19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17"/>
                <w:szCs w:val="17"/>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w:t>
            </w:r>
          </w:p>
        </w:tc>
      </w:tr>
      <w:tr>
        <w:trPr>
          <w:trHeight w:val="188"/>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(6,802)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(161,619)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(165,768)</w:t>
            </w:r>
          </w:p>
        </w:tc>
      </w:tr>
      <w:tr>
        <w:trPr>
          <w:trHeight w:val="19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(47,940)</w:t>
            </w:r>
          </w:p>
        </w:tc>
      </w:tr>
      <w:tr>
        <w:trPr>
          <w:trHeight w:val="229"/>
        </w:trPr>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209,854</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770,683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(74,757)</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(34,342)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(671,408)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15,528</w:t>
            </w:r>
          </w:p>
        </w:tc>
      </w:tr>
      <w:tr>
        <w:trPr>
          <w:trHeight w:val="20"/>
        </w:trPr>
        <w:tc>
          <w:tcPr>
            <w:tcW w:w="31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r>
    </w:tbl>
    <w:p>
      <w:pPr>
        <w:spacing w:after="0" w:line="69" w:lineRule="exact"/>
        <w:rPr>
          <w:sz w:val="20"/>
          <w:szCs w:val="20"/>
          <w:color w:val="auto"/>
        </w:rPr>
      </w:pPr>
    </w:p>
    <w:p>
      <w:pPr>
        <w:ind w:left="140" w:hanging="137"/>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The balance of our accumulated other comprehensive income (loss) consists of foreign currency translation adjustments.</w:t>
      </w:r>
    </w:p>
    <w:p>
      <w:pPr>
        <w:spacing w:after="0" w:line="3" w:lineRule="exact"/>
        <w:rPr>
          <w:rFonts w:ascii="Arial" w:cs="Arial" w:eastAsia="Arial" w:hAnsi="Arial"/>
          <w:sz w:val="9"/>
          <w:szCs w:val="9"/>
          <w:color w:val="auto"/>
        </w:rPr>
      </w:pPr>
    </w:p>
    <w:p>
      <w:pPr>
        <w:ind w:left="140" w:hanging="137"/>
        <w:spacing w:after="0" w:line="218"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Represents shares swapped or surrendered to us in connection with the vesting or exercise of stock-based awards.</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655955</wp:posOffset>
            </wp:positionV>
            <wp:extent cx="155575" cy="122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57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173"/>
        <w:spacing w:after="0"/>
        <w:tabs>
          <w:tab w:leader="none" w:pos="26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6960" w:val="left"/>
        </w:tabs>
        <w:rPr>
          <w:sz w:val="20"/>
          <w:szCs w:val="20"/>
          <w:color w:val="auto"/>
        </w:rPr>
      </w:pPr>
      <w:r>
        <w:rPr>
          <w:rFonts w:ascii="Arial" w:cs="Arial" w:eastAsia="Arial" w:hAnsi="Arial"/>
          <w:sz w:val="24"/>
          <w:szCs w:val="24"/>
          <w:b w:val="1"/>
          <w:bCs w:val="1"/>
          <w:color w:val="14AA40"/>
        </w:rPr>
        <w:t>NOTES TO CONSOLIDATED FINANCIAL STATEMENTS</w:t>
      </w:r>
      <w:r>
        <w:rPr>
          <w:sz w:val="20"/>
          <w:szCs w:val="20"/>
          <w:color w:val="auto"/>
        </w:rPr>
        <w:tab/>
      </w:r>
      <w:r>
        <w:rPr>
          <w:rFonts w:ascii="Arial" w:cs="Arial" w:eastAsia="Arial" w:hAnsi="Arial"/>
          <w:sz w:val="20"/>
          <w:szCs w:val="20"/>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1: SUMMARY OF SIGNIFICANT ACCOUNTING POLICIES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consolidated balance sheets as of September 30, 2022 and June 30, 2022, the consolidated statements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and comprehensive loss for the three months ended September 30, 2022 and 2021, the consolidated statements of cash flows for the three months ended September 30, 2022 and 2021, and the consolidated statements of stockholders' equity for the three months ended September 30, 2022 and 2021 have been prepared by the Company, without audit. In the opinion of management, all adjustments, which include only normal recurring adjustments, necessary to present fairly the financial position, results of operations, and cash flows as of September 30, 2022 and 2021 and for all periods presented, have been made.</w:t>
      </w:r>
    </w:p>
    <w:p>
      <w:pPr>
        <w:spacing w:after="0" w:line="90"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"H&amp;R Block," "the Company," "we," "our," and "us" are used interchangeably to refer to H&amp;R Block, Inc., to H&amp;R Block, Inc. and its subsidiaries, or to H&amp;R Block, Inc.'s operating subsidiaries, as appropriate to the context.</w:t>
      </w:r>
    </w:p>
    <w:p>
      <w:pPr>
        <w:spacing w:after="0" w:line="8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2022 Annual Report to Shareholders on Form 10-K. All amounts presented herein as of June 30, 2022 or for the year then ended are derived from our Annual Report on Form 10-K.</w:t>
      </w:r>
    </w:p>
    <w:p>
      <w:pPr>
        <w:spacing w:after="0" w:line="71" w:lineRule="exact"/>
        <w:rPr>
          <w:sz w:val="20"/>
          <w:szCs w:val="20"/>
          <w:color w:val="auto"/>
        </w:rPr>
      </w:pPr>
    </w:p>
    <w:p>
      <w:pPr>
        <w:jc w:val="both"/>
        <w:ind w:firstLine="193"/>
        <w:spacing w:after="0" w:line="260" w:lineRule="auto"/>
        <w:rPr>
          <w:sz w:val="20"/>
          <w:szCs w:val="20"/>
          <w:color w:val="auto"/>
        </w:rPr>
      </w:pPr>
      <w:r>
        <w:rPr>
          <w:rFonts w:ascii="Arial" w:cs="Arial" w:eastAsia="Arial" w:hAnsi="Arial"/>
          <w:sz w:val="17"/>
          <w:szCs w:val="17"/>
          <w:b w:val="1"/>
          <w:bCs w:val="1"/>
          <w:color w:val="auto"/>
        </w:rPr>
        <w:t xml:space="preserve">MANAGEMENT ESTIMATES </w:t>
      </w:r>
      <w:r>
        <w:rPr>
          <w:rFonts w:ascii="Arial" w:cs="Arial" w:eastAsia="Arial" w:hAnsi="Arial"/>
          <w:sz w:val="17"/>
          <w:szCs w:val="17"/>
          <w:color w:val="auto"/>
        </w:rPr>
        <w:t>– The preparation of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70"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b w:val="1"/>
          <w:bCs w:val="1"/>
          <w:color w:val="auto"/>
        </w:rPr>
        <w:t xml:space="preserve">SEASONALITY OF BUSINESS </w:t>
      </w:r>
      <w:r>
        <w:rPr>
          <w:rFonts w:ascii="Arial" w:cs="Arial" w:eastAsia="Arial" w:hAnsi="Arial"/>
          <w:sz w:val="17"/>
          <w:szCs w:val="17"/>
          <w:color w:val="auto"/>
        </w:rPr>
        <w:t>– Our operating revenues are seasonal in nature with peak revenues typically occurring in the months of</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through April. Therefore, results for interim periods are not indicative of results to be expected for the full year.</w:t>
      </w:r>
    </w:p>
    <w:p>
      <w:pPr>
        <w:spacing w:after="0" w:line="43"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Our discontinued operations include the results of operations of Sand Canyon Corporation, previously known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Option One Mortgage Corporation (including its subsidiaries, collectively, SCC), which exited its mortgage business in fiscal year 2008. See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9</w:t>
      </w:r>
      <w:r>
        <w:rPr>
          <w:rFonts w:ascii="Arial" w:cs="Arial" w:eastAsia="Arial" w:hAnsi="Arial"/>
          <w:sz w:val="17"/>
          <w:szCs w:val="17"/>
          <w:color w:val="0000FF"/>
        </w:rPr>
        <w:t xml:space="preserve"> </w:t>
      </w:r>
      <w:r>
        <w:rPr>
          <w:rFonts w:ascii="Arial" w:cs="Arial" w:eastAsia="Arial" w:hAnsi="Arial"/>
          <w:sz w:val="17"/>
          <w:szCs w:val="17"/>
          <w:color w:val="000000"/>
        </w:rPr>
        <w:t>for additional information on loss contingencies related to our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591185</wp:posOffset>
            </wp:positionV>
            <wp:extent cx="220980"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sz w:val="20"/>
          <w:szCs w:val="20"/>
          <w:color w:val="auto"/>
        </w:rPr>
        <w:tab/>
      </w:r>
      <w:r>
        <w:rPr>
          <w:rFonts w:ascii="Arial" w:cs="Arial" w:eastAsia="Arial" w:hAnsi="Arial"/>
          <w:sz w:val="10"/>
          <w:szCs w:val="10"/>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2: REVENUE RECOGNITION</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5"/>
                <w:szCs w:val="15"/>
                <w:color w:val="auto"/>
              </w:rPr>
              <w:t>Three months ended September 30,</w:t>
            </w:r>
          </w:p>
        </w:tc>
      </w:tr>
      <w:tr>
        <w:trPr>
          <w:trHeight w:val="201"/>
        </w:trPr>
        <w:tc>
          <w:tcPr>
            <w:tcW w:w="7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8"/>
        </w:trPr>
        <w:tc>
          <w:tcPr>
            <w:tcW w:w="776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assisted tax preparation</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36,312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33,607</w:t>
            </w:r>
          </w:p>
        </w:tc>
      </w:tr>
      <w:tr>
        <w:trPr>
          <w:trHeight w:val="205"/>
        </w:trPr>
        <w:tc>
          <w:tcPr>
            <w:tcW w:w="7760" w:type="dxa"/>
            <w:vAlign w:val="bottom"/>
            <w:gridSpan w:val="2"/>
          </w:tcPr>
          <w:p>
            <w:pPr>
              <w:ind w:left="140"/>
              <w:spacing w:after="0"/>
              <w:rPr>
                <w:sz w:val="20"/>
                <w:szCs w:val="20"/>
                <w:color w:val="auto"/>
              </w:rPr>
            </w:pPr>
            <w:r>
              <w:rPr>
                <w:rFonts w:ascii="Arial" w:cs="Arial" w:eastAsia="Arial" w:hAnsi="Arial"/>
                <w:sz w:val="15"/>
                <w:szCs w:val="15"/>
                <w:color w:val="auto"/>
              </w:rPr>
              <w:t>U.S. royalties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6,228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7,358</w:t>
            </w:r>
          </w:p>
        </w:tc>
      </w:tr>
      <w:tr>
        <w:trPr>
          <w:trHeight w:val="207"/>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DIY tax preparation</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3,158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4,061</w:t>
            </w:r>
          </w:p>
        </w:tc>
      </w:tr>
      <w:tr>
        <w:trPr>
          <w:trHeight w:val="205"/>
        </w:trPr>
        <w:tc>
          <w:tcPr>
            <w:tcW w:w="7760" w:type="dxa"/>
            <w:vAlign w:val="bottom"/>
            <w:gridSpan w:val="2"/>
          </w:tcPr>
          <w:p>
            <w:pPr>
              <w:ind w:left="140"/>
              <w:spacing w:after="0"/>
              <w:rPr>
                <w:sz w:val="20"/>
                <w:szCs w:val="20"/>
                <w:color w:val="auto"/>
              </w:rPr>
            </w:pPr>
            <w:r>
              <w:rPr>
                <w:rFonts w:ascii="Arial" w:cs="Arial" w:eastAsia="Arial" w:hAnsi="Arial"/>
                <w:sz w:val="15"/>
                <w:szCs w:val="15"/>
                <w:color w:val="auto"/>
              </w:rPr>
              <w:t>Refund Transfers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1,284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1,665</w:t>
            </w:r>
          </w:p>
        </w:tc>
      </w:tr>
      <w:tr>
        <w:trPr>
          <w:trHeight w:val="207"/>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Peace of Mind® Extended Service Plan</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24,770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24,836</w:t>
            </w:r>
          </w:p>
        </w:tc>
      </w:tr>
      <w:tr>
        <w:trPr>
          <w:trHeight w:val="205"/>
        </w:trPr>
        <w:tc>
          <w:tcPr>
            <w:tcW w:w="7760" w:type="dxa"/>
            <w:vAlign w:val="bottom"/>
            <w:gridSpan w:val="2"/>
          </w:tcPr>
          <w:p>
            <w:pPr>
              <w:ind w:left="140"/>
              <w:spacing w:after="0"/>
              <w:rPr>
                <w:sz w:val="20"/>
                <w:szCs w:val="20"/>
                <w:color w:val="auto"/>
              </w:rPr>
            </w:pPr>
            <w:r>
              <w:rPr>
                <w:rFonts w:ascii="Arial" w:cs="Arial" w:eastAsia="Arial" w:hAnsi="Arial"/>
                <w:sz w:val="15"/>
                <w:szCs w:val="15"/>
                <w:color w:val="auto"/>
              </w:rPr>
              <w:t>Tax Identity Shield®</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5,167</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5,153</w:t>
            </w:r>
          </w:p>
        </w:tc>
      </w:tr>
      <w:tr>
        <w:trPr>
          <w:trHeight w:val="207"/>
        </w:trPr>
        <w:tc>
          <w:tcPr>
            <w:tcW w:w="776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11,612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28,258</w:t>
            </w:r>
          </w:p>
        </w:tc>
      </w:tr>
      <w:tr>
        <w:trPr>
          <w:trHeight w:val="206"/>
        </w:trPr>
        <w:tc>
          <w:tcPr>
            <w:tcW w:w="776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Interest and fee income on Emerald Advance</w:t>
            </w:r>
            <w:r>
              <w:rPr>
                <w:rFonts w:ascii="Arial" w:cs="Arial" w:eastAsia="Arial" w:hAnsi="Arial"/>
                <w:sz w:val="20"/>
                <w:szCs w:val="20"/>
                <w:color w:val="auto"/>
                <w:vertAlign w:val="superscript"/>
              </w:rPr>
              <w:t>SM</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614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479</w:t>
            </w:r>
          </w:p>
        </w:tc>
      </w:tr>
      <w:tr>
        <w:trPr>
          <w:trHeight w:val="206"/>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58,834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58,325</w:t>
            </w:r>
          </w:p>
        </w:tc>
      </w:tr>
      <w:tr>
        <w:trPr>
          <w:trHeight w:val="205"/>
        </w:trPr>
        <w:tc>
          <w:tcPr>
            <w:tcW w:w="7760" w:type="dxa"/>
            <w:vAlign w:val="bottom"/>
            <w:gridSpan w:val="2"/>
          </w:tcPr>
          <w:p>
            <w:pPr>
              <w:ind w:left="140"/>
              <w:spacing w:after="0"/>
              <w:rPr>
                <w:sz w:val="20"/>
                <w:szCs w:val="20"/>
                <w:color w:val="auto"/>
              </w:rPr>
            </w:pPr>
            <w:r>
              <w:rPr>
                <w:rFonts w:ascii="Arial" w:cs="Arial" w:eastAsia="Arial" w:hAnsi="Arial"/>
                <w:sz w:val="15"/>
                <w:szCs w:val="15"/>
                <w:color w:val="auto"/>
              </w:rPr>
              <w:t>Wave</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22,646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19,137</w:t>
            </w:r>
          </w:p>
        </w:tc>
      </w:tr>
      <w:tr>
        <w:trPr>
          <w:trHeight w:val="206"/>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9,360</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9,745</w:t>
            </w:r>
          </w:p>
        </w:tc>
      </w:tr>
      <w:tr>
        <w:trPr>
          <w:trHeight w:val="237"/>
        </w:trPr>
        <w:tc>
          <w:tcPr>
            <w:tcW w:w="7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revenues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179,985</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192,624</w:t>
            </w:r>
          </w:p>
        </w:tc>
      </w:tr>
      <w:tr>
        <w:trPr>
          <w:trHeight w:val="20"/>
        </w:trPr>
        <w:tc>
          <w:tcPr>
            <w:tcW w:w="76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Changes in the balances of deferred revenue and wages for our Peace of Mind® Extended Service Plan (POM)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POM</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Revenue</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Wages</w:t>
            </w:r>
          </w:p>
        </w:tc>
      </w:tr>
      <w:tr>
        <w:trPr>
          <w:trHeight w:val="19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4760" w:type="dxa"/>
            <w:vAlign w:val="bottom"/>
            <w:gridSpan w:val="2"/>
          </w:tcPr>
          <w:p>
            <w:pPr>
              <w:ind w:left="20"/>
              <w:spacing w:after="0"/>
              <w:rPr>
                <w:sz w:val="20"/>
                <w:szCs w:val="20"/>
                <w:color w:val="auto"/>
              </w:rPr>
            </w:pPr>
            <w:r>
              <w:rPr>
                <w:rFonts w:ascii="Arial" w:cs="Arial" w:eastAsia="Arial" w:hAnsi="Arial"/>
                <w:sz w:val="15"/>
                <w:szCs w:val="15"/>
                <w:color w:val="auto"/>
              </w:rPr>
              <w:t>Balance, beginning of the period</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173,486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172,759</w:t>
            </w:r>
          </w:p>
        </w:tc>
        <w:tc>
          <w:tcPr>
            <w:tcW w:w="12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19,495</w:t>
            </w:r>
          </w:p>
        </w:tc>
        <w:tc>
          <w:tcPr>
            <w:tcW w:w="12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17,867</w:t>
            </w:r>
          </w:p>
        </w:tc>
      </w:tr>
      <w:tr>
        <w:trPr>
          <w:trHeight w:val="20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Amounts deferred</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5"/>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Amounts recognized on previous deferrals</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(28,703)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(28,948)</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(2,988)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(2,847)</w:t>
            </w:r>
          </w:p>
        </w:tc>
      </w:tr>
      <w:tr>
        <w:trPr>
          <w:trHeight w:val="20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end of the period</w:t>
            </w: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146,143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145,303</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16,512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15,027</w:t>
            </w:r>
          </w:p>
        </w:tc>
      </w:tr>
      <w:tr>
        <w:trPr>
          <w:trHeight w:val="32"/>
        </w:trPr>
        <w:tc>
          <w:tcPr>
            <w:tcW w:w="4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As of September 30, 2022, deferred revenue related to POM was $146.1 million. We expect that $97.0 million will be recognized over the next twelve months, while the remaining balance will be recognized over the following five years.</w:t>
      </w:r>
    </w:p>
    <w:p>
      <w:pPr>
        <w:spacing w:after="0" w:line="84"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As of September 30, 2022 and 2021, Tax Identity Shield® (TIS) deferred revenue was $21.2 million and $23.5 million, respectively. Deferred revenue related to TIS was $25.8 million and $28.3 million as of June 30, 2022 and June 30, 2021, respectively. All deferred revenue related to TIS will be recognized by April 2023.</w:t>
      </w:r>
    </w:p>
    <w:p>
      <w:pPr>
        <w:spacing w:after="0" w:line="61"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3: EARNINGS PER SHARE AND STOCKHOLDERS' EQUITY</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 Basic and diluted earnings (loss) per share is computed using the two-class method. The two-class method is an</w:t>
      </w:r>
      <w:r>
        <w:rPr>
          <w:rFonts w:ascii="Arial" w:cs="Arial" w:eastAsia="Arial" w:hAnsi="Arial"/>
          <w:sz w:val="17"/>
          <w:szCs w:val="17"/>
          <w:b w:val="1"/>
          <w:bCs w:val="1"/>
          <w:color w:val="auto"/>
        </w:rPr>
        <w:t xml:space="preserve"> </w:t>
      </w:r>
      <w:r>
        <w:rPr>
          <w:rFonts w:ascii="Arial" w:cs="Arial" w:eastAsia="Arial" w:hAnsi="Arial"/>
          <w:sz w:val="17"/>
          <w:szCs w:val="17"/>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4.4 million shares and 5.3 million shares for the three months ended September 30, 2022 and 2021, respectively, as the effect would be antidilutive due to the net loss from continuing operations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606425</wp:posOffset>
            </wp:positionV>
            <wp:extent cx="212725"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hanging="228"/>
        <w:spacing w:after="0"/>
        <w:tabs>
          <w:tab w:leader="none" w:pos="360" w:val="left"/>
        </w:tabs>
        <w:numPr>
          <w:ilvl w:val="0"/>
          <w:numId w:val="6"/>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computations of basic and diluted earnings (loss) per share from continuing operations are as follows:</w:t>
      </w:r>
    </w:p>
    <w:p>
      <w:pPr>
        <w:spacing w:after="0" w:line="145"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(in 000s,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4"/>
          </w:tcPr>
          <w:p>
            <w:pPr>
              <w:jc w:val="right"/>
              <w:ind w:right="423"/>
              <w:spacing w:after="0"/>
              <w:rPr>
                <w:sz w:val="20"/>
                <w:szCs w:val="20"/>
                <w:color w:val="auto"/>
              </w:rPr>
            </w:pPr>
            <w:r>
              <w:rPr>
                <w:rFonts w:ascii="Arial" w:cs="Arial" w:eastAsia="Arial" w:hAnsi="Arial"/>
                <w:sz w:val="15"/>
                <w:szCs w:val="15"/>
                <w:color w:val="auto"/>
              </w:rPr>
              <w:t>Three months ended September 30,</w:t>
            </w:r>
          </w:p>
        </w:tc>
      </w:tr>
      <w:tr>
        <w:trPr>
          <w:trHeight w:val="201"/>
        </w:trPr>
        <w:tc>
          <w:tcPr>
            <w:tcW w:w="7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7760" w:type="dxa"/>
            <w:vAlign w:val="bottom"/>
          </w:tcPr>
          <w:p>
            <w:pPr>
              <w:ind w:left="20"/>
              <w:spacing w:after="0"/>
              <w:rPr>
                <w:sz w:val="20"/>
                <w:szCs w:val="20"/>
                <w:color w:val="auto"/>
              </w:rPr>
            </w:pPr>
            <w:r>
              <w:rPr>
                <w:rFonts w:ascii="Arial" w:cs="Arial" w:eastAsia="Arial" w:hAnsi="Arial"/>
                <w:sz w:val="15"/>
                <w:szCs w:val="15"/>
                <w:color w:val="auto"/>
              </w:rPr>
              <w:t>Net loss from continuing operations attributable to shareholders</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(167,367)</w:t>
            </w:r>
          </w:p>
        </w:tc>
        <w:tc>
          <w:tcPr>
            <w:tcW w:w="12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(149,945)</w:t>
            </w:r>
          </w:p>
        </w:tc>
      </w:tr>
      <w:tr>
        <w:trPr>
          <w:trHeight w:val="206"/>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allocated to participating securities</w:t>
            </w: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(179)</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w:t>
            </w:r>
          </w:p>
        </w:tc>
      </w:tr>
      <w:tr>
        <w:trPr>
          <w:trHeight w:val="19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from continuing operations attributable to common shareholders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(167,546)</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(150,184)</w:t>
            </w:r>
          </w:p>
        </w:tc>
      </w:tr>
      <w:tr>
        <w:trPr>
          <w:trHeight w:val="200"/>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159,284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178,099</w:t>
            </w: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Potential dilutive shares</w:t>
            </w: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Dilutive weighted average common shares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159,284</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178,099</w:t>
            </w:r>
          </w:p>
        </w:tc>
      </w:tr>
      <w:tr>
        <w:trPr>
          <w:trHeight w:val="183"/>
        </w:trPr>
        <w:tc>
          <w:tcPr>
            <w:tcW w:w="7760" w:type="dxa"/>
            <w:vAlign w:val="bottom"/>
          </w:tcPr>
          <w:p>
            <w:pPr>
              <w:ind w:left="20"/>
              <w:spacing w:after="0"/>
              <w:rPr>
                <w:sz w:val="20"/>
                <w:szCs w:val="20"/>
                <w:color w:val="auto"/>
              </w:rPr>
            </w:pPr>
            <w:r>
              <w:rPr>
                <w:rFonts w:ascii="Arial" w:cs="Arial" w:eastAsia="Arial" w:hAnsi="Arial"/>
                <w:sz w:val="15"/>
                <w:szCs w:val="15"/>
                <w:color w:val="auto"/>
              </w:rPr>
              <w:t>Loss per share from continuing operations attributable to common shareholders:</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7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(0.84)</w:t>
            </w:r>
          </w:p>
        </w:tc>
      </w:tr>
      <w:tr>
        <w:trPr>
          <w:trHeight w:val="238"/>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Diluted</w:t>
            </w:r>
          </w:p>
        </w:tc>
        <w:tc>
          <w:tcPr>
            <w:tcW w:w="30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(1.05)</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(0.84)</w:t>
            </w:r>
          </w:p>
        </w:tc>
      </w:tr>
      <w:tr>
        <w:trPr>
          <w:trHeight w:val="20"/>
        </w:trPr>
        <w:tc>
          <w:tcPr>
            <w:tcW w:w="7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decrease in the weighted average shares outstanding is due to share repurchases completed in the current and prior fiscal years.</w:t>
      </w:r>
    </w:p>
    <w:p>
      <w:pPr>
        <w:spacing w:after="0" w:line="94"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During the three months ended September 30, 2022, we granted 0.9 million shares under our stock-based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plan. We granted awards of 1.4 million shares under our stock-based compensation plans during the three months ended September 30, 2021. Stock-based compensation expense of our continuing operations totaled $7.7 million for the three months ended September 30, 2022 and $6.8 million for the three months ended September 30, 2021. As of September 30, 2022, unrecognized compensation cost for stock options totaled $0.4 million, and for nonvested shares and units totaled $76.9 million.</w:t>
      </w:r>
    </w:p>
    <w:p>
      <w:pPr>
        <w:spacing w:after="0" w:line="60"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4: RECEIVABLES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Receivables, net of their related allowance,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5"/>
                <w:szCs w:val="15"/>
                <w:b w:val="1"/>
                <w:bCs w:val="1"/>
                <w:color w:val="auto"/>
              </w:rPr>
              <w:t>September 30, 2022</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color w:val="auto"/>
              </w:rPr>
              <w:t>June 30, 2022</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Arial" w:cs="Arial" w:eastAsia="Arial" w:hAnsi="Arial"/>
                <w:sz w:val="15"/>
                <w:szCs w:val="15"/>
                <w:color w:val="auto"/>
              </w:rPr>
              <w:t>Short-term</w:t>
            </w:r>
          </w:p>
        </w:tc>
        <w:tc>
          <w:tcPr>
            <w:tcW w:w="82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5"/>
                <w:szCs w:val="15"/>
                <w:color w:val="auto"/>
              </w:rPr>
              <w:t>Long-term</w:t>
            </w:r>
          </w:p>
        </w:tc>
        <w:tc>
          <w:tcPr>
            <w:tcW w:w="52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Arial" w:cs="Arial" w:eastAsia="Arial" w:hAnsi="Arial"/>
                <w:sz w:val="15"/>
                <w:szCs w:val="15"/>
                <w:color w:val="auto"/>
              </w:rPr>
              <w:t>Short-term</w:t>
            </w: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Long-term</w:t>
            </w:r>
          </w:p>
        </w:tc>
        <w:tc>
          <w:tcPr>
            <w:tcW w:w="0" w:type="dxa"/>
            <w:vAlign w:val="bottom"/>
          </w:tcPr>
          <w:p>
            <w:pPr>
              <w:spacing w:after="0"/>
              <w:rPr>
                <w:sz w:val="1"/>
                <w:szCs w:val="1"/>
                <w:color w:val="auto"/>
              </w:rPr>
            </w:pPr>
          </w:p>
        </w:tc>
      </w:tr>
      <w:tr>
        <w:trPr>
          <w:trHeight w:val="201"/>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Loans to franchisees</w:t>
            </w:r>
          </w:p>
        </w:tc>
        <w:tc>
          <w:tcPr>
            <w:tcW w:w="5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9,628</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ind w:right="6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23,054</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6,194</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ind w:right="50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22,036</w:t>
            </w:r>
          </w:p>
        </w:tc>
        <w:tc>
          <w:tcPr>
            <w:tcW w:w="0" w:type="dxa"/>
            <w:vAlign w:val="bottom"/>
          </w:tcPr>
          <w:p>
            <w:pPr>
              <w:spacing w:after="0"/>
              <w:rPr>
                <w:sz w:val="1"/>
                <w:szCs w:val="1"/>
                <w:color w:val="auto"/>
              </w:rPr>
            </w:pPr>
          </w:p>
        </w:tc>
      </w:tr>
      <w:tr>
        <w:trPr>
          <w:trHeight w:val="171"/>
        </w:trPr>
        <w:tc>
          <w:tcPr>
            <w:tcW w:w="42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5"/>
                <w:szCs w:val="15"/>
                <w:color w:val="auto"/>
              </w:rPr>
              <w:t>Receivables for U.S. assisted and DIY tax preparation and</w:t>
            </w:r>
          </w:p>
        </w:tc>
        <w:tc>
          <w:tcPr>
            <w:tcW w:w="5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14,104</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2,337</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related fees</w:t>
            </w:r>
          </w:p>
        </w:tc>
        <w:tc>
          <w:tcPr>
            <w:tcW w:w="5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18,893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w:t>
            </w:r>
          </w:p>
        </w:tc>
        <w:tc>
          <w:tcPr>
            <w:tcW w:w="0" w:type="dxa"/>
            <w:vAlign w:val="bottom"/>
          </w:tcPr>
          <w:p>
            <w:pPr>
              <w:spacing w:after="0"/>
              <w:rPr>
                <w:sz w:val="1"/>
                <w:szCs w:val="1"/>
                <w:color w:val="auto"/>
              </w:rPr>
            </w:pPr>
          </w:p>
        </w:tc>
      </w:tr>
      <w:tr>
        <w:trPr>
          <w:trHeight w:val="206"/>
        </w:trPr>
        <w:tc>
          <w:tcPr>
            <w:tcW w:w="42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H&amp;R Block's Instant Refund</w:t>
            </w:r>
            <w:r>
              <w:rPr>
                <w:rFonts w:ascii="Arial" w:cs="Arial" w:eastAsia="Arial" w:hAnsi="Arial"/>
                <w:sz w:val="20"/>
                <w:szCs w:val="20"/>
                <w:color w:val="auto"/>
                <w:vertAlign w:val="superscript"/>
              </w:rPr>
              <w:t>SM</w:t>
            </w:r>
            <w:r>
              <w:rPr>
                <w:rFonts w:ascii="Arial" w:cs="Arial" w:eastAsia="Arial" w:hAnsi="Arial"/>
                <w:sz w:val="15"/>
                <w:szCs w:val="15"/>
                <w:color w:val="auto"/>
              </w:rPr>
              <w:t xml:space="preserve"> receivables</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1,412</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3,491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H&amp;R Block Emerald Advance® lines of credit</w:t>
            </w: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6,800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7,098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6,691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8,825</w:t>
            </w:r>
          </w:p>
        </w:tc>
        <w:tc>
          <w:tcPr>
            <w:tcW w:w="0" w:type="dxa"/>
            <w:vAlign w:val="bottom"/>
          </w:tcPr>
          <w:p>
            <w:pPr>
              <w:spacing w:after="0"/>
              <w:rPr>
                <w:sz w:val="1"/>
                <w:szCs w:val="1"/>
                <w:color w:val="auto"/>
              </w:rPr>
            </w:pPr>
          </w:p>
        </w:tc>
      </w:tr>
      <w:tr>
        <w:trPr>
          <w:trHeight w:val="205"/>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Software receivables from retailers</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607</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3,992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Royalties and other receivables from franchisees</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6,208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5"/>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Wave payment processing receivables</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1,306</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1,393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20,970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1,679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14,111</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61,035</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34,335</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58,447</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Balances presented above as short-term are included in receivables, while the long-term portions are included in other noncurrent assets in the consolidated balance sheets.</w:t>
      </w:r>
    </w:p>
    <w:p>
      <w:pPr>
        <w:spacing w:after="0" w:line="6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b w:val="1"/>
          <w:bCs w:val="1"/>
          <w:color w:val="auto"/>
        </w:rPr>
        <w:t xml:space="preserve">LOANS TO FRANCHISEES </w:t>
      </w:r>
      <w:r>
        <w:rPr>
          <w:rFonts w:ascii="Arial" w:cs="Arial" w:eastAsia="Arial" w:hAnsi="Arial"/>
          <w:sz w:val="17"/>
          <w:szCs w:val="17"/>
          <w:color w:val="auto"/>
        </w:rPr>
        <w:t>– Franchisee loan balances consist of term loans made primarily to finance the purchase of franchises and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lines of credit primarily for the purpose of funding working capital needs. As of September 30, 2022 and June 30, 2022, loans with a principal balance more than 90 days past due, or on non-accrual status, are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591185</wp:posOffset>
            </wp:positionV>
            <wp:extent cx="220980"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sz w:val="20"/>
          <w:szCs w:val="20"/>
          <w:color w:val="auto"/>
        </w:rPr>
        <w:tab/>
      </w:r>
      <w:r>
        <w:rPr>
          <w:rFonts w:ascii="Arial" w:cs="Arial" w:eastAsia="Arial" w:hAnsi="Arial"/>
          <w:sz w:val="10"/>
          <w:szCs w:val="10"/>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193"/>
        <w:spacing w:after="0" w:line="290" w:lineRule="auto"/>
        <w:rPr>
          <w:sz w:val="20"/>
          <w:szCs w:val="20"/>
          <w:color w:val="auto"/>
        </w:rPr>
      </w:pPr>
      <w:r>
        <w:rPr>
          <w:rFonts w:ascii="Arial" w:cs="Arial" w:eastAsia="Arial" w:hAnsi="Arial"/>
          <w:sz w:val="17"/>
          <w:szCs w:val="17"/>
          <w:b w:val="1"/>
          <w:bCs w:val="1"/>
          <w:color w:val="auto"/>
        </w:rPr>
        <w:t>H&amp;R BLOCK'S INSTANT REFUND</w:t>
      </w:r>
      <w:r>
        <w:rPr>
          <w:rFonts w:ascii="Arial" w:cs="Arial" w:eastAsia="Arial" w:hAnsi="Arial"/>
          <w:sz w:val="10"/>
          <w:szCs w:val="10"/>
          <w:b w:val="1"/>
          <w:bCs w:val="1"/>
          <w:color w:val="auto"/>
        </w:rPr>
        <w:t>SM</w:t>
      </w:r>
      <w:r>
        <w:rPr>
          <w:rFonts w:ascii="Arial" w:cs="Arial" w:eastAsia="Arial" w:hAnsi="Arial"/>
          <w:sz w:val="17"/>
          <w:szCs w:val="17"/>
          <w:b w:val="1"/>
          <w:bCs w:val="1"/>
          <w:color w:val="auto"/>
        </w:rPr>
        <w:t xml:space="preserve"> </w:t>
      </w:r>
      <w:r>
        <w:rPr>
          <w:rFonts w:ascii="Arial" w:cs="Arial" w:eastAsia="Arial" w:hAnsi="Arial"/>
          <w:sz w:val="17"/>
          <w:szCs w:val="17"/>
          <w:color w:val="auto"/>
        </w:rPr>
        <w:t>– H&amp;R Block's Instant Refund</w:t>
      </w:r>
      <w:r>
        <w:rPr>
          <w:rFonts w:ascii="Arial" w:cs="Arial" w:eastAsia="Arial" w:hAnsi="Arial"/>
          <w:sz w:val="10"/>
          <w:szCs w:val="10"/>
          <w:color w:val="auto"/>
        </w:rPr>
        <w:t>SM</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are generally received from the Canada Revenue Agency within</w:t>
      </w:r>
      <w:r>
        <w:rPr>
          <w:rFonts w:ascii="Arial" w:cs="Arial" w:eastAsia="Arial" w:hAnsi="Arial"/>
          <w:sz w:val="17"/>
          <w:szCs w:val="17"/>
          <w:b w:val="1"/>
          <w:bCs w:val="1"/>
          <w:color w:val="auto"/>
        </w:rPr>
        <w:t xml:space="preserve"> </w:t>
      </w:r>
      <w:r>
        <w:rPr>
          <w:rFonts w:ascii="Arial" w:cs="Arial" w:eastAsia="Arial" w:hAnsi="Arial"/>
          <w:sz w:val="17"/>
          <w:szCs w:val="17"/>
          <w:color w:val="auto"/>
        </w:rPr>
        <w:t>60 days of filing the client's return, with the remaining balance collectible from the client.</w:t>
      </w:r>
    </w:p>
    <w:p>
      <w:pPr>
        <w:spacing w:after="0" w:line="63"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to an amount we believe represents the net realizable value.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Balances and amounts on non-accrual status and classified as impaired, or more than 60 days past due, by tax return year of origination, as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Tax return year of origination</w:t>
            </w:r>
          </w:p>
        </w:tc>
        <w:tc>
          <w:tcPr>
            <w:tcW w:w="5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Current Balance</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5"/>
                <w:szCs w:val="15"/>
                <w:color w:val="auto"/>
              </w:rPr>
              <w:t>More Than 60 Days Past Due</w:t>
            </w:r>
          </w:p>
        </w:tc>
      </w:tr>
      <w:tr>
        <w:trPr>
          <w:trHeight w:val="201"/>
        </w:trPr>
        <w:tc>
          <w:tcPr>
            <w:tcW w:w="61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2,781</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2,261</w:t>
            </w:r>
          </w:p>
        </w:tc>
      </w:tr>
      <w:tr>
        <w:trPr>
          <w:trHeight w:val="207"/>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2020 and prior</w:t>
            </w:r>
          </w:p>
        </w:tc>
        <w:tc>
          <w:tcPr>
            <w:tcW w:w="5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111</w:t>
            </w:r>
          </w:p>
        </w:tc>
      </w:tr>
      <w:tr>
        <w:trPr>
          <w:trHeight w:val="198"/>
        </w:trPr>
        <w:tc>
          <w:tcPr>
            <w:tcW w:w="6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2,892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2,372</w:t>
            </w:r>
          </w:p>
        </w:tc>
      </w:tr>
      <w:tr>
        <w:trPr>
          <w:trHeight w:val="18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w:t>
            </w:r>
          </w:p>
        </w:tc>
        <w:tc>
          <w:tcPr>
            <w:tcW w:w="5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(1,368)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237"/>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balance</w:t>
            </w: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1,524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r>
      <w:tr>
        <w:trPr>
          <w:trHeight w:val="20"/>
        </w:trPr>
        <w:tc>
          <w:tcPr>
            <w:tcW w:w="61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6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2300" w:type="dxa"/>
            <w:vAlign w:val="bottom"/>
            <w:tcBorders>
              <w:top w:val="single" w:sz="8" w:color="CCEEFF"/>
            </w:tcBorders>
            <w:shd w:val="clear" w:color="auto" w:fill="000000"/>
          </w:tcPr>
          <w:p>
            <w:pPr>
              <w:spacing w:after="0" w:line="20" w:lineRule="exact"/>
              <w:rPr>
                <w:sz w:val="1"/>
                <w:szCs w:val="1"/>
                <w:color w:val="auto"/>
              </w:rPr>
            </w:pPr>
          </w:p>
        </w:tc>
      </w:tr>
    </w:tbl>
    <w:p>
      <w:pPr>
        <w:spacing w:after="0" w:line="160" w:lineRule="exact"/>
        <w:rPr>
          <w:sz w:val="20"/>
          <w:szCs w:val="20"/>
          <w:color w:val="auto"/>
        </w:rPr>
      </w:pPr>
    </w:p>
    <w:p>
      <w:pPr>
        <w:jc w:val="both"/>
        <w:ind w:firstLine="232"/>
        <w:spacing w:after="0" w:line="241" w:lineRule="auto"/>
        <w:rPr>
          <w:sz w:val="20"/>
          <w:szCs w:val="20"/>
          <w:color w:val="auto"/>
        </w:rPr>
      </w:pPr>
      <w:r>
        <w:rPr>
          <w:rFonts w:ascii="Arial" w:cs="Arial" w:eastAsia="Arial" w:hAnsi="Arial"/>
          <w:sz w:val="17"/>
          <w:szCs w:val="17"/>
          <w:b w:val="1"/>
          <w:bCs w:val="1"/>
          <w:color w:val="auto"/>
        </w:rPr>
        <w:t>H&amp;R BLOCK EMERALD ADVANCE</w:t>
      </w:r>
      <w:r>
        <w:rPr>
          <w:rFonts w:ascii="Arial" w:cs="Arial" w:eastAsia="Arial" w:hAnsi="Arial"/>
          <w:sz w:val="17"/>
          <w:szCs w:val="17"/>
          <w:color w:val="auto"/>
        </w:rPr>
        <w:t>®</w:t>
      </w:r>
      <w:r>
        <w:rPr>
          <w:rFonts w:ascii="Arial" w:cs="Arial" w:eastAsia="Arial" w:hAnsi="Arial"/>
          <w:sz w:val="17"/>
          <w:szCs w:val="17"/>
          <w:b w:val="1"/>
          <w:bCs w:val="1"/>
          <w:color w:val="auto"/>
        </w:rPr>
        <w:t xml:space="preserve"> LINES OF CREDIT </w:t>
      </w:r>
      <w:r>
        <w:rPr>
          <w:rFonts w:ascii="Arial" w:cs="Arial" w:eastAsia="Arial" w:hAnsi="Arial"/>
          <w:sz w:val="17"/>
          <w:szCs w:val="17"/>
          <w:color w:val="auto"/>
        </w:rPr>
        <w:t>– We review the credit quality of our purchased participation interests in Emerald</w:t>
      </w:r>
      <w:r>
        <w:rPr>
          <w:rFonts w:ascii="Arial" w:cs="Arial" w:eastAsia="Arial" w:hAnsi="Arial"/>
          <w:sz w:val="17"/>
          <w:szCs w:val="17"/>
          <w:b w:val="1"/>
          <w:bCs w:val="1"/>
          <w:color w:val="auto"/>
        </w:rPr>
        <w:t xml:space="preserve"> </w:t>
      </w:r>
      <w:r>
        <w:rPr>
          <w:rFonts w:ascii="Arial" w:cs="Arial" w:eastAsia="Arial" w:hAnsi="Arial"/>
          <w:sz w:val="17"/>
          <w:szCs w:val="17"/>
          <w:color w:val="auto"/>
        </w:rPr>
        <w:t>Advance</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(EA) receivables based on pools, which are segregated by the fiscal year of origination, with older years being deemed more unlikely to be repaid. We establish an allowance for credit losses at an amount that we believe reflects the receivable at net realizable value. In December of each year we charge-off the receivables to an amount we believe represents the net realizable value.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Balances and amounts on non-accrual status and classified as impaired, or more than 60 days past due, by fiscal year of origination, as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Fiscal year of origination</w:t>
            </w:r>
          </w:p>
        </w:tc>
        <w:tc>
          <w:tcPr>
            <w:tcW w:w="5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Current Balance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Non-Accrual</w:t>
            </w:r>
          </w:p>
        </w:tc>
      </w:tr>
      <w:tr>
        <w:trPr>
          <w:trHeight w:val="201"/>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2022</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23,865</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23,865</w:t>
            </w:r>
          </w:p>
        </w:tc>
      </w:tr>
      <w:tr>
        <w:trPr>
          <w:trHeight w:val="20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2021 and prior</w:t>
            </w: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429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429</w:t>
            </w:r>
          </w:p>
        </w:tc>
      </w:tr>
      <w:tr>
        <w:trPr>
          <w:trHeight w:val="20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Revolving loans</w:t>
            </w:r>
          </w:p>
        </w:tc>
        <w:tc>
          <w:tcPr>
            <w:tcW w:w="5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15,745</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14,369</w:t>
            </w:r>
          </w:p>
        </w:tc>
      </w:tr>
      <w:tr>
        <w:trPr>
          <w:trHeight w:val="200"/>
        </w:trPr>
        <w:tc>
          <w:tcPr>
            <w:tcW w:w="6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40,039</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38,663</w:t>
            </w:r>
          </w:p>
        </w:tc>
      </w:tr>
      <w:tr>
        <w:trPr>
          <w:trHeight w:val="18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Allowance</w:t>
            </w:r>
          </w:p>
        </w:tc>
        <w:tc>
          <w:tcPr>
            <w:tcW w:w="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(26,141)</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r>
      <w:tr>
        <w:trPr>
          <w:trHeight w:val="20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balance</w:t>
            </w: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13,898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32"/>
        </w:trPr>
        <w:tc>
          <w:tcPr>
            <w:tcW w:w="6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73"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b w:val="1"/>
          <w:bCs w:val="1"/>
          <w:color w:val="auto"/>
        </w:rPr>
        <w:t xml:space="preserve">ALLOWANCE FOR CREDIT LOSSES </w:t>
      </w:r>
      <w:r>
        <w:rPr>
          <w:rFonts w:ascii="Arial" w:cs="Arial" w:eastAsia="Arial" w:hAnsi="Arial"/>
          <w:sz w:val="17"/>
          <w:szCs w:val="17"/>
          <w:color w:val="auto"/>
        </w:rPr>
        <w:t>– Activity in the allowance for credit losses for our EA and all other short-term and long-term receivables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three months ended September 30, 2022 and 2021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5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EAs</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All Other</w:t>
            </w:r>
          </w:p>
        </w:tc>
        <w:tc>
          <w:tcPr>
            <w:tcW w:w="1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Total</w:t>
            </w:r>
          </w:p>
        </w:tc>
      </w:tr>
      <w:tr>
        <w:trPr>
          <w:trHeight w:val="201"/>
        </w:trPr>
        <w:tc>
          <w:tcPr>
            <w:tcW w:w="55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2022</w:t>
            </w:r>
          </w:p>
        </w:tc>
        <w:tc>
          <w:tcPr>
            <w:tcW w:w="68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26,141</w:t>
            </w:r>
          </w:p>
        </w:tc>
        <w:tc>
          <w:tcPr>
            <w:tcW w:w="120" w:type="dxa"/>
            <w:vAlign w:val="bottom"/>
          </w:tcPr>
          <w:p>
            <w:pPr>
              <w:spacing w:after="0"/>
              <w:rPr>
                <w:sz w:val="17"/>
                <w:szCs w:val="17"/>
                <w:color w:val="auto"/>
              </w:rPr>
            </w:pPr>
          </w:p>
        </w:tc>
        <w:tc>
          <w:tcPr>
            <w:tcW w:w="640" w:type="dxa"/>
            <w:vAlign w:val="bottom"/>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b w:val="1"/>
                <w:bCs w:val="1"/>
                <w:color w:val="auto"/>
              </w:rPr>
              <w:t>51,126</w:t>
            </w:r>
          </w:p>
        </w:tc>
        <w:tc>
          <w:tcPr>
            <w:tcW w:w="120" w:type="dxa"/>
            <w:vAlign w:val="bottom"/>
          </w:tcPr>
          <w:p>
            <w:pPr>
              <w:spacing w:after="0"/>
              <w:rPr>
                <w:sz w:val="17"/>
                <w:szCs w:val="17"/>
                <w:color w:val="auto"/>
              </w:rPr>
            </w:pPr>
          </w:p>
        </w:tc>
        <w:tc>
          <w:tcPr>
            <w:tcW w:w="68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77,267</w:t>
            </w:r>
          </w:p>
        </w:tc>
      </w:tr>
      <w:tr>
        <w:trPr>
          <w:trHeight w:val="20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w:t>
            </w: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1,077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1,077</w:t>
            </w:r>
          </w:p>
        </w:tc>
      </w:tr>
      <w:tr>
        <w:trPr>
          <w:trHeight w:val="205"/>
        </w:trPr>
        <w:tc>
          <w:tcPr>
            <w:tcW w:w="5580" w:type="dxa"/>
            <w:vAlign w:val="bottom"/>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6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(1,281)</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(1,281)</w:t>
            </w:r>
          </w:p>
        </w:tc>
      </w:tr>
      <w:tr>
        <w:trPr>
          <w:trHeight w:val="199"/>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September 30, 2022</w:t>
            </w:r>
          </w:p>
        </w:tc>
        <w:tc>
          <w:tcPr>
            <w:tcW w:w="68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26,141</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50,922</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77,063</w:t>
            </w:r>
          </w:p>
        </w:tc>
      </w:tr>
      <w:tr>
        <w:trPr>
          <w:trHeight w:val="198"/>
        </w:trPr>
        <w:tc>
          <w:tcPr>
            <w:tcW w:w="55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2021</w:t>
            </w: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27,704</w:t>
            </w:r>
          </w:p>
        </w:tc>
        <w:tc>
          <w:tcPr>
            <w:tcW w:w="120" w:type="dxa"/>
            <w:vAlign w:val="bottom"/>
          </w:tcPr>
          <w:p>
            <w:pPr>
              <w:spacing w:after="0"/>
              <w:rPr>
                <w:sz w:val="17"/>
                <w:szCs w:val="17"/>
                <w:color w:val="auto"/>
              </w:rPr>
            </w:pP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60,272</w:t>
            </w:r>
          </w:p>
        </w:tc>
        <w:tc>
          <w:tcPr>
            <w:tcW w:w="120" w:type="dxa"/>
            <w:vAlign w:val="bottom"/>
          </w:tcPr>
          <w:p>
            <w:pPr>
              <w:spacing w:after="0"/>
              <w:rPr>
                <w:sz w:val="17"/>
                <w:szCs w:val="17"/>
                <w:color w:val="auto"/>
              </w:rPr>
            </w:pP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87,976</w:t>
            </w:r>
          </w:p>
        </w:tc>
      </w:tr>
      <w:tr>
        <w:trPr>
          <w:trHeight w:val="20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w:t>
            </w: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1,850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w:t>
            </w:r>
          </w:p>
        </w:tc>
      </w:tr>
      <w:tr>
        <w:trPr>
          <w:trHeight w:val="203"/>
        </w:trPr>
        <w:tc>
          <w:tcPr>
            <w:tcW w:w="5580" w:type="dxa"/>
            <w:vAlign w:val="bottom"/>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6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(3,583)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(3,583)</w:t>
            </w:r>
          </w:p>
        </w:tc>
      </w:tr>
      <w:tr>
        <w:trPr>
          <w:trHeight w:val="202"/>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September 30, 2021</w:t>
            </w:r>
          </w:p>
        </w:tc>
        <w:tc>
          <w:tcPr>
            <w:tcW w:w="68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27,704</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58,539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86,243</w:t>
            </w:r>
          </w:p>
        </w:tc>
      </w:tr>
      <w:tr>
        <w:trPr>
          <w:trHeight w:val="32"/>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794385</wp:posOffset>
            </wp:positionV>
            <wp:extent cx="212725"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hanging="228"/>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5: GOODWILL AND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three months ended September 30,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68"/>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Accumulated Impairment</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4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Losses</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Net</w:t>
            </w:r>
          </w:p>
        </w:tc>
      </w:tr>
      <w:tr>
        <w:trPr>
          <w:trHeight w:val="201"/>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2022</w:t>
            </w:r>
          </w:p>
        </w:tc>
        <w:tc>
          <w:tcPr>
            <w:tcW w:w="760" w:type="dxa"/>
            <w:vAlign w:val="bottom"/>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898,698</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(138,297)</w:t>
            </w:r>
          </w:p>
        </w:tc>
        <w:tc>
          <w:tcPr>
            <w:tcW w:w="100" w:type="dxa"/>
            <w:vAlign w:val="bottom"/>
          </w:tcPr>
          <w:p>
            <w:pPr>
              <w:spacing w:after="0"/>
              <w:rPr>
                <w:sz w:val="17"/>
                <w:szCs w:val="17"/>
                <w:color w:val="auto"/>
              </w:rPr>
            </w:pPr>
          </w:p>
        </w:tc>
        <w:tc>
          <w:tcPr>
            <w:tcW w:w="760" w:type="dxa"/>
            <w:vAlign w:val="bottom"/>
          </w:tcPr>
          <w:p>
            <w:pPr>
              <w:jc w:val="right"/>
              <w:ind w:right="563"/>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760,401</w:t>
            </w:r>
          </w:p>
        </w:tc>
      </w:tr>
      <w:tr>
        <w:trPr>
          <w:trHeight w:val="20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Acquisitions</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7,879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7,879</w:t>
            </w:r>
          </w:p>
        </w:tc>
      </w:tr>
      <w:tr>
        <w:trPr>
          <w:trHeight w:val="205"/>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Disposals and foreign currency changes, net</w:t>
            </w:r>
          </w:p>
        </w:tc>
        <w:tc>
          <w:tcPr>
            <w:tcW w:w="7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(21,569)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ind w:left="160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(21,569)</w:t>
            </w:r>
          </w:p>
        </w:tc>
      </w:tr>
      <w:tr>
        <w:trPr>
          <w:trHeight w:val="20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Impairments</w:t>
            </w:r>
          </w:p>
        </w:tc>
        <w:tc>
          <w:tcPr>
            <w:tcW w:w="7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r>
      <w:tr>
        <w:trPr>
          <w:trHeight w:val="237"/>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September 30, 2022</w:t>
            </w:r>
          </w:p>
        </w:tc>
        <w:tc>
          <w:tcPr>
            <w:tcW w:w="7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885,008</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(138,297)</w:t>
            </w:r>
          </w:p>
        </w:tc>
        <w:tc>
          <w:tcPr>
            <w:tcW w:w="10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746,711</w:t>
            </w:r>
          </w:p>
        </w:tc>
      </w:tr>
      <w:tr>
        <w:trPr>
          <w:trHeight w:val="20"/>
        </w:trPr>
        <w:tc>
          <w:tcPr>
            <w:tcW w:w="47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8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test goodwill for impairment annually as of February 1, or more frequently if events occur or circumstances change which would, more likely than not, reduce the fair value of a reporting unit below its carrying value.</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Components of intangible assets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68"/>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Gross</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5"/>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gridSpan w:val="2"/>
          </w:tcPr>
          <w:p>
            <w:pPr>
              <w:jc w:val="right"/>
              <w:ind w:right="120"/>
              <w:spacing w:after="0" w:line="155" w:lineRule="exact"/>
              <w:rPr>
                <w:sz w:val="20"/>
                <w:szCs w:val="20"/>
                <w:color w:val="auto"/>
              </w:rPr>
            </w:pPr>
            <w:r>
              <w:rPr>
                <w:rFonts w:ascii="Arial" w:cs="Arial" w:eastAsia="Arial" w:hAnsi="Arial"/>
                <w:sz w:val="15"/>
                <w:szCs w:val="15"/>
                <w:color w:val="auto"/>
              </w:rPr>
              <w:t>Carrying</w:t>
            </w:r>
          </w:p>
        </w:tc>
        <w:tc>
          <w:tcPr>
            <w:tcW w:w="480" w:type="dxa"/>
            <w:vAlign w:val="bottom"/>
          </w:tcPr>
          <w:p>
            <w:pPr>
              <w:spacing w:after="0"/>
              <w:rPr>
                <w:sz w:val="13"/>
                <w:szCs w:val="13"/>
                <w:color w:val="auto"/>
              </w:rPr>
            </w:pPr>
          </w:p>
        </w:tc>
        <w:tc>
          <w:tcPr>
            <w:tcW w:w="1400" w:type="dxa"/>
            <w:vAlign w:val="bottom"/>
            <w:gridSpan w:val="2"/>
          </w:tcPr>
          <w:p>
            <w:pPr>
              <w:jc w:val="right"/>
              <w:ind w:right="140"/>
              <w:spacing w:after="0" w:line="155" w:lineRule="exact"/>
              <w:rPr>
                <w:sz w:val="20"/>
                <w:szCs w:val="20"/>
                <w:color w:val="auto"/>
              </w:rPr>
            </w:pPr>
            <w:r>
              <w:rPr>
                <w:rFonts w:ascii="Arial" w:cs="Arial" w:eastAsia="Arial" w:hAnsi="Arial"/>
                <w:sz w:val="15"/>
                <w:szCs w:val="15"/>
                <w:color w:val="auto"/>
              </w:rPr>
              <w:t>Accumulated</w:t>
            </w: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9"/>
        </w:trPr>
        <w:tc>
          <w:tcPr>
            <w:tcW w:w="5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Amount</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Amortization</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Net</w:t>
            </w:r>
          </w:p>
        </w:tc>
      </w:tr>
      <w:tr>
        <w:trPr>
          <w:trHeight w:val="199"/>
        </w:trPr>
        <w:tc>
          <w:tcPr>
            <w:tcW w:w="5720" w:type="dxa"/>
            <w:vAlign w:val="bottom"/>
            <w:gridSpan w:val="2"/>
          </w:tcPr>
          <w:p>
            <w:pPr>
              <w:ind w:left="20"/>
              <w:spacing w:after="0"/>
              <w:rPr>
                <w:sz w:val="20"/>
                <w:szCs w:val="20"/>
                <w:color w:val="auto"/>
              </w:rPr>
            </w:pPr>
            <w:r>
              <w:rPr>
                <w:rFonts w:ascii="Arial" w:cs="Arial" w:eastAsia="Arial" w:hAnsi="Arial"/>
                <w:sz w:val="15"/>
                <w:szCs w:val="15"/>
                <w:color w:val="auto"/>
              </w:rPr>
              <w:t>As of September 30, 2022:</w:t>
            </w: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Reacquired franchise rights</w:t>
            </w: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383,809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(200,442)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5"/>
                <w:szCs w:val="15"/>
                <w:b w:val="1"/>
                <w:bCs w:val="1"/>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183,367</w:t>
            </w:r>
          </w:p>
        </w:tc>
      </w:tr>
      <w:tr>
        <w:trPr>
          <w:trHeight w:val="205"/>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335,766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(283,515)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52,251</w:t>
            </w:r>
          </w:p>
        </w:tc>
      </w:tr>
      <w:tr>
        <w:trPr>
          <w:trHeight w:val="20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Internally-developed software</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138,600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(112,561)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26,039</w:t>
            </w:r>
          </w:p>
        </w:tc>
      </w:tr>
      <w:tr>
        <w:trPr>
          <w:trHeight w:val="205"/>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Noncompete agreements</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41,949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(38,106)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3,843</w:t>
            </w:r>
          </w:p>
        </w:tc>
      </w:tr>
      <w:tr>
        <w:trPr>
          <w:trHeight w:val="20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Franchise agreements</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19,201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1,493</w:t>
            </w:r>
          </w:p>
        </w:tc>
      </w:tr>
      <w:tr>
        <w:trPr>
          <w:trHeight w:val="205"/>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Purchased technology</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122,700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(90,125)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32,575</w:t>
            </w:r>
          </w:p>
        </w:tc>
      </w:tr>
      <w:tr>
        <w:trPr>
          <w:trHeight w:val="20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Trade name</w:t>
            </w:r>
          </w:p>
        </w:tc>
        <w:tc>
          <w:tcPr>
            <w:tcW w:w="5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5,800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(1,885)</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3,915</w:t>
            </w:r>
          </w:p>
        </w:tc>
      </w:tr>
      <w:tr>
        <w:trPr>
          <w:trHeight w:val="199"/>
        </w:trPr>
        <w:tc>
          <w:tcPr>
            <w:tcW w:w="5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1,047,825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(744,342)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303,483</w:t>
            </w:r>
          </w:p>
        </w:tc>
      </w:tr>
      <w:tr>
        <w:trPr>
          <w:trHeight w:val="18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 of June 30, 2022:</w:t>
            </w:r>
          </w:p>
        </w:tc>
        <w:tc>
          <w:tcPr>
            <w:tcW w:w="5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3"/>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Reacquired franchise rights</w:t>
            </w:r>
          </w:p>
        </w:tc>
        <w:tc>
          <w:tcPr>
            <w:tcW w:w="5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379,114</w:t>
            </w:r>
          </w:p>
        </w:tc>
        <w:tc>
          <w:tcPr>
            <w:tcW w:w="12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(197,068)</w:t>
            </w:r>
          </w:p>
        </w:tc>
        <w:tc>
          <w:tcPr>
            <w:tcW w:w="12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182,046</w:t>
            </w: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Customer relationships</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331,020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(278,717)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52,303</w:t>
            </w:r>
          </w:p>
        </w:tc>
      </w:tr>
      <w:tr>
        <w:trPr>
          <w:trHeight w:val="203"/>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Internally-developed software</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137,638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(107,111)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30,527</w:t>
            </w: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Noncompete agreements</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41,789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(37,684)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4,105</w:t>
            </w:r>
          </w:p>
        </w:tc>
      </w:tr>
      <w:tr>
        <w:trPr>
          <w:trHeight w:val="203"/>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Franchise agreements</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19,201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(17,388)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1,813</w:t>
            </w: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Purchased technology</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122,700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(87,910)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34,790</w:t>
            </w:r>
          </w:p>
        </w:tc>
      </w:tr>
      <w:tr>
        <w:trPr>
          <w:trHeight w:val="203"/>
        </w:trPr>
        <w:tc>
          <w:tcPr>
            <w:tcW w:w="5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Trade name</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5,800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4,060</w:t>
            </w:r>
          </w:p>
        </w:tc>
      </w:tr>
      <w:tr>
        <w:trPr>
          <w:trHeight w:val="202"/>
        </w:trPr>
        <w:tc>
          <w:tcPr>
            <w:tcW w:w="5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1,037,262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(727,618)</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309,644</w:t>
            </w:r>
          </w:p>
        </w:tc>
      </w:tr>
      <w:tr>
        <w:trPr>
          <w:trHeight w:val="32"/>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firstLine="193"/>
        <w:spacing w:after="0" w:line="265" w:lineRule="auto"/>
        <w:rPr>
          <w:sz w:val="20"/>
          <w:szCs w:val="20"/>
          <w:color w:val="auto"/>
        </w:rPr>
      </w:pPr>
      <w:r>
        <w:rPr>
          <w:rFonts w:ascii="Arial" w:cs="Arial" w:eastAsia="Arial" w:hAnsi="Arial"/>
          <w:sz w:val="17"/>
          <w:szCs w:val="17"/>
          <w:color w:val="auto"/>
        </w:rPr>
        <w:t>We made payments to acquire businesses totaling $16.5 million and $4.3 million during the three months ended September 30, 2022 and 2021, respectively. The amounts and weighted-average lives of 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594360</wp:posOffset>
            </wp:positionV>
            <wp:extent cx="220980"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sz w:val="20"/>
          <w:szCs w:val="20"/>
          <w:color w:val="auto"/>
        </w:rPr>
        <w:tab/>
      </w:r>
      <w:r>
        <w:rPr>
          <w:rFonts w:ascii="Arial" w:cs="Arial" w:eastAsia="Arial" w:hAnsi="Arial"/>
          <w:sz w:val="10"/>
          <w:szCs w:val="10"/>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2022, including amounts capitalized related to internally-developed software,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2"/>
        </w:trPr>
        <w:tc>
          <w:tcPr>
            <w:tcW w:w="5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Amount</w:t>
            </w:r>
          </w:p>
        </w:tc>
        <w:tc>
          <w:tcPr>
            <w:tcW w:w="80" w:type="dxa"/>
            <w:vAlign w:val="bottom"/>
          </w:tcPr>
          <w:p>
            <w:pPr>
              <w:spacing w:after="0"/>
              <w:rPr>
                <w:sz w:val="17"/>
                <w:szCs w:val="17"/>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Weighted-Average Life (in years)</w:t>
            </w:r>
          </w:p>
        </w:tc>
      </w:tr>
      <w:tr>
        <w:trPr>
          <w:trHeight w:val="201"/>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Internally-developed software</w:t>
            </w:r>
          </w:p>
        </w:tc>
        <w:tc>
          <w:tcPr>
            <w:tcW w:w="1020" w:type="dxa"/>
            <w:vAlign w:val="bottom"/>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1,254</w:t>
            </w:r>
          </w:p>
        </w:tc>
        <w:tc>
          <w:tcPr>
            <w:tcW w:w="80" w:type="dxa"/>
            <w:vAlign w:val="bottom"/>
          </w:tcPr>
          <w:p>
            <w:pPr>
              <w:spacing w:after="0"/>
              <w:rPr>
                <w:sz w:val="17"/>
                <w:szCs w:val="17"/>
                <w:color w:val="auto"/>
              </w:rPr>
            </w:pPr>
          </w:p>
        </w:tc>
        <w:tc>
          <w:tcPr>
            <w:tcW w:w="3000" w:type="dxa"/>
            <w:vAlign w:val="bottom"/>
          </w:tcPr>
          <w:p>
            <w:pPr>
              <w:jc w:val="right"/>
              <w:ind w:right="1386"/>
              <w:spacing w:after="0"/>
              <w:rPr>
                <w:sz w:val="20"/>
                <w:szCs w:val="20"/>
                <w:color w:val="auto"/>
              </w:rPr>
            </w:pPr>
            <w:r>
              <w:rPr>
                <w:rFonts w:ascii="Arial" w:cs="Arial" w:eastAsia="Arial" w:hAnsi="Arial"/>
                <w:sz w:val="15"/>
                <w:szCs w:val="15"/>
                <w:b w:val="1"/>
                <w:bCs w:val="1"/>
                <w:color w:val="auto"/>
              </w:rPr>
              <w:t>2</w:t>
            </w:r>
          </w:p>
        </w:tc>
      </w:tr>
      <w:tr>
        <w:trPr>
          <w:trHeight w:val="207"/>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6,331</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05"/>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Reacquired franchise rights</w:t>
            </w:r>
          </w:p>
        </w:tc>
        <w:tc>
          <w:tcPr>
            <w:tcW w:w="10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4,897</w:t>
            </w:r>
          </w:p>
        </w:tc>
        <w:tc>
          <w:tcPr>
            <w:tcW w:w="3080" w:type="dxa"/>
            <w:vAlign w:val="bottom"/>
            <w:gridSpan w:val="2"/>
          </w:tcPr>
          <w:p>
            <w:pPr>
              <w:jc w:val="right"/>
              <w:ind w:right="1386"/>
              <w:spacing w:after="0"/>
              <w:rPr>
                <w:sz w:val="20"/>
                <w:szCs w:val="20"/>
                <w:color w:val="auto"/>
              </w:rPr>
            </w:pPr>
            <w:r>
              <w:rPr>
                <w:rFonts w:ascii="Arial" w:cs="Arial" w:eastAsia="Arial" w:hAnsi="Arial"/>
                <w:sz w:val="15"/>
                <w:szCs w:val="15"/>
                <w:b w:val="1"/>
                <w:bCs w:val="1"/>
                <w:color w:val="auto"/>
              </w:rPr>
              <w:t>4</w:t>
            </w:r>
          </w:p>
        </w:tc>
      </w:tr>
      <w:tr>
        <w:trPr>
          <w:trHeight w:val="207"/>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Noncompete agreements</w:t>
            </w: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220</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36"/>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12,702</w:t>
            </w:r>
          </w:p>
        </w:tc>
        <w:tc>
          <w:tcPr>
            <w:tcW w:w="3080" w:type="dxa"/>
            <w:vAlign w:val="bottom"/>
            <w:tcBorders>
              <w:bottom w:val="single" w:sz="8" w:color="CCEEFF"/>
            </w:tcBorders>
            <w:gridSpan w:val="2"/>
          </w:tcPr>
          <w:p>
            <w:pPr>
              <w:jc w:val="right"/>
              <w:ind w:right="1386"/>
              <w:spacing w:after="0"/>
              <w:rPr>
                <w:sz w:val="20"/>
                <w:szCs w:val="20"/>
                <w:color w:val="auto"/>
              </w:rPr>
            </w:pPr>
            <w:r>
              <w:rPr>
                <w:rFonts w:ascii="Arial" w:cs="Arial" w:eastAsia="Arial" w:hAnsi="Arial"/>
                <w:sz w:val="15"/>
                <w:szCs w:val="15"/>
                <w:b w:val="1"/>
                <w:bCs w:val="1"/>
                <w:color w:val="auto"/>
              </w:rPr>
              <w:t>4</w:t>
            </w:r>
          </w:p>
        </w:tc>
      </w:tr>
      <w:tr>
        <w:trPr>
          <w:trHeight w:val="20"/>
        </w:trPr>
        <w:tc>
          <w:tcPr>
            <w:tcW w:w="56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00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Amortization of intangible assets for the three months ended September 30, 2022 was $18.4 million compared to $19.8 million for the three months ended September 30, 2021. Estimated amortization of intangible assets for fiscal years ending June 30, 2023, 2024, 2025, 2026, and 2027 is $68.8 million, $49.1 million, $27.5 million, $19.3 million and $13.8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6: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long-term debt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2022</w:t>
            </w:r>
          </w:p>
        </w:tc>
      </w:tr>
      <w:tr>
        <w:trPr>
          <w:trHeight w:val="20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5.250%, due October 2025</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350,000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r>
      <w:tr>
        <w:trPr>
          <w:trHeight w:val="205"/>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Senior Notes, 2.500%, due July 2028</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500,000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207"/>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3.875%, due August 2030</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650,000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650,000</w:t>
            </w:r>
          </w:p>
        </w:tc>
      </w:tr>
      <w:tr>
        <w:trPr>
          <w:trHeight w:val="205"/>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Debt issuance costs and discounts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(12,593)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(13,124)</w:t>
            </w:r>
          </w:p>
        </w:tc>
      </w:tr>
      <w:tr>
        <w:trPr>
          <w:trHeight w:val="20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long-term debt</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1,487,407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1,486,876</w:t>
            </w:r>
          </w:p>
        </w:tc>
      </w:tr>
      <w:tr>
        <w:trPr>
          <w:trHeight w:val="205"/>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Long-term portion</w:t>
            </w: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1,487,407</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1,486,876</w:t>
            </w:r>
          </w:p>
        </w:tc>
      </w:tr>
      <w:tr>
        <w:trPr>
          <w:trHeight w:val="231"/>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Estimated fair value of long-term debt</w:t>
            </w:r>
          </w:p>
        </w:tc>
        <w:tc>
          <w:tcPr>
            <w:tcW w:w="300" w:type="dxa"/>
            <w:vAlign w:val="bottom"/>
            <w:tcBorders>
              <w:bottom w:val="single" w:sz="8" w:color="CCEEFF"/>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1,312,000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1,377,000</w:t>
            </w:r>
          </w:p>
        </w:tc>
      </w:tr>
      <w:tr>
        <w:trPr>
          <w:trHeight w:val="20"/>
        </w:trPr>
        <w:tc>
          <w:tcPr>
            <w:tcW w:w="7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jc w:val="both"/>
        <w:ind w:firstLine="232"/>
        <w:spacing w:after="0" w:line="256" w:lineRule="auto"/>
        <w:rPr>
          <w:sz w:val="20"/>
          <w:szCs w:val="20"/>
          <w:color w:val="auto"/>
        </w:rPr>
      </w:pPr>
      <w:r>
        <w:rPr>
          <w:rFonts w:ascii="Arial" w:cs="Arial" w:eastAsia="Arial" w:hAnsi="Arial"/>
          <w:sz w:val="17"/>
          <w:szCs w:val="17"/>
          <w:color w:val="auto"/>
        </w:rPr>
        <w:t>Our unsecured committed line of credit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spacing w:after="0" w:line="298" w:lineRule="exact"/>
        <w:rPr>
          <w:sz w:val="20"/>
          <w:szCs w:val="20"/>
          <w:color w:val="auto"/>
        </w:rPr>
      </w:pPr>
    </w:p>
    <w:p>
      <w:pPr>
        <w:jc w:val="both"/>
        <w:ind w:firstLine="232"/>
        <w:spacing w:after="0" w:line="254" w:lineRule="auto"/>
        <w:rPr>
          <w:sz w:val="20"/>
          <w:szCs w:val="20"/>
          <w:color w:val="auto"/>
        </w:rPr>
      </w:pPr>
      <w:r>
        <w:rPr>
          <w:rFonts w:ascii="Arial" w:cs="Arial" w:eastAsia="Arial" w:hAnsi="Arial"/>
          <w:sz w:val="17"/>
          <w:szCs w:val="17"/>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610870</wp:posOffset>
            </wp:positionV>
            <wp:extent cx="212725"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266"/>
        <w:spacing w:after="0"/>
        <w:tabs>
          <w:tab w:leader="none" w:pos="36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We had no outstanding balance under our CLOC and amounts available to borrow were limited by the debt-to-EBITDA covenant to approximately $1.47 billion as of September 30, 2022.</w:t>
      </w:r>
    </w:p>
    <w:p>
      <w:pPr>
        <w:spacing w:after="0" w:line="56"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7: INCOME TAXES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file a consolidated federal income tax return in the U.S. with the Internal Revenue Service (IRS) and file tax returns in various state, local, and foreign jurisdictions. Tax returns are typically examined and either settled upon completion of the examination or through the appeals process. Our U.S. federal income tax returns for 2015, 2016, 2019 and later years remain open for examination. Our U.S. federal income tax returns for 2018, 2017, 2014 and all years prior to 2014 are closed. On October 4, 2022, the IRS notified us that it plans to audit our 2020 tax return and related carryback claims. With respect to federal,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92" w:lineRule="exact"/>
        <w:rPr>
          <w:sz w:val="20"/>
          <w:szCs w:val="20"/>
          <w:color w:val="auto"/>
        </w:rPr>
      </w:pPr>
    </w:p>
    <w:p>
      <w:pPr>
        <w:jc w:val="both"/>
        <w:ind w:firstLine="193"/>
        <w:spacing w:after="0" w:line="255" w:lineRule="auto"/>
        <w:rPr>
          <w:sz w:val="20"/>
          <w:szCs w:val="20"/>
          <w:color w:val="auto"/>
        </w:rPr>
      </w:pPr>
      <w:r>
        <w:rPr>
          <w:rFonts w:ascii="Arial" w:cs="Arial" w:eastAsia="Arial" w:hAnsi="Arial"/>
          <w:sz w:val="17"/>
          <w:szCs w:val="17"/>
          <w:color w:val="auto"/>
        </w:rPr>
        <w:t>We had gross unrecognized tax benefits of $231.7 million and $232.0 million as of September 30, 2022 and June 30, 2022, respectively. The gross unrecognized tax benefits decreased by $0.3 million during the three months ended September 30, 2022 due to settlements with state tax authorities. We believe it is reasonably possible that the balance of unrecognized tax benefits could decrease by approximately $33.1 million within the next twelve months. The anticipated decrease is due to the expiration of statutes of limitations and anticipated closure of various state matters currently under examination or in appeals. For such matters where a change in the balance of unrecognized tax benefits is not yet deemed reasonably possible, no estimate has been included.</w:t>
      </w:r>
    </w:p>
    <w:p>
      <w:pPr>
        <w:spacing w:after="0" w:line="95"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Our effective tax rate for continuing operations, including the effects of discrete tax items, was 24.4% and 24.0% for the three months ended September 30, 2022 and 2021, respectively.</w:t>
      </w:r>
    </w:p>
    <w:p>
      <w:pPr>
        <w:spacing w:after="0" w:line="84"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Consistent with prior years, our pretax loss for the three months ended September 30, 2022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three months ended September 30, 2022 reflects management’s estimate of the annual effective tax rate applied to year-to-date loss from continuing operations adjusted for the tax impact of discrete items for the periods presented.</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8: COMMITMENTS AND CONTINGENCIES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$12.7 million and $14.0 million as of September 30, 2022 and June 30, 2022, respectively. The short-term and long-term portions of this liability are included in deferred revenue and other liabilities in the consolidated balance sheets.</w:t>
      </w:r>
    </w:p>
    <w:p>
      <w:pPr>
        <w:spacing w:after="0" w:line="95"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$16.0 million and $12.9 million as of September 30, 2022 and June 30, 2022,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92"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have contractual commitments to fund certain franchises with approved revolving lines of credit. Our total obligation under these lines of credit was $15.3 million at September 30, 2022, and net of amounts drawn and outstanding, our remaining commitment to fund totaled $8.7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594360</wp:posOffset>
            </wp:positionV>
            <wp:extent cx="220980"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9: LITIGATION AND OTHER RELATED CONTINGENCIES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spacing w:after="0" w:line="92"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spacing w:after="0" w:line="91"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In addition to litigation and arbitration matters, we are also subject to other loss contingencies arising out of our business activities, including as described below.</w:t>
      </w:r>
    </w:p>
    <w:p>
      <w:pPr>
        <w:spacing w:after="0" w:line="8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1" w:lineRule="exact"/>
        <w:rPr>
          <w:sz w:val="20"/>
          <w:szCs w:val="20"/>
          <w:color w:val="auto"/>
        </w:rPr>
      </w:pPr>
    </w:p>
    <w:p>
      <w:pPr>
        <w:jc w:val="both"/>
        <w:ind w:firstLine="193"/>
        <w:spacing w:after="0" w:line="255" w:lineRule="auto"/>
        <w:rPr>
          <w:sz w:val="20"/>
          <w:szCs w:val="20"/>
          <w:color w:val="auto"/>
        </w:rPr>
      </w:pPr>
      <w:r>
        <w:rPr>
          <w:rFonts w:ascii="Arial" w:cs="Arial" w:eastAsia="Arial" w:hAnsi="Arial"/>
          <w:sz w:val="17"/>
          <w:szCs w:val="17"/>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September 30, 2022.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total accrued liabilities were $1.7 million as of September 30, 2022 and June 30, 2022.</w:t>
      </w:r>
    </w:p>
    <w:p>
      <w:pPr>
        <w:spacing w:after="0" w:line="95"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1"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spacing w:after="0" w:line="92"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September 30, 2022, we believe the estimate of the aggregate range of reasonably possible losses in excess of amounts accrued, where the range of loss can be estimated,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607060</wp:posOffset>
            </wp:positionV>
            <wp:extent cx="212725"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hanging="266"/>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1"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LITIGATION, CLAIMS OR OTHER LOSS CONTINGENCIES PERTAINING TO CONTINUING OPERATIONS </w:t>
      </w:r>
      <w:r>
        <w:rPr>
          <w:rFonts w:ascii="Arial" w:cs="Arial" w:eastAsia="Arial" w:hAnsi="Arial"/>
          <w:sz w:val="17"/>
          <w:szCs w:val="17"/>
          <w:color w:val="auto"/>
        </w:rPr>
        <w:t>–</w:t>
      </w:r>
    </w:p>
    <w:p>
      <w:pPr>
        <w:spacing w:after="0" w:line="11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b w:val="1"/>
          <w:bCs w:val="1"/>
          <w:color w:val="auto"/>
        </w:rPr>
        <w:t xml:space="preserve">Free File Litigation. </w:t>
      </w:r>
      <w:r>
        <w:rPr>
          <w:rFonts w:ascii="Arial" w:cs="Arial" w:eastAsia="Arial" w:hAnsi="Arial"/>
          <w:sz w:val="17"/>
          <w:szCs w:val="17"/>
          <w:color w:val="auto"/>
        </w:rPr>
        <w:t>On May 6, 2019, the Los Angeles City Attorney filed a lawsuit on behalf of the People of the State of California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Superior Court of California, County of Los Angeles (Case No. 19STCV15742). The case is styled </w:t>
      </w:r>
      <w:r>
        <w:rPr>
          <w:rFonts w:ascii="Arial" w:cs="Arial" w:eastAsia="Arial" w:hAnsi="Arial"/>
          <w:sz w:val="17"/>
          <w:szCs w:val="17"/>
          <w:i w:val="1"/>
          <w:iCs w:val="1"/>
          <w:color w:val="auto"/>
        </w:rPr>
        <w:t>The People of the State of California v. HRB</w:t>
      </w:r>
      <w:r>
        <w:rPr>
          <w:rFonts w:ascii="Arial" w:cs="Arial" w:eastAsia="Arial" w:hAnsi="Arial"/>
          <w:sz w:val="17"/>
          <w:szCs w:val="17"/>
          <w:color w:val="auto"/>
        </w:rPr>
        <w:t xml:space="preserve"> </w:t>
      </w:r>
      <w:r>
        <w:rPr>
          <w:rFonts w:ascii="Arial" w:cs="Arial" w:eastAsia="Arial" w:hAnsi="Arial"/>
          <w:sz w:val="17"/>
          <w:szCs w:val="17"/>
          <w:i w:val="1"/>
          <w:iCs w:val="1"/>
          <w:color w:val="auto"/>
        </w:rPr>
        <w:t>Digital LLC, et al</w:t>
      </w:r>
      <w:r>
        <w:rPr>
          <w:rFonts w:ascii="Arial" w:cs="Arial" w:eastAsia="Arial" w:hAnsi="Arial"/>
          <w:sz w:val="17"/>
          <w:szCs w:val="17"/>
          <w:color w:val="auto"/>
        </w:rPr>
        <w:t>. The complaint alleges that H&amp;R Block, Inc. and HRB Digital LLC engaged in unfair, fraudulent and deceptive business practices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acts in connection with the IRS Free File Program in violation of the California Unfair Competition Law, California Business and Professions Code §§17200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was denied. We filed a motion for summary judgment, which remains pending. A trial date is set for August 14, 2023. We have not concluded that a loss related to this matter is probable, nor have we accrued a liability related to this matter.</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also received and are responding to certain governmental inquiries relating to the IRS Free File Program.</w:t>
      </w:r>
    </w:p>
    <w:p>
      <w:pPr>
        <w:spacing w:after="0" w:line="9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b w:val="1"/>
          <w:bCs w:val="1"/>
          <w:color w:val="auto"/>
        </w:rPr>
        <w:t xml:space="preserve">DISCONTINUED MORTGAGE OPERATIONS </w:t>
      </w:r>
      <w:r>
        <w:rPr>
          <w:rFonts w:ascii="Arial" w:cs="Arial" w:eastAsia="Arial" w:hAnsi="Arial"/>
          <w:sz w:val="17"/>
          <w:szCs w:val="17"/>
          <w:color w:val="auto"/>
        </w:rPr>
        <w:t>– Although SCC ceased its mortgage loan origination activities in December 2007 and sold its</w:t>
      </w:r>
      <w:r>
        <w:rPr>
          <w:rFonts w:ascii="Arial" w:cs="Arial" w:eastAsia="Arial" w:hAnsi="Arial"/>
          <w:sz w:val="17"/>
          <w:szCs w:val="17"/>
          <w:b w:val="1"/>
          <w:bCs w:val="1"/>
          <w:color w:val="auto"/>
        </w:rPr>
        <w:t xml:space="preserve"> </w:t>
      </w:r>
      <w:r>
        <w:rPr>
          <w:rFonts w:ascii="Arial" w:cs="Arial" w:eastAsia="Arial" w:hAnsi="Arial"/>
          <w:sz w:val="17"/>
          <w:szCs w:val="17"/>
          <w:color w:val="auto"/>
        </w:rPr>
        <w:t>loan servicing business in April 2008, SCC or the Company has been and may in the future be, subject to litigation and other loss contingencies, including indemnification and contribution claims, pertaining to SCC's mortgage business activities that occurred prior to such termination and sale.</w:t>
      </w:r>
    </w:p>
    <w:p>
      <w:pPr>
        <w:spacing w:after="0" w:line="80"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Parties, including underwriters, depositors, and securitization trustees, have been, remain, or may in the future be, involved in lawsuits, threatened lawsuits, or settlements related to securitization transactions in which SCC participated. A variety of claims are alleged in these matters, including violations of federal and state securities laws and common law fraud, breaches of representations and warranties, or violations of statutory requirements. SCC has received notices of potential indemnification or contribution obligations relating to such matters. Additional lawsuits against the parties to the securitization transactions may be filed in the future, and SCC may receive additional notices of potential indemnification, contribution or similar obligations with respect to existing or new lawsuits or settlements of such lawsuits or other claims. We have not concluded that a loss related to any of these potential indemnification or contribution claims is probable, nor have we accrued a liability related to any of these claims.</w:t>
      </w:r>
    </w:p>
    <w:p>
      <w:pPr>
        <w:spacing w:after="0" w:line="92"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and the indeterminate damages sought. If the amount that SCC is ultimately required to pay with respect to loss contingencies,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also may attempt to assert claims against or seek payment directly from the Company even if SCC's assets exceed its liabilities. SCC's principal assets, as of September 30, 2022, total approximately $264 million and consist of an intercompany note receivable. We believe our legal position is strong on any potential corporate veil-piercing arguments; however, if this position is challenged and not upheld, it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664845</wp:posOffset>
            </wp:positionV>
            <wp:extent cx="220980"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have a material adverse effect on our business and our consolidated financial position, results of operations, and cash flows.</w:t>
      </w:r>
    </w:p>
    <w:p>
      <w:pPr>
        <w:spacing w:after="0" w:line="9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 We are from time to time a party to litigation, arbitration and other loss contingencies not discussed herein arising out of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These matters may include actions by state attorneys general, other state regulators, federal regulators, individual plaintiffs, and cases in which plaintiffs seek to represent others who may be similarly situated.</w:t>
      </w:r>
    </w:p>
    <w:p>
      <w:pPr>
        <w:spacing w:after="0" w:line="80"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61" w:lineRule="exact"/>
        <w:rPr>
          <w:sz w:val="20"/>
          <w:szCs w:val="20"/>
          <w:color w:val="auto"/>
        </w:rPr>
      </w:pPr>
    </w:p>
    <w:p>
      <w:pPr>
        <w:jc w:val="both"/>
        <w:ind w:left="1080" w:hanging="1082"/>
        <w:spacing w:after="0" w:line="284" w:lineRule="auto"/>
        <w:tabs>
          <w:tab w:leader="none" w:pos="1060" w:val="left"/>
        </w:tabs>
        <w:rPr>
          <w:sz w:val="20"/>
          <w:szCs w:val="20"/>
          <w:color w:val="auto"/>
        </w:rPr>
      </w:pPr>
      <w:r>
        <w:rPr>
          <w:rFonts w:ascii="Arial" w:cs="Arial" w:eastAsia="Arial" w:hAnsi="Arial"/>
          <w:sz w:val="24"/>
          <w:szCs w:val="24"/>
          <w:b w:val="1"/>
          <w:bCs w:val="1"/>
          <w:color w:val="14AA40"/>
        </w:rPr>
        <w:t>ITEM 2.</w:t>
        <w:tab/>
        <w:t>MANAGEMENT'S DISCUSSION AND ANALYSIS OF FINANCIAL CONDITION AND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subsidiaries provide assisted and DIY tax preparation solutions through multiple channels (including in-person, online and mobile applications, virtual, and desktop software) and distribute H&amp;R Block-branded products and services, including those of our bank partners,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solutions through our company-owned and franchise offices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599440</wp:posOffset>
            </wp:positionV>
            <wp:extent cx="212725"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hanging="266"/>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19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8"/>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tax preparation and related services: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5"/>
        </w:trPr>
        <w:tc>
          <w:tcPr>
            <w:tcW w:w="546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36,312</w:t>
            </w:r>
          </w:p>
        </w:tc>
        <w:tc>
          <w:tcPr>
            <w:tcW w:w="100" w:type="dxa"/>
            <w:vAlign w:val="bottom"/>
          </w:tcPr>
          <w:p>
            <w:pPr>
              <w:spacing w:after="0"/>
              <w:rPr>
                <w:sz w:val="17"/>
                <w:szCs w:val="17"/>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33,607</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2,705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8.0 %</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6,228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205"/>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3,158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4,061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(903)</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(22.2)%</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(22.9)%</w:t>
            </w:r>
          </w:p>
        </w:tc>
      </w:tr>
      <w:tr>
        <w:trPr>
          <w:trHeight w:val="205"/>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24,770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24,836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(0.3)%</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5,167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0.3 %</w:t>
            </w:r>
          </w:p>
        </w:tc>
      </w:tr>
      <w:tr>
        <w:trPr>
          <w:trHeight w:val="205"/>
        </w:trPr>
        <w:tc>
          <w:tcPr>
            <w:tcW w:w="5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9,360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9,745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(4.0)%</w:t>
            </w:r>
          </w:p>
        </w:tc>
      </w:tr>
      <w:tr>
        <w:trPr>
          <w:trHeight w:val="200"/>
        </w:trPr>
        <w:tc>
          <w:tcPr>
            <w:tcW w:w="54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U.S. tax preparation and related services: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86,279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03"/>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Financial services: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5460" w:type="dxa"/>
            <w:vAlign w:val="bottom"/>
            <w:gridSpan w:val="2"/>
            <w:shd w:val="clear" w:color="auto" w:fill="CCEEFF"/>
          </w:tcPr>
          <w:p>
            <w:pPr>
              <w:ind w:left="240"/>
              <w:spacing w:after="0" w:line="209"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11,612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(16,646)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(58.9)%</w:t>
            </w:r>
          </w:p>
        </w:tc>
      </w:tr>
      <w:tr>
        <w:trPr>
          <w:trHeight w:val="206"/>
        </w:trPr>
        <w:tc>
          <w:tcPr>
            <w:tcW w:w="5460" w:type="dxa"/>
            <w:vAlign w:val="bottom"/>
            <w:tcBorders>
              <w:bottom w:val="single" w:sz="8" w:color="CCEEFF"/>
            </w:tcBorders>
            <w:gridSpan w:val="2"/>
          </w:tcPr>
          <w:p>
            <w:pPr>
              <w:ind w:left="220"/>
              <w:spacing w:after="0" w:line="207" w:lineRule="exact"/>
              <w:rPr>
                <w:sz w:val="20"/>
                <w:szCs w:val="20"/>
                <w:color w:val="auto"/>
              </w:rPr>
            </w:pPr>
            <w:r>
              <w:rPr>
                <w:rFonts w:ascii="Arial" w:cs="Arial" w:eastAsia="Arial" w:hAnsi="Arial"/>
                <w:sz w:val="15"/>
                <w:szCs w:val="15"/>
                <w:color w:val="auto"/>
              </w:rPr>
              <w:t>Interest and fee income on Emerald Advance</w:t>
            </w:r>
            <w:r>
              <w:rPr>
                <w:rFonts w:ascii="Arial" w:cs="Arial" w:eastAsia="Arial" w:hAnsi="Arial"/>
                <w:sz w:val="20"/>
                <w:szCs w:val="20"/>
                <w:color w:val="auto"/>
                <w:vertAlign w:val="superscript"/>
              </w:rPr>
              <w:t>SM</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28.2 %</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financial services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12,226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(57.5)%</w:t>
            </w: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International</w:t>
            </w: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58,834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58,325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509</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0.9 %</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Wave</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22,646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19,137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3,509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18.3 %</w:t>
            </w:r>
          </w:p>
        </w:tc>
      </w:tr>
      <w:tr>
        <w:trPr>
          <w:trHeight w:val="199"/>
        </w:trPr>
        <w:tc>
          <w:tcPr>
            <w:tcW w:w="546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179,985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192,624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(12,639)</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(6.6)%</w:t>
            </w:r>
          </w:p>
        </w:tc>
      </w:tr>
      <w:tr>
        <w:trPr>
          <w:trHeight w:val="18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Compensation and benefits:</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Field wages</w:t>
            </w: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61,673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56,079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(5,594)</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(10.0)%</w:t>
            </w:r>
          </w:p>
        </w:tc>
      </w:tr>
      <w:tr>
        <w:trPr>
          <w:trHeight w:val="207"/>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wages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63,753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205"/>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Benefits and other compensation</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34,832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25,450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(9,382)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(36.9)%</w:t>
            </w:r>
          </w:p>
        </w:tc>
      </w:tr>
      <w:tr>
        <w:trPr>
          <w:trHeight w:val="200"/>
        </w:trPr>
        <w:tc>
          <w:tcPr>
            <w:tcW w:w="5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160,258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(20,665)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(14.8)%</w:t>
            </w:r>
          </w:p>
        </w:tc>
      </w:tr>
      <w:tr>
        <w:trPr>
          <w:trHeight w:val="205"/>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Occupancy</w:t>
            </w: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97,590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95,822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(1,768)</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(1.8)%</w:t>
            </w:r>
          </w:p>
        </w:tc>
      </w:tr>
      <w:tr>
        <w:trPr>
          <w:trHeight w:val="20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Marketing and advertising</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10,649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205"/>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33,624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35,715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2,091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5.9 %</w:t>
            </w:r>
          </w:p>
        </w:tc>
      </w:tr>
      <w:tr>
        <w:trPr>
          <w:trHeight w:val="20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Bad debt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68.5 %</w:t>
            </w:r>
          </w:p>
        </w:tc>
      </w:tr>
      <w:tr>
        <w:trPr>
          <w:trHeight w:val="205"/>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86,646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85,150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(1.8)%</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389,096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367,396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3,611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3,327</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1,171.5 %</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(15,824)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(22,830)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7,006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30.7 %</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Pretax loss</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(221,324)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(197,318)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(24,006)</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(12.2)%</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(53,957)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(47,373)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6,584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13.9 %</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(167,367)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(149,945)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(17,422)</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(11.6)%</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discontinued operations</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(1,054)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36.4 %</w:t>
            </w:r>
          </w:p>
        </w:tc>
      </w:tr>
      <w:tr>
        <w:trPr>
          <w:trHeight w:val="19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(168,421)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(151,601)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(16,820)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(11.1)%</w:t>
            </w:r>
          </w:p>
        </w:tc>
      </w:tr>
      <w:tr>
        <w:trPr>
          <w:trHeight w:val="18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(1.05)</w:t>
            </w:r>
          </w:p>
        </w:tc>
        <w:tc>
          <w:tcPr>
            <w:tcW w:w="100" w:type="dxa"/>
            <w:vAlign w:val="bottom"/>
          </w:tcPr>
          <w:p>
            <w:pPr>
              <w:spacing w:after="0"/>
              <w:rPr>
                <w:sz w:val="17"/>
                <w:szCs w:val="17"/>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(0.84)</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(0.21)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(25.0)%</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Discontinued operations</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Consolidated</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(24.7)%</w:t>
            </w:r>
          </w:p>
        </w:tc>
      </w:tr>
      <w:tr>
        <w:trPr>
          <w:trHeight w:val="200"/>
        </w:trPr>
        <w:tc>
          <w:tcPr>
            <w:tcW w:w="54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5"/>
                <w:szCs w:val="15"/>
                <w:color w:val="auto"/>
              </w:rPr>
              <w:t>Adjusted diluted EPS</w:t>
            </w:r>
            <w:r>
              <w:rPr>
                <w:rFonts w:ascii="Arial" w:cs="Arial" w:eastAsia="Arial" w:hAnsi="Arial"/>
                <w:sz w:val="20"/>
                <w:szCs w:val="20"/>
                <w:color w:val="auto"/>
                <w:vertAlign w:val="superscript"/>
              </w:rPr>
              <w:t>(1)</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(26.9)%</w:t>
            </w:r>
          </w:p>
        </w:tc>
      </w:tr>
      <w:tr>
        <w:trPr>
          <w:trHeight w:val="238"/>
        </w:trPr>
        <w:tc>
          <w:tcPr>
            <w:tcW w:w="5460" w:type="dxa"/>
            <w:vAlign w:val="bottom"/>
            <w:tcBorders>
              <w:bottom w:val="single" w:sz="8" w:color="CCEEFF"/>
            </w:tcBorders>
            <w:gridSpan w:val="2"/>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(1)</w:t>
            </w:r>
          </w:p>
        </w:tc>
        <w:tc>
          <w:tcPr>
            <w:tcW w:w="36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(171,876)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(138,773)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(33,103)</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(23.9)%</w:t>
            </w:r>
          </w:p>
        </w:tc>
      </w:tr>
      <w:tr>
        <w:trPr>
          <w:trHeight w:val="20"/>
        </w:trPr>
        <w:tc>
          <w:tcPr>
            <w:tcW w:w="5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52" w:lineRule="exact"/>
        <w:rPr>
          <w:sz w:val="20"/>
          <w:szCs w:val="20"/>
          <w:color w:val="auto"/>
        </w:rPr>
      </w:pPr>
    </w:p>
    <w:p>
      <w:pPr>
        <w:ind w:left="260" w:hanging="257"/>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All non-GAAP measures are results from continuing operations. See "</w:t>
      </w:r>
      <w:r>
        <w:rPr>
          <w:rFonts w:ascii="Arial" w:cs="Arial" w:eastAsia="Arial" w:hAnsi="Arial"/>
          <w:sz w:val="14"/>
          <w:szCs w:val="14"/>
          <w:u w:val="single" w:color="auto"/>
          <w:color w:val="0000FF"/>
        </w:rPr>
        <w:t>Non-GAAP Financial Information</w:t>
      </w:r>
      <w:r>
        <w:rPr>
          <w:rFonts w:ascii="Arial" w:cs="Arial" w:eastAsia="Arial" w:hAnsi="Arial"/>
          <w:sz w:val="14"/>
          <w:szCs w:val="14"/>
          <w:color w:val="auto"/>
        </w:rPr>
        <w:t>" at the end of this item for a reconciliation of non-GAAP measures</w:t>
      </w:r>
      <w:r>
        <w:rPr>
          <w:rFonts w:ascii="Arial" w:cs="Arial" w:eastAsia="Arial" w:hAnsi="Arial"/>
          <w:sz w:val="12"/>
          <w:szCs w:val="12"/>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2022 compared to September 30, 2021</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decreased $12.6 million, or 6.6%, from the prior year. U.S. assisted tax preparation revenues increased $2.7 million, or 8.0%, primarily due to a higher net average charge and slightly higher return volume in the current year. U.S. royalty revenue decreased $1.1 million, or 15.4%, due to the timing of royalty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597535</wp:posOffset>
            </wp:positionV>
            <wp:extent cx="220980" cy="122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Emerald Card and Spruce revenues decreased $16.6 million, or 58.9%, due to the IRS loading Child Tax Credits monthly to Emerald Cards® in the prior year.</w:t>
      </w:r>
    </w:p>
    <w:p>
      <w:pPr>
        <w:spacing w:after="0" w:line="84"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International tax preparation volumes increased in Australia, which was largely offset by the impacts of foreign currency exchange rates compared to the prior year. Wave revenues increased $3.5 million, or 18.3%, due to higher small business payments processing volumes.</w:t>
      </w:r>
    </w:p>
    <w:p>
      <w:pPr>
        <w:spacing w:after="0" w:line="84" w:lineRule="exact"/>
        <w:rPr>
          <w:sz w:val="20"/>
          <w:szCs w:val="20"/>
          <w:color w:val="auto"/>
        </w:rPr>
      </w:pPr>
    </w:p>
    <w:p>
      <w:pPr>
        <w:jc w:val="both"/>
        <w:ind w:firstLine="232"/>
        <w:spacing w:after="0" w:line="256" w:lineRule="auto"/>
        <w:rPr>
          <w:sz w:val="20"/>
          <w:szCs w:val="20"/>
          <w:color w:val="auto"/>
        </w:rPr>
      </w:pPr>
      <w:r>
        <w:rPr>
          <w:rFonts w:ascii="Arial" w:cs="Arial" w:eastAsia="Arial" w:hAnsi="Arial"/>
          <w:sz w:val="17"/>
          <w:szCs w:val="17"/>
          <w:color w:val="auto"/>
        </w:rPr>
        <w:t>Total operating expenses increased $21.7 million, or 5.9%, from the prior year. Field wages increased $5.6 million, or 10%, due to higher field management wages and a bonus accrual adjustment in the prior year. Other wages increased $5.7 million, or 9.8%, due to higher corporate wages in the current year. Benefits and other compensation increased $9.4 million, or 36.9%, due to higher employee insurance costs and higher payroll taxes as a result of the increase in wages. Occupancy expense increased $1.8 million, or 1.8%, due to higher office rent rates in the current year. Depreciation and amortization expense decreased $2.1 million, or 5.9%, due to lower amortization of acquired intangibles.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operating expenses increased $1.5 million, or 1.8%. The components of other expenses are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9"/>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Consulting and outsourced services</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18,053</w:t>
            </w:r>
          </w:p>
        </w:tc>
        <w:tc>
          <w:tcPr>
            <w:tcW w:w="12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25,857</w:t>
            </w:r>
          </w:p>
        </w:tc>
        <w:tc>
          <w:tcPr>
            <w:tcW w:w="12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7,804</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30.2 %</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Bank partner fees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Client claims and refunds</w:t>
            </w: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6,770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(755)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(12.6)%</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and travel expenses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6,068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(41.4)%</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Technology-related expenses</w:t>
            </w: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25,915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20,325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(5,590)</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(27.5)%</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Credit card/bank charges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16,201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Insurance</w:t>
            </w: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3,718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3,331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(387)</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(11.6)%</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Legal fees and settlements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2,286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24.9 %</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Supplies</w:t>
            </w: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3,395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2,823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(572)</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(20.3)%</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4,259</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4,398</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3.2 %</w:t>
            </w:r>
          </w:p>
        </w:tc>
      </w:tr>
      <w:tr>
        <w:trPr>
          <w:trHeight w:val="237"/>
        </w:trPr>
        <w:tc>
          <w:tcPr>
            <w:tcW w:w="4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86,646</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85,150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(1.8)%</w:t>
            </w:r>
          </w:p>
        </w:tc>
      </w:tr>
      <w:tr>
        <w:trPr>
          <w:trHeight w:val="20"/>
        </w:trPr>
        <w:tc>
          <w:tcPr>
            <w:tcW w:w="49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r>
    </w:tbl>
    <w:p>
      <w:pPr>
        <w:spacing w:after="0" w:line="180"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Consulting and outsourced services expense decreased $7.8 million, or 30.2%, due to lower call center expenses and data processing fees related to lower activity on Emerald Cards. Employee and travel expenses increased $1.8 million, or 41.4%, due to more travel in the current year. Technology-related expenses increased $5.6 million, or 27.5%, due to increased investments in information technology. Credit card and bank charges increased $1.2 million, or 8.3%, due to higher Wave small business payment processing fees.</w:t>
      </w:r>
    </w:p>
    <w:p>
      <w:pPr>
        <w:spacing w:after="0" w:line="91"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Other income (expense), net increased $3.3 million primarily due to higher interest income as a result of higher interest rates. Interest expense on borrowings decreased $7.0 million, or 30.7%, due to the repayment of our $500 million 5.500% Senior Notes in May 2022.</w:t>
      </w:r>
    </w:p>
    <w:p>
      <w:pPr>
        <w:spacing w:after="0" w:line="84"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We recorded an income tax benefit of $54.0 million in the current year compared to $47.4 million in the prior year. The effective tax rate for the three months ended September 30, 2022, and 2021 was 24.4% and 24.0%,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These comments should be read in conjunction with the consolidated balance sheets and consolidated statements of cash flows included in </w:t>
      </w:r>
      <w:r>
        <w:rPr>
          <w:rFonts w:ascii="Arial" w:cs="Arial" w:eastAsia="Arial" w:hAnsi="Arial"/>
          <w:sz w:val="17"/>
          <w:szCs w:val="17"/>
          <w:u w:val="single" w:color="auto"/>
          <w:color w:val="0000FF"/>
        </w:rPr>
        <w:t>Part 1,</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Item 1</w:t>
      </w:r>
      <w:r>
        <w:rPr>
          <w:rFonts w:ascii="Arial" w:cs="Arial" w:eastAsia="Arial" w:hAnsi="Arial"/>
          <w:sz w:val="17"/>
          <w:szCs w:val="17"/>
          <w:color w:val="000000"/>
        </w:rPr>
        <w: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CAPITAL RESOURCES AND LIQUIDITY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 Our primary sources of capital and liquidity include cash from operations (including changes in working capital), draws on our</w:t>
      </w:r>
      <w:r>
        <w:rPr>
          <w:rFonts w:ascii="Arial" w:cs="Arial" w:eastAsia="Arial" w:hAnsi="Arial"/>
          <w:sz w:val="17"/>
          <w:szCs w:val="17"/>
          <w:b w:val="1"/>
          <w:bCs w:val="1"/>
          <w:color w:val="auto"/>
        </w:rPr>
        <w:t xml:space="preserve"> </w:t>
      </w:r>
      <w:r>
        <w:rPr>
          <w:rFonts w:ascii="Arial" w:cs="Arial" w:eastAsia="Arial" w:hAnsi="Arial"/>
          <w:sz w:val="17"/>
          <w:szCs w:val="17"/>
          <w:color w:val="auto"/>
        </w:rPr>
        <w:t>CLOC, and issuances of debt. We use our sources of liquidity primarily to fund working capital, service and repay debt, pay dividends, repurchase shares of our common stock, and acquire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599440</wp:posOffset>
            </wp:positionV>
            <wp:extent cx="212725"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0" w:hanging="266"/>
        <w:spacing w:after="0"/>
        <w:tabs>
          <w:tab w:leader="none" w:pos="36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spacing w:after="0" w:line="91"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Given the likely availability of a number of liquidity options discussed herein, we believe that, in the absence of any unexpected developments, our existing sources of capital as of September 30, 2022 are sufficient to meet our operating, investing and financing needs.</w:t>
      </w:r>
    </w:p>
    <w:p>
      <w:pPr>
        <w:spacing w:after="0" w:line="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DISCUSSION OF CONSOLIDATED STATEMENTS OF CASH FLOWS </w:t>
      </w:r>
      <w:r>
        <w:rPr>
          <w:rFonts w:ascii="Arial" w:cs="Arial" w:eastAsia="Arial" w:hAnsi="Arial"/>
          <w:sz w:val="17"/>
          <w:szCs w:val="17"/>
          <w:color w:val="auto"/>
        </w:rPr>
        <w:t>– The following table summarizes our statements of cash flows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three months ended September 30, 2022 and 2021. See </w:t>
      </w:r>
      <w:r>
        <w:rPr>
          <w:rFonts w:ascii="Arial" w:cs="Arial" w:eastAsia="Arial" w:hAnsi="Arial"/>
          <w:sz w:val="17"/>
          <w:szCs w:val="17"/>
          <w:u w:val="single" w:color="auto"/>
          <w:color w:val="0000FF"/>
        </w:rPr>
        <w:t>Item 1</w:t>
      </w:r>
      <w:r>
        <w:rPr>
          <w:rFonts w:ascii="Arial" w:cs="Arial" w:eastAsia="Arial" w:hAnsi="Arial"/>
          <w:sz w:val="17"/>
          <w:szCs w:val="17"/>
          <w:color w:val="auto"/>
        </w:rPr>
        <w:t xml:space="preserve"> for the complete consolidated statements of cash flows for these periods.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8"/>
        </w:trPr>
        <w:tc>
          <w:tcPr>
            <w:tcW w:w="6560" w:type="dxa"/>
            <w:vAlign w:val="bottom"/>
            <w:gridSpan w:val="2"/>
          </w:tcPr>
          <w:p>
            <w:pPr>
              <w:ind w:left="20"/>
              <w:spacing w:after="0"/>
              <w:rPr>
                <w:sz w:val="20"/>
                <w:szCs w:val="20"/>
                <w:color w:val="auto"/>
              </w:rPr>
            </w:pPr>
            <w:r>
              <w:rPr>
                <w:rFonts w:ascii="Arial" w:cs="Arial" w:eastAsia="Arial" w:hAnsi="Arial"/>
                <w:sz w:val="15"/>
                <w:szCs w:val="15"/>
                <w:color w:val="auto"/>
              </w:rPr>
              <w:t>Net cash used in:</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activities</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(321,666)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(312,624)</w:t>
            </w:r>
          </w:p>
        </w:tc>
      </w:tr>
      <w:tr>
        <w:trPr>
          <w:trHeight w:val="205"/>
        </w:trPr>
        <w:tc>
          <w:tcPr>
            <w:tcW w:w="6560" w:type="dxa"/>
            <w:vAlign w:val="bottom"/>
            <w:gridSpan w:val="2"/>
          </w:tcPr>
          <w:p>
            <w:pPr>
              <w:ind w:left="140"/>
              <w:spacing w:after="0"/>
              <w:rPr>
                <w:sz w:val="20"/>
                <w:szCs w:val="20"/>
                <w:color w:val="auto"/>
              </w:rPr>
            </w:pPr>
            <w:r>
              <w:rPr>
                <w:rFonts w:ascii="Arial" w:cs="Arial" w:eastAsia="Arial" w:hAnsi="Arial"/>
                <w:sz w:val="15"/>
                <w:szCs w:val="15"/>
                <w:color w:val="auto"/>
              </w:rPr>
              <w:t>Investing activities</w:t>
            </w:r>
          </w:p>
        </w:tc>
        <w:tc>
          <w:tcPr>
            <w:tcW w:w="8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(37,358)</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(19,453)</w:t>
            </w:r>
          </w:p>
        </w:tc>
      </w:tr>
      <w:tr>
        <w:trPr>
          <w:trHeight w:val="207"/>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Financing activities</w:t>
            </w:r>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(246,893)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(217,322)</w:t>
            </w:r>
          </w:p>
        </w:tc>
      </w:tr>
      <w:tr>
        <w:trPr>
          <w:trHeight w:val="205"/>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Effects of exchange rates on cash</w:t>
            </w: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(13,422)</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(3,959)</w:t>
            </w:r>
          </w:p>
        </w:tc>
      </w:tr>
      <w:tr>
        <w:trPr>
          <w:trHeight w:val="20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(619,339)</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(553,358)</w:t>
            </w:r>
          </w:p>
        </w:tc>
      </w:tr>
      <w:tr>
        <w:trPr>
          <w:trHeight w:val="32"/>
        </w:trPr>
        <w:tc>
          <w:tcPr>
            <w:tcW w:w="6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60"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used in operations totaled $321.7 million for the three months ended September 30, 2022 compared to $312.6</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prior year period. The change is primarily due to the timing of receivables collections and an increase in our net loss, partially offset by the receipt of an income tax receivable in the current year.</w:t>
      </w:r>
    </w:p>
    <w:p>
      <w:pPr>
        <w:spacing w:after="0" w:line="6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in investing activities totaled $37.4 million for the three months ended September 30, 2022 compared to $19.5</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prior year period. The change is primarily due to payments to acquire businesses in the current year.</w:t>
      </w:r>
    </w:p>
    <w:p>
      <w:pPr>
        <w:spacing w:after="0" w:line="43"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used in financing activities totaled $246.9 million for the three months ended September 30, 2022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$217.3 million in the prior year period. The change is due to higher share repurchases in the current year.</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CASH REQUIREMENTS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Dividends and Share Repurchases. </w:t>
      </w:r>
      <w:r>
        <w:rPr>
          <w:rFonts w:ascii="Arial" w:cs="Arial" w:eastAsia="Arial" w:hAnsi="Arial"/>
          <w:sz w:val="17"/>
          <w:szCs w:val="17"/>
          <w:color w:val="auto"/>
        </w:rPr>
        <w:t>Returning capital to shareholders in the form of dividends and the repurchase of outstanding shares is,</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historically been, a significant component of our capital allocation plan.</w:t>
      </w:r>
    </w:p>
    <w:p>
      <w:pPr>
        <w:spacing w:after="0" w:line="63"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We have consistently paid quarterly dividends. Dividends paid totaled $43.1 million and $49.0 million for the three months ended September 30, 2022 and 2021, respectively. Although we have historically paid dividends and plan to continue to do so, there can be no assurances that circumstances will not change in the future that could affect our ability or decisions to pay dividends.</w:t>
      </w:r>
    </w:p>
    <w:p>
      <w:pPr>
        <w:spacing w:after="0" w:line="89"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In August 2022, the Board of Directors approved a $1.25 billion share repurchase program, effective through fiscal year 2025. During the three months ended September 30, 2022, we repurchased $219.8 million of our common stock at an average price of $44.60 per share. In the prior year period, we repurchased $165.8 million of our common stock at an average price of $24.37 per share. Our current share repurchase program has remaining authorization of $1.03 billion which is effective through June 2025.</w:t>
      </w:r>
    </w:p>
    <w:p>
      <w:pPr>
        <w:spacing w:after="0" w:line="91"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607060</wp:posOffset>
            </wp:positionV>
            <wp:extent cx="220980" cy="122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260"/>
        <w:spacing w:after="0" w:line="262" w:lineRule="auto"/>
        <w:rPr>
          <w:sz w:val="20"/>
          <w:szCs w:val="20"/>
          <w:color w:val="auto"/>
        </w:rPr>
      </w:pPr>
      <w:r>
        <w:rPr>
          <w:rFonts w:ascii="Arial" w:cs="Arial" w:eastAsia="Arial" w:hAnsi="Arial"/>
          <w:sz w:val="17"/>
          <w:szCs w:val="17"/>
          <w:b w:val="1"/>
          <w:bCs w:val="1"/>
          <w:color w:val="auto"/>
        </w:rPr>
        <w:t xml:space="preserve">Capital Investment. </w:t>
      </w:r>
      <w:r>
        <w:rPr>
          <w:rFonts w:ascii="Arial" w:cs="Arial" w:eastAsia="Arial" w:hAnsi="Arial"/>
          <w:sz w:val="17"/>
          <w:szCs w:val="17"/>
          <w:color w:val="auto"/>
        </w:rPr>
        <w:t>Capital expenditures totaled $16.2 million and $15.6 million for the three months ended September 30, 2022 and 2021,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$16.5 million and $4.3 million during the three months ended September 30, 2022 and 2021, respectively. See </w:t>
      </w:r>
      <w:r>
        <w:rPr>
          <w:rFonts w:ascii="Arial" w:cs="Arial" w:eastAsia="Arial" w:hAnsi="Arial"/>
          <w:sz w:val="17"/>
          <w:szCs w:val="17"/>
          <w:u w:val="single" w:color="auto"/>
          <w:color w:val="0000FF"/>
        </w:rPr>
        <w:t>Item 1, note 5</w:t>
      </w:r>
      <w:r>
        <w:rPr>
          <w:rFonts w:ascii="Arial" w:cs="Arial" w:eastAsia="Arial" w:hAnsi="Arial"/>
          <w:sz w:val="17"/>
          <w:szCs w:val="17"/>
          <w:color w:val="auto"/>
        </w:rPr>
        <w:t xml:space="preserve"> for additional information on our acquisitions.</w:t>
      </w:r>
    </w:p>
    <w:p>
      <w:pPr>
        <w:spacing w:after="0" w:line="68"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b w:val="1"/>
          <w:bCs w:val="1"/>
          <w:color w:val="auto"/>
        </w:rPr>
        <w:t xml:space="preserve">FINANCING RESOURCES </w:t>
      </w:r>
      <w:r>
        <w:rPr>
          <w:rFonts w:ascii="Arial" w:cs="Arial" w:eastAsia="Arial" w:hAnsi="Arial"/>
          <w:sz w:val="17"/>
          <w:szCs w:val="17"/>
          <w:color w:val="auto"/>
        </w:rPr>
        <w:t>– The CLOC has capacity up to $1.5 billion and is scheduled to expire in June 2026. Proceeds under the CLOC may</w:t>
      </w:r>
      <w:r>
        <w:rPr>
          <w:rFonts w:ascii="Arial" w:cs="Arial" w:eastAsia="Arial" w:hAnsi="Arial"/>
          <w:sz w:val="17"/>
          <w:szCs w:val="17"/>
          <w:b w:val="1"/>
          <w:bCs w:val="1"/>
          <w:color w:val="auto"/>
        </w:rPr>
        <w:t xml:space="preserve"> </w:t>
      </w:r>
      <w:r>
        <w:rPr>
          <w:rFonts w:ascii="Arial" w:cs="Arial" w:eastAsia="Arial" w:hAnsi="Arial"/>
          <w:sz w:val="17"/>
          <w:szCs w:val="17"/>
          <w:color w:val="auto"/>
        </w:rPr>
        <w:t>be used for working capital needs or for other general corporate purposes. We had no outstanding balance under our CLOC and amounts available to borrow were limited by the debt-to-EBITDA covenant to approximately $1.47 billion as of September 30, 2022.</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ratings for debt issued by Block Financial LLC (Block Financial) as of September 30, 2022 and June 30,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5"/>
                <w:szCs w:val="15"/>
                <w:b w:val="1"/>
                <w:bCs w:val="1"/>
                <w:color w:val="auto"/>
              </w:rPr>
              <w:t>September 30, 2022</w:t>
            </w: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5"/>
                <w:szCs w:val="15"/>
                <w:color w:val="auto"/>
              </w:rPr>
              <w:t>June 30, 2022</w:t>
            </w:r>
          </w:p>
        </w:tc>
        <w:tc>
          <w:tcPr>
            <w:tcW w:w="1200" w:type="dxa"/>
            <w:vAlign w:val="bottom"/>
            <w:tcBorders>
              <w:top w:val="single" w:sz="8" w:color="auto"/>
              <w:bottom w:val="single" w:sz="8" w:color="auto"/>
            </w:tcBorders>
          </w:tcPr>
          <w:p>
            <w:pPr>
              <w:spacing w:after="0"/>
              <w:rPr>
                <w:sz w:val="18"/>
                <w:szCs w:val="18"/>
                <w:color w:val="auto"/>
              </w:rPr>
            </w:pPr>
          </w:p>
        </w:tc>
      </w:tr>
      <w:tr>
        <w:trPr>
          <w:trHeight w:val="198"/>
        </w:trPr>
        <w:tc>
          <w:tcPr>
            <w:tcW w:w="3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r>
      <w:tr>
        <w:trPr>
          <w:trHeight w:val="201"/>
        </w:trPr>
        <w:tc>
          <w:tcPr>
            <w:tcW w:w="3480" w:type="dxa"/>
            <w:vAlign w:val="bottom"/>
            <w:gridSpan w:val="2"/>
          </w:tcPr>
          <w:p>
            <w:pPr>
              <w:ind w:left="20"/>
              <w:spacing w:after="0"/>
              <w:rPr>
                <w:sz w:val="20"/>
                <w:szCs w:val="20"/>
                <w:color w:val="auto"/>
              </w:rPr>
            </w:pPr>
            <w:r>
              <w:rPr>
                <w:rFonts w:ascii="Arial" w:cs="Arial" w:eastAsia="Arial" w:hAnsi="Arial"/>
                <w:sz w:val="15"/>
                <w:szCs w:val="15"/>
                <w:color w:val="auto"/>
              </w:rPr>
              <w:t>Moody's</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P-3</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Baa3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Positive</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P-3</w:t>
            </w: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Baa3</w:t>
            </w:r>
          </w:p>
        </w:tc>
        <w:tc>
          <w:tcPr>
            <w:tcW w:w="1200" w:type="dxa"/>
            <w:vAlign w:val="bottom"/>
          </w:tcPr>
          <w:p>
            <w:pPr>
              <w:jc w:val="right"/>
              <w:spacing w:after="0"/>
              <w:rPr>
                <w:sz w:val="20"/>
                <w:szCs w:val="20"/>
                <w:color w:val="auto"/>
              </w:rPr>
            </w:pPr>
            <w:r>
              <w:rPr>
                <w:rFonts w:ascii="Arial" w:cs="Arial" w:eastAsia="Arial" w:hAnsi="Arial"/>
                <w:sz w:val="15"/>
                <w:szCs w:val="15"/>
                <w:color w:val="auto"/>
              </w:rPr>
              <w:t>Stable</w:t>
            </w:r>
          </w:p>
        </w:tc>
      </w:tr>
      <w:tr>
        <w:trPr>
          <w:trHeight w:val="206"/>
        </w:trPr>
        <w:tc>
          <w:tcPr>
            <w:tcW w:w="34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S&amp;P</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A-2</w:t>
            </w: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5"/>
                <w:szCs w:val="15"/>
                <w:b w:val="1"/>
                <w:bCs w:val="1"/>
                <w:color w:val="auto"/>
              </w:rPr>
              <w:t>BBB</w:t>
            </w:r>
          </w:p>
        </w:tc>
        <w:tc>
          <w:tcPr>
            <w:tcW w:w="10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Stable</w:t>
            </w: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A-2</w:t>
            </w:r>
          </w:p>
        </w:tc>
        <w:tc>
          <w:tcPr>
            <w:tcW w:w="1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BBB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Stable</w:t>
            </w:r>
          </w:p>
        </w:tc>
      </w:tr>
    </w:tbl>
    <w:p>
      <w:pPr>
        <w:spacing w:after="0" w:line="167"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Other than described above, there have been no material changes in our borrowings from those reported as of June 30, 2022 in our Annual Report to Shareholders on Form 10-K.</w:t>
      </w:r>
    </w:p>
    <w:p>
      <w:pPr>
        <w:spacing w:after="0" w:line="64"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b w:val="1"/>
          <w:bCs w:val="1"/>
          <w:color w:val="auto"/>
        </w:rPr>
        <w:t xml:space="preserve">CASH AND OTHER ASSETS </w:t>
      </w:r>
      <w:r>
        <w:rPr>
          <w:rFonts w:ascii="Arial" w:cs="Arial" w:eastAsia="Arial" w:hAnsi="Arial"/>
          <w:sz w:val="17"/>
          <w:szCs w:val="17"/>
          <w:color w:val="auto"/>
        </w:rPr>
        <w:t>– As of September 30, 2022, we held cash and cash equivalents, excluding restricted amounts, of $322.8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$127.4 million held by our foreign subsidiaries. We received $100.6 million of our federal income tax receivable subsequent to September 30, 2022.</w:t>
      </w:r>
    </w:p>
    <w:p>
      <w:pPr>
        <w:spacing w:after="0" w:line="6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Foreign Operations. </w:t>
      </w:r>
      <w:r>
        <w:rPr>
          <w:rFonts w:ascii="Arial" w:cs="Arial" w:eastAsia="Arial" w:hAnsi="Arial"/>
          <w:sz w:val="17"/>
          <w:szCs w:val="17"/>
          <w:color w:val="auto"/>
        </w:rPr>
        <w:t>Seasonal borrowing needs of our Canadian operations are typically funded by our U.S. operations. To mitigate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risk, we sometimes enter into foreign exchange forward contracts. There were no forward contracts outstanding as of September 30, 2022.</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do not currently intend to repatriate non-borrowed funds held by our foreign subsidiaries in a manner that would trigger a material tax liability.</w:t>
      </w:r>
    </w:p>
    <w:p>
      <w:pPr>
        <w:spacing w:after="0" w:line="114"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 impact of changes in foreign exchange rates during the period on our international cash balances resulted in a decrease of $13.4 million during the three months ended September 30, 2022 and in a decrease of $4.0 million during the three months ended September 30, 2021.</w:t>
      </w:r>
    </w:p>
    <w:p>
      <w:pPr>
        <w:spacing w:after="0" w:line="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CONTRACTUAL OBLIGATIONS AND COMMERCIAL COMMITMENTS </w:t>
      </w:r>
      <w:r>
        <w:rPr>
          <w:rFonts w:ascii="Arial" w:cs="Arial" w:eastAsia="Arial" w:hAnsi="Arial"/>
          <w:sz w:val="17"/>
          <w:szCs w:val="17"/>
          <w:color w:val="auto"/>
        </w:rPr>
        <w:t>– There have been no material changes in our contractual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commercial commitments from those reported in our June 30, 2022 Annual Report to Shareholders on Form 10-K.</w:t>
      </w:r>
    </w:p>
    <w:p>
      <w:pPr>
        <w:spacing w:after="0" w:line="43"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SUMMARIZED GUARANTOR FINANCIAL STATEMENTS </w:t>
      </w:r>
      <w:r>
        <w:rPr>
          <w:rFonts w:ascii="Arial" w:cs="Arial" w:eastAsia="Arial" w:hAnsi="Arial"/>
          <w:sz w:val="17"/>
          <w:szCs w:val="17"/>
          <w:color w:val="auto"/>
        </w:rPr>
        <w:t>– Block Financial is a 100% owned subsidiary of H&amp;R Block, Inc. Block Financial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Issuer and H&amp;R Block, Inc. is the full and unconditional Guarantor of our Senior Notes, CLOC and other indebtedness issued from time to time.</w:t>
      </w:r>
    </w:p>
    <w:p>
      <w:pPr>
        <w:spacing w:after="0" w:line="6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BALANCE SHEET - GUARANTOR AND ISSUER</w:t>
            </w:r>
          </w:p>
        </w:tc>
        <w:tc>
          <w:tcPr>
            <w:tcW w:w="3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9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2022</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2022</w:t>
            </w:r>
          </w:p>
        </w:tc>
      </w:tr>
      <w:tr>
        <w:trPr>
          <w:trHeight w:val="199"/>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Current assets</w:t>
            </w:r>
          </w:p>
        </w:tc>
        <w:tc>
          <w:tcPr>
            <w:tcW w:w="380" w:type="dxa"/>
            <w:vAlign w:val="bottom"/>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50,399</w:t>
            </w:r>
          </w:p>
        </w:tc>
        <w:tc>
          <w:tcPr>
            <w:tcW w:w="1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38,922</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1,682,102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1,698,242</w:t>
            </w:r>
          </w:p>
        </w:tc>
      </w:tr>
      <w:tr>
        <w:trPr>
          <w:trHeight w:val="205"/>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Current liabilities</w:t>
            </w:r>
          </w:p>
        </w:tc>
        <w:tc>
          <w:tcPr>
            <w:tcW w:w="3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106,679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75,855</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1,497,818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1,495,732</w:t>
            </w:r>
          </w:p>
        </w:tc>
      </w:tr>
      <w:tr>
        <w:trPr>
          <w:trHeight w:val="52"/>
        </w:trPr>
        <w:tc>
          <w:tcPr>
            <w:tcW w:w="6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662940</wp:posOffset>
            </wp:positionV>
            <wp:extent cx="212725" cy="122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hanging="266"/>
        <w:spacing w:after="0"/>
        <w:tabs>
          <w:tab w:leader="none" w:pos="36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STATEMENTS OF OPERATIONS - GUARANTOR AND ISSUER</w:t>
            </w:r>
          </w:p>
        </w:tc>
        <w:tc>
          <w:tcPr>
            <w:tcW w:w="3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49"/>
        </w:trPr>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gridSpan w:val="2"/>
          </w:tcPr>
          <w:p>
            <w:pPr>
              <w:jc w:val="right"/>
              <w:ind w:right="120"/>
              <w:spacing w:after="0" w:line="149" w:lineRule="exact"/>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Arial" w:cs="Arial" w:eastAsia="Arial" w:hAnsi="Arial"/>
                <w:sz w:val="15"/>
                <w:szCs w:val="15"/>
                <w:color w:val="auto"/>
              </w:rPr>
              <w:t>Twelve months ended June</w:t>
            </w:r>
          </w:p>
        </w:tc>
      </w:tr>
      <w:tr>
        <w:trPr>
          <w:trHeight w:val="205"/>
        </w:trPr>
        <w:tc>
          <w:tcPr>
            <w:tcW w:w="6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30, 2022</w:t>
            </w:r>
          </w:p>
        </w:tc>
      </w:tr>
      <w:tr>
        <w:trPr>
          <w:trHeight w:val="199"/>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Total revenues</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13,420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199,683</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44,404</w:t>
            </w:r>
          </w:p>
        </w:tc>
      </w:tr>
      <w:tr>
        <w:trPr>
          <w:trHeight w:val="205"/>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3,490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41,979</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35,007</w:t>
            </w:r>
          </w:p>
        </w:tc>
      </w:tr>
      <w:tr>
        <w:trPr>
          <w:trHeight w:val="52"/>
        </w:trPr>
        <w:tc>
          <w:tcPr>
            <w:tcW w:w="6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bl>
    <w:p>
      <w:pPr>
        <w:spacing w:after="0" w:line="19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 table above reflects $1.6 billion of non-current intercompany receivables due to the Issuer from non-guarantor subsidiaries as of September 30, 2022 and June 30, 2022.</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ENVIRONMENT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previously disclosed, in 2017 the Consumer Financial Protection Bureau (CFPB) published its final rule regulating certain consumer credit products (Payday Rule), which the CFPB later limited by removing the mandatory underwriting provisions. Certain limited provisions of the Payday Rule became effective in 2018, but most provisions were scheduled to go into effect in 2019. Litigation in a federal district court in Texas had stayed that effective date, but on August 31, 2021 the judge in that litigation ruled in favor of the CFPB. The plaintiffs appealed, and, on October 14, 2021, the United States Court of Appeals for the Fifth Circuit extended the compliance deadline until after the appeal is resolved. On October 19, 2022, the appellate court found that the funding mechanism for the CFPB was unconstitutional and vacated the Payday Rule; however, the CFPB may take further action to challenge this ruling.</w:t>
      </w:r>
    </w:p>
    <w:p>
      <w:pPr>
        <w:spacing w:after="0" w:line="93" w:lineRule="exact"/>
        <w:rPr>
          <w:sz w:val="20"/>
          <w:szCs w:val="20"/>
          <w:color w:val="auto"/>
        </w:rPr>
      </w:pPr>
    </w:p>
    <w:p>
      <w:pPr>
        <w:jc w:val="both"/>
        <w:ind w:firstLine="232"/>
        <w:spacing w:after="0" w:line="230" w:lineRule="auto"/>
        <w:rPr>
          <w:sz w:val="20"/>
          <w:szCs w:val="20"/>
          <w:color w:val="auto"/>
        </w:rPr>
      </w:pPr>
      <w:r>
        <w:rPr>
          <w:rFonts w:ascii="Arial" w:cs="Arial" w:eastAsia="Arial" w:hAnsi="Arial"/>
          <w:sz w:val="17"/>
          <w:szCs w:val="17"/>
          <w:color w:val="auto"/>
        </w:rPr>
        <w:t>We are unsure whether, when, or in what form the Payday Rule will go into effect. Though we do not currently expect the Payday Rule to have a material adverse impact on Emerald Advance</w:t>
      </w:r>
      <w:r>
        <w:rPr>
          <w:rFonts w:ascii="Arial" w:cs="Arial" w:eastAsia="Arial" w:hAnsi="Arial"/>
          <w:sz w:val="22"/>
          <w:szCs w:val="22"/>
          <w:color w:val="auto"/>
          <w:vertAlign w:val="superscript"/>
        </w:rPr>
        <w:t>SM</w:t>
      </w:r>
      <w:r>
        <w:rPr>
          <w:rFonts w:ascii="Arial" w:cs="Arial" w:eastAsia="Arial" w:hAnsi="Arial"/>
          <w:sz w:val="17"/>
          <w:szCs w:val="17"/>
          <w:color w:val="auto"/>
        </w:rPr>
        <w:t>, our business, or our consolidated financial position, results of operations, and cash flows, we will continue to monitor and analyze the potential impact of any further developments on the Company.</w:t>
      </w:r>
    </w:p>
    <w:p>
      <w:pPr>
        <w:spacing w:after="0" w:line="105"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There have been no other material changes in our regulatory environment from what was reported in our June 30, 2022 Annual Report to Shareholders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INFORMATION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89"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91"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598805</wp:posOffset>
            </wp:positionV>
            <wp:extent cx="220980" cy="122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net loss to EBITDA from continuing operations, which is a non-GAAP financial measure: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5"/>
                <w:szCs w:val="15"/>
                <w:color w:val="auto"/>
              </w:rPr>
              <w:t>Three months ended September 30,</w:t>
            </w:r>
          </w:p>
        </w:tc>
      </w:tr>
      <w:tr>
        <w:trPr>
          <w:trHeight w:val="201"/>
        </w:trPr>
        <w:tc>
          <w:tcPr>
            <w:tcW w:w="7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7720" w:type="dxa"/>
            <w:vAlign w:val="bottom"/>
            <w:gridSpan w:val="2"/>
          </w:tcPr>
          <w:p>
            <w:pPr>
              <w:ind w:left="20"/>
              <w:spacing w:after="0"/>
              <w:rPr>
                <w:sz w:val="20"/>
                <w:szCs w:val="20"/>
                <w:color w:val="auto"/>
              </w:rPr>
            </w:pPr>
            <w:r>
              <w:rPr>
                <w:rFonts w:ascii="Arial" w:cs="Arial" w:eastAsia="Arial" w:hAnsi="Arial"/>
                <w:sz w:val="15"/>
                <w:szCs w:val="15"/>
                <w:color w:val="auto"/>
              </w:rPr>
              <w:t>Net loss - as reported</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(168,421)</w:t>
            </w:r>
          </w:p>
        </w:tc>
        <w:tc>
          <w:tcPr>
            <w:tcW w:w="12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(151,601)</w:t>
            </w:r>
          </w:p>
        </w:tc>
      </w:tr>
      <w:tr>
        <w:trPr>
          <w:trHeight w:val="20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Discontinued operations, net</w:t>
            </w: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1,054</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1,656</w:t>
            </w:r>
          </w:p>
        </w:tc>
      </w:tr>
      <w:tr>
        <w:trPr>
          <w:trHeight w:val="199"/>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 from continuing operations - as reported</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(167,367)</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(149,945)</w:t>
            </w:r>
          </w:p>
        </w:tc>
      </w:tr>
      <w:tr>
        <w:trPr>
          <w:trHeight w:val="18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 back:</w:t>
            </w: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Income tax benefit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(53,957)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(47,373)</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15,824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22,830</w:t>
            </w:r>
          </w:p>
        </w:tc>
      </w:tr>
      <w:tr>
        <w:trPr>
          <w:trHeight w:val="205"/>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33,624</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35,715</w:t>
            </w:r>
          </w:p>
        </w:tc>
      </w:tr>
      <w:tr>
        <w:trPr>
          <w:trHeight w:val="199"/>
        </w:trPr>
        <w:tc>
          <w:tcPr>
            <w:tcW w:w="7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(4,509)</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11,172</w:t>
            </w:r>
          </w:p>
        </w:tc>
      </w:tr>
      <w:tr>
        <w:trPr>
          <w:trHeight w:val="237"/>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EBITDA from continuing operations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(171,876)</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(138,773)</w:t>
            </w:r>
          </w:p>
        </w:tc>
      </w:tr>
      <w:tr>
        <w:trPr>
          <w:trHeight w:val="20"/>
        </w:trPr>
        <w:tc>
          <w:tcPr>
            <w:tcW w:w="76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our results from continuing operations to our adjusted results from continuing operations, which is a non-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GAAP financial measure:</w:t>
      </w:r>
    </w:p>
    <w:p>
      <w:pPr>
        <w:spacing w:after="0" w:line="81"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(in 000s, except per share amounts)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4"/>
          </w:tcPr>
          <w:p>
            <w:pPr>
              <w:jc w:val="right"/>
              <w:ind w:right="443"/>
              <w:spacing w:after="0"/>
              <w:rPr>
                <w:sz w:val="20"/>
                <w:szCs w:val="20"/>
                <w:color w:val="auto"/>
              </w:rPr>
            </w:pPr>
            <w:r>
              <w:rPr>
                <w:rFonts w:ascii="Arial" w:cs="Arial" w:eastAsia="Arial" w:hAnsi="Arial"/>
                <w:sz w:val="15"/>
                <w:szCs w:val="15"/>
                <w:color w:val="auto"/>
              </w:rPr>
              <w:t>Three months ended September 30,</w:t>
            </w:r>
          </w:p>
        </w:tc>
      </w:tr>
      <w:tr>
        <w:trPr>
          <w:trHeight w:val="201"/>
        </w:trPr>
        <w:tc>
          <w:tcPr>
            <w:tcW w:w="7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772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 - as reported</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(167,367)</w:t>
            </w:r>
          </w:p>
        </w:tc>
        <w:tc>
          <w:tcPr>
            <w:tcW w:w="12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(149,945)</w:t>
            </w: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Amortization of intangibles related to acquisitions (pretax)</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12,696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14,870</w:t>
            </w:r>
          </w:p>
        </w:tc>
      </w:tr>
      <w:tr>
        <w:trPr>
          <w:trHeight w:val="207"/>
        </w:trPr>
        <w:tc>
          <w:tcPr>
            <w:tcW w:w="7720" w:type="dxa"/>
            <w:vAlign w:val="bottom"/>
            <w:gridSpan w:val="2"/>
            <w:shd w:val="clear" w:color="auto" w:fill="CCEEFF"/>
          </w:tcPr>
          <w:p>
            <w:pPr>
              <w:ind w:left="120"/>
              <w:spacing w:after="0" w:line="207" w:lineRule="exact"/>
              <w:rPr>
                <w:sz w:val="20"/>
                <w:szCs w:val="20"/>
                <w:color w:val="auto"/>
              </w:rPr>
            </w:pPr>
            <w:r>
              <w:rPr>
                <w:rFonts w:ascii="Arial" w:cs="Arial" w:eastAsia="Arial" w:hAnsi="Arial"/>
                <w:sz w:val="15"/>
                <w:szCs w:val="15"/>
                <w:color w:val="auto"/>
              </w:rPr>
              <w:t xml:space="preserve">Tax effect of adjustments </w:t>
            </w:r>
            <w:r>
              <w:rPr>
                <w:rFonts w:ascii="Arial" w:cs="Arial" w:eastAsia="Arial" w:hAnsi="Arial"/>
                <w:sz w:val="20"/>
                <w:szCs w:val="20"/>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(3,221)</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(3,635)</w:t>
            </w:r>
          </w:p>
        </w:tc>
      </w:tr>
      <w:tr>
        <w:trPr>
          <w:trHeight w:val="198"/>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Adjusted net loss from continuing operations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(157,892)</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(138,710)</w:t>
            </w:r>
          </w:p>
        </w:tc>
      </w:tr>
      <w:tr>
        <w:trPr>
          <w:trHeight w:val="20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Diluted loss per share from continuing operations - as reported</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(0.84)</w:t>
            </w:r>
          </w:p>
        </w:tc>
      </w:tr>
      <w:tr>
        <w:trPr>
          <w:trHeight w:val="205"/>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Adjustments, net of tax</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0.06</w:t>
            </w:r>
          </w:p>
        </w:tc>
      </w:tr>
      <w:tr>
        <w:trPr>
          <w:trHeight w:val="20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Adjusted diluted loss per share from continuing operations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(0.99)</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(0.78)</w:t>
            </w:r>
          </w:p>
        </w:tc>
      </w:tr>
      <w:tr>
        <w:trPr>
          <w:trHeight w:val="32"/>
        </w:trPr>
        <w:tc>
          <w:tcPr>
            <w:tcW w:w="7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609600</wp:posOffset>
            </wp:positionV>
            <wp:extent cx="212725"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hanging="266"/>
        <w:spacing w:after="0"/>
        <w:tabs>
          <w:tab w:leader="none" w:pos="36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1"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spacing w:after="0" w:line="93"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Details about risks, uncertainties and assumptions that could affect various aspects of our business are included throughout our Annual Report on Form 10-K for the fiscal year ended June 30, 2022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June 30, 2022.</w:t>
      </w:r>
    </w:p>
    <w:p>
      <w:pPr>
        <w:spacing w:after="0" w:line="63"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market risks from those reported in our June 30, 2022 Annual Report to Shareholders on Form 10-K.</w:t>
      </w:r>
    </w:p>
    <w:p>
      <w:pPr>
        <w:spacing w:after="0" w:line="86"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4.</w:t>
        <w:tab/>
        <w:t>CONTROLS AND PROCEDURES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 As of the end of the period covered by this Form 10-Q, management,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 There were no changes during the three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2022 that materially affected, or are reasonably likely to materially affect, our internal control over financial reporting.</w:t>
      </w:r>
    </w:p>
    <w:p>
      <w:pPr>
        <w:spacing w:after="0" w:line="36" w:lineRule="exact"/>
        <w:rPr>
          <w:sz w:val="20"/>
          <w:szCs w:val="20"/>
          <w:color w:val="auto"/>
        </w:rPr>
      </w:pPr>
    </w:p>
    <w:p>
      <w:pPr>
        <w:spacing w:after="0"/>
        <w:tabs>
          <w:tab w:leader="none" w:pos="1080" w:val="left"/>
        </w:tabs>
        <w:rPr>
          <w:sz w:val="20"/>
          <w:szCs w:val="20"/>
          <w:color w:val="auto"/>
        </w:rPr>
      </w:pPr>
      <w:r>
        <w:rPr>
          <w:rFonts w:ascii="Arial" w:cs="Arial" w:eastAsia="Arial" w:hAnsi="Arial"/>
          <w:sz w:val="24"/>
          <w:szCs w:val="24"/>
          <w:b w:val="1"/>
          <w:bCs w:val="1"/>
          <w:color w:val="14AA40"/>
        </w:rPr>
        <w:t>PART II</w:t>
      </w:r>
      <w:r>
        <w:rPr>
          <w:sz w:val="20"/>
          <w:szCs w:val="20"/>
          <w:color w:val="auto"/>
        </w:rPr>
        <w:tab/>
      </w:r>
      <w:r>
        <w:rPr>
          <w:rFonts w:ascii="Arial" w:cs="Arial" w:eastAsia="Arial" w:hAnsi="Arial"/>
          <w:sz w:val="23"/>
          <w:szCs w:val="23"/>
          <w:b w:val="1"/>
          <w:bCs w:val="1"/>
          <w:color w:val="14AA40"/>
        </w:rPr>
        <w:t>OTHER INFORMATION</w:t>
      </w:r>
    </w:p>
    <w:p>
      <w:pPr>
        <w:spacing w:after="0" w:line="111"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1.</w:t>
        <w:tab/>
        <w:t>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description of our material pending legal proceedings, see discussion in </w:t>
      </w:r>
      <w:r>
        <w:rPr>
          <w:rFonts w:ascii="Arial" w:cs="Arial" w:eastAsia="Arial" w:hAnsi="Arial"/>
          <w:sz w:val="17"/>
          <w:szCs w:val="17"/>
          <w:u w:val="single" w:color="auto"/>
          <w:color w:val="0000FF"/>
        </w:rPr>
        <w:t>Part I, Item 1, note 9</w:t>
      </w:r>
      <w:r>
        <w:rPr>
          <w:rFonts w:ascii="Arial" w:cs="Arial" w:eastAsia="Arial" w:hAnsi="Arial"/>
          <w:sz w:val="17"/>
          <w:szCs w:val="17"/>
          <w:color w:val="auto"/>
        </w:rPr>
        <w:t xml:space="preserve"> to the consolidated financial statements.</w:t>
      </w:r>
    </w:p>
    <w:p>
      <w:pPr>
        <w:spacing w:after="0" w:line="86" w:lineRule="exact"/>
        <w:rPr>
          <w:sz w:val="20"/>
          <w:szCs w:val="20"/>
          <w:color w:val="auto"/>
        </w:rPr>
      </w:pPr>
    </w:p>
    <w:p>
      <w:pPr>
        <w:spacing w:after="0"/>
        <w:tabs>
          <w:tab w:leader="none" w:pos="1260" w:val="left"/>
        </w:tabs>
        <w:rPr>
          <w:sz w:val="20"/>
          <w:szCs w:val="20"/>
          <w:color w:val="auto"/>
        </w:rPr>
      </w:pPr>
      <w:r>
        <w:rPr>
          <w:rFonts w:ascii="Arial" w:cs="Arial" w:eastAsia="Arial" w:hAnsi="Arial"/>
          <w:sz w:val="24"/>
          <w:szCs w:val="24"/>
          <w:b w:val="1"/>
          <w:bCs w:val="1"/>
          <w:color w:val="14AA40"/>
        </w:rPr>
        <w:t>ITEM 1A.</w:t>
      </w:r>
      <w:r>
        <w:rPr>
          <w:sz w:val="20"/>
          <w:szCs w:val="20"/>
          <w:color w:val="auto"/>
        </w:rPr>
        <w:tab/>
      </w:r>
      <w:r>
        <w:rPr>
          <w:rFonts w:ascii="Arial" w:cs="Arial" w:eastAsia="Arial" w:hAnsi="Arial"/>
          <w:sz w:val="23"/>
          <w:szCs w:val="23"/>
          <w:b w:val="1"/>
          <w:bCs w:val="1"/>
          <w:color w:val="14AA40"/>
        </w:rPr>
        <w:t>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risk factors from those reported in our June 30, 2022 Annual Report to Shareholders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613410</wp:posOffset>
            </wp:positionV>
            <wp:extent cx="220980" cy="122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2.</w:t>
        <w:tab/>
        <w:t>UNREGISTERED SALES OF EQUITY SECURITIES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purchases of H&amp;R Block common stock during the three months ended September 30, 2022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20"/>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5"/>
                <w:szCs w:val="15"/>
                <w:color w:val="auto"/>
              </w:rPr>
              <w:t>Total Number of Shares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5"/>
                <w:szCs w:val="15"/>
                <w:color w:val="auto"/>
              </w:rPr>
              <w:t>Maximum Dollar Value of</w:t>
            </w:r>
          </w:p>
        </w:tc>
      </w:tr>
      <w:tr>
        <w:trPr>
          <w:trHeight w:val="155"/>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5"/>
                <w:szCs w:val="15"/>
                <w:color w:val="auto"/>
              </w:rPr>
              <w:t>Average</w:t>
            </w:r>
          </w:p>
        </w:tc>
        <w:tc>
          <w:tcPr>
            <w:tcW w:w="2440" w:type="dxa"/>
            <w:vAlign w:val="bottom"/>
          </w:tcPr>
          <w:p>
            <w:pPr>
              <w:jc w:val="right"/>
              <w:spacing w:after="0" w:line="155" w:lineRule="exact"/>
              <w:rPr>
                <w:sz w:val="20"/>
                <w:szCs w:val="20"/>
                <w:color w:val="auto"/>
              </w:rPr>
            </w:pPr>
            <w:r>
              <w:rPr>
                <w:rFonts w:ascii="Arial" w:cs="Arial" w:eastAsia="Arial" w:hAnsi="Arial"/>
                <w:sz w:val="15"/>
                <w:szCs w:val="15"/>
                <w:color w:val="auto"/>
              </w:rPr>
              <w:t>Purchased as Part of</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Pr>
          <w:p>
            <w:pPr>
              <w:jc w:val="right"/>
              <w:spacing w:after="0" w:line="155" w:lineRule="exact"/>
              <w:rPr>
                <w:sz w:val="20"/>
                <w:szCs w:val="20"/>
                <w:color w:val="auto"/>
              </w:rPr>
            </w:pPr>
            <w:r>
              <w:rPr>
                <w:rFonts w:ascii="Arial" w:cs="Arial" w:eastAsia="Arial" w:hAnsi="Arial"/>
                <w:sz w:val="15"/>
                <w:szCs w:val="15"/>
                <w:color w:val="auto"/>
              </w:rPr>
              <w:t>Shares that May Yet Be</w:t>
            </w:r>
          </w:p>
        </w:tc>
      </w:tr>
      <w:tr>
        <w:trPr>
          <w:trHeight w:val="152"/>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right"/>
              <w:spacing w:after="0" w:line="152" w:lineRule="exact"/>
              <w:rPr>
                <w:sz w:val="20"/>
                <w:szCs w:val="20"/>
                <w:color w:val="auto"/>
              </w:rPr>
            </w:pPr>
            <w:r>
              <w:rPr>
                <w:rFonts w:ascii="Arial" w:cs="Arial" w:eastAsia="Arial" w:hAnsi="Arial"/>
                <w:sz w:val="15"/>
                <w:szCs w:val="15"/>
                <w:color w:val="auto"/>
              </w:rPr>
              <w:t>Total Number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40"/>
              <w:spacing w:after="0" w:line="152" w:lineRule="exact"/>
              <w:rPr>
                <w:sz w:val="20"/>
                <w:szCs w:val="20"/>
                <w:color w:val="auto"/>
              </w:rPr>
            </w:pPr>
            <w:r>
              <w:rPr>
                <w:rFonts w:ascii="Arial" w:cs="Arial" w:eastAsia="Arial" w:hAnsi="Arial"/>
                <w:sz w:val="15"/>
                <w:szCs w:val="15"/>
                <w:color w:val="auto"/>
              </w:rPr>
              <w:t>Price Paid</w:t>
            </w:r>
          </w:p>
        </w:tc>
        <w:tc>
          <w:tcPr>
            <w:tcW w:w="2440" w:type="dxa"/>
            <w:vAlign w:val="bottom"/>
          </w:tcPr>
          <w:p>
            <w:pPr>
              <w:jc w:val="right"/>
              <w:spacing w:after="0" w:line="152" w:lineRule="exact"/>
              <w:rPr>
                <w:sz w:val="20"/>
                <w:szCs w:val="20"/>
                <w:color w:val="auto"/>
              </w:rPr>
            </w:pPr>
            <w:r>
              <w:rPr>
                <w:rFonts w:ascii="Arial" w:cs="Arial" w:eastAsia="Arial" w:hAnsi="Arial"/>
                <w:sz w:val="15"/>
                <w:szCs w:val="15"/>
                <w:color w:val="auto"/>
              </w:rPr>
              <w:t>Publicly Announced Plans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Pr>
          <w:p>
            <w:pPr>
              <w:jc w:val="right"/>
              <w:spacing w:after="0" w:line="152" w:lineRule="exact"/>
              <w:rPr>
                <w:sz w:val="20"/>
                <w:szCs w:val="20"/>
                <w:color w:val="auto"/>
              </w:rPr>
            </w:pPr>
            <w:r>
              <w:rPr>
                <w:rFonts w:ascii="Arial" w:cs="Arial" w:eastAsia="Arial" w:hAnsi="Arial"/>
                <w:sz w:val="15"/>
                <w:szCs w:val="15"/>
                <w:color w:val="auto"/>
              </w:rPr>
              <w:t>Purchased Under the Plans</w:t>
            </w:r>
          </w:p>
        </w:tc>
      </w:tr>
      <w:tr>
        <w:trPr>
          <w:trHeight w:val="194"/>
        </w:trPr>
        <w:tc>
          <w:tcPr>
            <w:tcW w:w="2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5"/>
                <w:szCs w:val="15"/>
                <w:color w:val="auto"/>
              </w:rPr>
              <w:t xml:space="preserve">Shares Purchased </w:t>
            </w:r>
            <w:r>
              <w:rPr>
                <w:rFonts w:ascii="Arial" w:cs="Arial" w:eastAsia="Arial" w:hAnsi="Arial"/>
                <w:sz w:val="20"/>
                <w:szCs w:val="20"/>
                <w:color w:val="auto"/>
                <w:vertAlign w:val="superscript"/>
              </w:rPr>
              <w:t>(1)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per Share</w:t>
            </w:r>
          </w:p>
        </w:tc>
        <w:tc>
          <w:tcPr>
            <w:tcW w:w="120" w:type="dxa"/>
            <w:vAlign w:val="bottom"/>
          </w:tcPr>
          <w:p>
            <w:pPr>
              <w:spacing w:after="0"/>
              <w:rPr>
                <w:sz w:val="16"/>
                <w:szCs w:val="16"/>
                <w:color w:val="auto"/>
              </w:rPr>
            </w:pPr>
          </w:p>
        </w:tc>
        <w:tc>
          <w:tcPr>
            <w:tcW w:w="24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r>
      <w:tr>
        <w:trPr>
          <w:trHeight w:val="198"/>
        </w:trPr>
        <w:tc>
          <w:tcPr>
            <w:tcW w:w="2780" w:type="dxa"/>
            <w:vAlign w:val="bottom"/>
            <w:gridSpan w:val="2"/>
          </w:tcPr>
          <w:p>
            <w:pPr>
              <w:ind w:left="20"/>
              <w:spacing w:after="0"/>
              <w:rPr>
                <w:sz w:val="20"/>
                <w:szCs w:val="20"/>
                <w:color w:val="auto"/>
              </w:rPr>
            </w:pPr>
            <w:r>
              <w:rPr>
                <w:rFonts w:ascii="Arial" w:cs="Arial" w:eastAsia="Arial" w:hAnsi="Arial"/>
                <w:sz w:val="15"/>
                <w:szCs w:val="15"/>
                <w:color w:val="auto"/>
              </w:rPr>
              <w:t>July 1 - July 31</w:t>
            </w:r>
          </w:p>
        </w:tc>
        <w:tc>
          <w:tcPr>
            <w:tcW w:w="188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2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36.77</w:t>
            </w:r>
          </w:p>
        </w:tc>
        <w:tc>
          <w:tcPr>
            <w:tcW w:w="120" w:type="dxa"/>
            <w:vAlign w:val="bottom"/>
          </w:tcPr>
          <w:p>
            <w:pPr>
              <w:spacing w:after="0"/>
              <w:rPr>
                <w:sz w:val="17"/>
                <w:szCs w:val="17"/>
                <w:color w:val="auto"/>
              </w:rPr>
            </w:pPr>
          </w:p>
        </w:tc>
        <w:tc>
          <w:tcPr>
            <w:tcW w:w="244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23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0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August 1 - August 31</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1,021</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45.88</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684</w:t>
            </w: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1,218,409</w:t>
            </w:r>
          </w:p>
        </w:tc>
      </w:tr>
      <w:tr>
        <w:trPr>
          <w:trHeight w:val="205"/>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September 1 - September 30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4,245</w:t>
            </w:r>
          </w:p>
        </w:tc>
        <w:tc>
          <w:tcPr>
            <w:tcW w:w="360" w:type="dxa"/>
            <w:vAlign w:val="bottom"/>
            <w:tcBorders>
              <w:bottom w:val="single" w:sz="8" w:color="CCEEFF"/>
            </w:tcBorders>
            <w:gridSpan w:val="2"/>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44.33</w:t>
            </w:r>
          </w:p>
        </w:tc>
        <w:tc>
          <w:tcPr>
            <w:tcW w:w="12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4,243</w:t>
            </w:r>
          </w:p>
        </w:tc>
        <w:tc>
          <w:tcPr>
            <w:tcW w:w="38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b w:val="1"/>
                <w:bCs w:val="1"/>
                <w:color w:val="auto"/>
              </w:rPr>
              <w:t>$</w:t>
            </w:r>
          </w:p>
        </w:tc>
        <w:tc>
          <w:tcPr>
            <w:tcW w:w="238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1,030,304</w:t>
            </w:r>
          </w:p>
        </w:tc>
      </w:tr>
      <w:tr>
        <w:trPr>
          <w:trHeight w:val="200"/>
        </w:trPr>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5,268</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44.63</w:t>
            </w:r>
          </w:p>
        </w:tc>
        <w:tc>
          <w:tcPr>
            <w:tcW w:w="120" w:type="dxa"/>
            <w:vAlign w:val="bottom"/>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4,927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bl>
    <w:p>
      <w:pPr>
        <w:spacing w:after="0" w:line="95" w:lineRule="exact"/>
        <w:rPr>
          <w:sz w:val="20"/>
          <w:szCs w:val="20"/>
          <w:color w:val="auto"/>
        </w:rPr>
      </w:pPr>
    </w:p>
    <w:p>
      <w:pPr>
        <w:ind w:left="160" w:hanging="157"/>
        <w:spacing w:after="0" w:line="210" w:lineRule="auto"/>
        <w:tabs>
          <w:tab w:leader="none" w:pos="166"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We purchased approximately 341 thousand shares in connection with funding employee income tax withholding obligations arising upon the lapse of restrictions on restricted share units.</w:t>
      </w:r>
    </w:p>
    <w:p>
      <w:pPr>
        <w:ind w:left="160" w:hanging="157"/>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4"/>
          <w:szCs w:val="14"/>
          <w:color w:val="auto"/>
        </w:rPr>
        <w:t>In August 2022, we announced that our Board of Directors approved a $1.25 billion share repurchase program, effective through June 2025.</w:t>
      </w:r>
    </w:p>
    <w:p>
      <w:pPr>
        <w:spacing w:after="0" w:line="77"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86"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4.</w:t>
        <w:tab/>
        <w:t>MINE SAFETY DISCLOSURES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86"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5.</w:t>
      </w:r>
      <w:r>
        <w:rPr>
          <w:sz w:val="20"/>
          <w:szCs w:val="20"/>
          <w:color w:val="auto"/>
        </w:rPr>
        <w:tab/>
      </w:r>
      <w:r>
        <w:rPr>
          <w:rFonts w:ascii="Arial" w:cs="Arial" w:eastAsia="Arial" w:hAnsi="Arial"/>
          <w:sz w:val="23"/>
          <w:szCs w:val="23"/>
          <w:b w:val="1"/>
          <w:bCs w:val="1"/>
          <w:color w:val="14AA40"/>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86"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6.</w:t>
      </w:r>
      <w:r>
        <w:rPr>
          <w:sz w:val="20"/>
          <w:szCs w:val="20"/>
          <w:color w:val="auto"/>
        </w:rPr>
        <w:tab/>
      </w:r>
      <w:r>
        <w:rPr>
          <w:rFonts w:ascii="Arial" w:cs="Arial" w:eastAsia="Arial" w:hAnsi="Arial"/>
          <w:sz w:val="23"/>
          <w:szCs w:val="23"/>
          <w:b w:val="1"/>
          <w:bCs w:val="1"/>
          <w:color w:val="14AA40"/>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numbered in accordance with the Exhibit Table of Item 601 of Regulation S-K:</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gridSpan w:val="2"/>
          </w:tcPr>
          <w:p>
            <w:pPr>
              <w:jc w:val="right"/>
              <w:spacing w:after="0"/>
              <w:rPr>
                <w:rFonts w:ascii="Arial" w:cs="Arial" w:eastAsia="Arial" w:hAnsi="Arial"/>
                <w:sz w:val="17"/>
                <w:szCs w:val="17"/>
                <w:color w:val="0000FF"/>
              </w:rPr>
            </w:pPr>
            <w:hyperlink r:id="rId57">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700" w:type="dxa"/>
            <w:vAlign w:val="bottom"/>
          </w:tcPr>
          <w:p>
            <w:pPr>
              <w:spacing w:after="0"/>
              <w:rPr>
                <w:sz w:val="16"/>
                <w:szCs w:val="16"/>
                <w:color w:val="auto"/>
              </w:rPr>
            </w:pPr>
          </w:p>
        </w:tc>
        <w:tc>
          <w:tcPr>
            <w:tcW w:w="10040" w:type="dxa"/>
            <w:vAlign w:val="bottom"/>
            <w:gridSpan w:val="6"/>
          </w:tcPr>
          <w:p>
            <w:pPr>
              <w:spacing w:after="0"/>
              <w:rPr>
                <w:rFonts w:ascii="Arial" w:cs="Arial" w:eastAsia="Arial" w:hAnsi="Arial"/>
                <w:sz w:val="17"/>
                <w:szCs w:val="17"/>
                <w:color w:val="0000FF"/>
              </w:rPr>
            </w:pPr>
            <w:hyperlink r:id="rId57">
              <w:r>
                <w:rPr>
                  <w:rFonts w:ascii="Arial" w:cs="Arial" w:eastAsia="Arial" w:hAnsi="Arial"/>
                  <w:sz w:val="17"/>
                  <w:szCs w:val="17"/>
                  <w:color w:val="0000FF"/>
                </w:rPr>
                <w:t>Form of 2018 Long Term Incentive Plan Award Agreement for Restricted Share Units, as approved on August 11, 2022, filed as</w:t>
              </w:r>
            </w:hyperlink>
          </w:p>
        </w:tc>
      </w:tr>
      <w:tr>
        <w:trPr>
          <w:trHeight w:val="148"/>
        </w:trPr>
        <w:tc>
          <w:tcPr>
            <w:tcW w:w="20" w:type="dxa"/>
            <w:vAlign w:val="bottom"/>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rPr>
            </w:pPr>
            <w:hyperlink r:id="rId57">
              <w:r>
                <w:rPr>
                  <w:rFonts w:ascii="Arial" w:cs="Arial" w:eastAsia="Arial" w:hAnsi="Arial"/>
                  <w:sz w:val="17"/>
                  <w:szCs w:val="17"/>
                  <w:color w:val="0000FF"/>
                </w:rPr>
                <w:t>Exhibit 10.1</w:t>
              </w:r>
            </w:hyperlink>
          </w:p>
        </w:tc>
        <w:tc>
          <w:tcPr>
            <w:tcW w:w="9060" w:type="dxa"/>
            <w:vAlign w:val="bottom"/>
            <w:tcBorders>
              <w:top w:val="single" w:sz="8" w:color="0000FF"/>
              <w:bottom w:val="single" w:sz="8" w:color="0000FF"/>
            </w:tcBorders>
          </w:tcPr>
          <w:p>
            <w:pPr>
              <w:ind w:left="40"/>
              <w:spacing w:after="0" w:line="148" w:lineRule="exact"/>
              <w:rPr>
                <w:rFonts w:ascii="Arial" w:cs="Arial" w:eastAsia="Arial" w:hAnsi="Arial"/>
                <w:sz w:val="17"/>
                <w:szCs w:val="17"/>
                <w:color w:val="0000FF"/>
              </w:rPr>
            </w:pPr>
            <w:hyperlink r:id="rId57">
              <w:r>
                <w:rPr>
                  <w:rFonts w:ascii="Arial" w:cs="Arial" w:eastAsia="Arial" w:hAnsi="Arial"/>
                  <w:sz w:val="17"/>
                  <w:szCs w:val="17"/>
                  <w:color w:val="0000FF"/>
                </w:rPr>
                <w:t>to the Company's current report on Form 8-K filed August 17, 2022, file number 1-06089, is incorporated herein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3"/>
          </w:tcPr>
          <w:p>
            <w:pPr>
              <w:spacing w:after="0" w:line="148" w:lineRule="exact"/>
              <w:rPr>
                <w:rFonts w:ascii="Arial" w:cs="Arial" w:eastAsia="Arial" w:hAnsi="Arial"/>
                <w:sz w:val="17"/>
                <w:szCs w:val="17"/>
                <w:color w:val="0000FF"/>
              </w:rPr>
            </w:pPr>
            <w:hyperlink r:id="rId57">
              <w:r>
                <w:rPr>
                  <w:rFonts w:ascii="Arial" w:cs="Arial" w:eastAsia="Arial" w:hAnsi="Arial"/>
                  <w:sz w:val="17"/>
                  <w:szCs w:val="17"/>
                  <w:color w:val="0000FF"/>
                </w:rPr>
                <w:t>reference.</w:t>
              </w:r>
            </w:hyperlink>
          </w:p>
        </w:tc>
        <w:tc>
          <w:tcPr>
            <w:tcW w:w="9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36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58">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700" w:type="dxa"/>
            <w:vAlign w:val="bottom"/>
            <w:shd w:val="clear" w:color="auto" w:fill="CCEEFF"/>
          </w:tcPr>
          <w:p>
            <w:pPr>
              <w:spacing w:after="0"/>
              <w:rPr>
                <w:sz w:val="15"/>
                <w:szCs w:val="15"/>
                <w:color w:val="auto"/>
              </w:rPr>
            </w:pPr>
          </w:p>
        </w:tc>
        <w:tc>
          <w:tcPr>
            <w:tcW w:w="10040" w:type="dxa"/>
            <w:vAlign w:val="bottom"/>
            <w:gridSpan w:val="6"/>
            <w:shd w:val="clear" w:color="auto" w:fill="CCEEFF"/>
          </w:tcPr>
          <w:p>
            <w:pPr>
              <w:spacing w:after="0" w:line="180" w:lineRule="exact"/>
              <w:rPr>
                <w:rFonts w:ascii="Arial" w:cs="Arial" w:eastAsia="Arial" w:hAnsi="Arial"/>
                <w:sz w:val="17"/>
                <w:szCs w:val="17"/>
                <w:color w:val="0000FF"/>
              </w:rPr>
            </w:pPr>
            <w:hyperlink r:id="rId58">
              <w:r>
                <w:rPr>
                  <w:rFonts w:ascii="Arial" w:cs="Arial" w:eastAsia="Arial" w:hAnsi="Arial"/>
                  <w:sz w:val="17"/>
                  <w:szCs w:val="17"/>
                  <w:color w:val="0000FF"/>
                </w:rPr>
                <w:t>Form of 2018 Long Term Incentive Plan Award Agreement for Performance Share Units, as approved on August 11, 2022, filed as</w:t>
              </w:r>
            </w:hyperlink>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0000FF"/>
            </w:tcBorders>
            <w:gridSpan w:val="3"/>
            <w:shd w:val="clear" w:color="auto" w:fill="CCEEFF"/>
          </w:tcPr>
          <w:p>
            <w:pPr>
              <w:spacing w:after="0" w:line="148" w:lineRule="exact"/>
              <w:rPr>
                <w:rFonts w:ascii="Arial" w:cs="Arial" w:eastAsia="Arial" w:hAnsi="Arial"/>
                <w:sz w:val="17"/>
                <w:szCs w:val="17"/>
                <w:color w:val="0000FF"/>
              </w:rPr>
            </w:pPr>
            <w:hyperlink r:id="rId58">
              <w:r>
                <w:rPr>
                  <w:rFonts w:ascii="Arial" w:cs="Arial" w:eastAsia="Arial" w:hAnsi="Arial"/>
                  <w:sz w:val="17"/>
                  <w:szCs w:val="17"/>
                  <w:color w:val="0000FF"/>
                </w:rPr>
                <w:t>Exhibit 10.2</w:t>
              </w:r>
            </w:hyperlink>
          </w:p>
        </w:tc>
        <w:tc>
          <w:tcPr>
            <w:tcW w:w="9080" w:type="dxa"/>
            <w:vAlign w:val="bottom"/>
            <w:tcBorders>
              <w:top w:val="single" w:sz="8" w:color="0000FF"/>
            </w:tcBorders>
            <w:gridSpan w:val="2"/>
            <w:shd w:val="clear" w:color="auto" w:fill="CCEEFF"/>
          </w:tcPr>
          <w:p>
            <w:pPr>
              <w:ind w:left="40"/>
              <w:spacing w:after="0" w:line="148" w:lineRule="exact"/>
              <w:rPr>
                <w:rFonts w:ascii="Arial" w:cs="Arial" w:eastAsia="Arial" w:hAnsi="Arial"/>
                <w:sz w:val="17"/>
                <w:szCs w:val="17"/>
                <w:color w:val="0000FF"/>
              </w:rPr>
            </w:pPr>
            <w:hyperlink r:id="rId58">
              <w:r>
                <w:rPr>
                  <w:rFonts w:ascii="Arial" w:cs="Arial" w:eastAsia="Arial" w:hAnsi="Arial"/>
                  <w:sz w:val="17"/>
                  <w:szCs w:val="17"/>
                  <w:color w:val="0000FF"/>
                </w:rPr>
                <w:t>to the Company's current report on Form 8-K filed August 17, 2022, file number 1-06089, is incorporated herein by</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0000FF"/>
            </w:tcBorders>
            <w:gridSpan w:val="3"/>
            <w:shd w:val="clear" w:color="auto" w:fill="CCEEFF"/>
          </w:tcPr>
          <w:p>
            <w:pPr>
              <w:spacing w:after="0" w:line="148" w:lineRule="exact"/>
              <w:rPr>
                <w:rFonts w:ascii="Arial" w:cs="Arial" w:eastAsia="Arial" w:hAnsi="Arial"/>
                <w:sz w:val="17"/>
                <w:szCs w:val="17"/>
                <w:color w:val="0000FF"/>
              </w:rPr>
            </w:pPr>
            <w:hyperlink r:id="rId58">
              <w:r>
                <w:rPr>
                  <w:rFonts w:ascii="Arial" w:cs="Arial" w:eastAsia="Arial" w:hAnsi="Arial"/>
                  <w:sz w:val="17"/>
                  <w:szCs w:val="17"/>
                  <w:color w:val="0000FF"/>
                </w:rPr>
                <w:t>reference.</w:t>
              </w:r>
            </w:hyperlink>
          </w:p>
        </w:tc>
        <w:tc>
          <w:tcPr>
            <w:tcW w:w="90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12" w:lineRule="exact"/>
        <w:rPr>
          <w:sz w:val="20"/>
          <w:szCs w:val="20"/>
          <w:color w:val="auto"/>
        </w:rPr>
      </w:pPr>
    </w:p>
    <w:p>
      <w:pPr>
        <w:ind w:left="1060" w:right="180" w:hanging="1040"/>
        <w:spacing w:after="0" w:line="249" w:lineRule="auto"/>
        <w:tabs>
          <w:tab w:leader="none" w:pos="1060" w:val="left"/>
        </w:tabs>
        <w:numPr>
          <w:ilvl w:val="0"/>
          <w:numId w:val="16"/>
        </w:numPr>
        <w:rPr>
          <w:rFonts w:ascii="Arial" w:cs="Arial" w:eastAsia="Arial" w:hAnsi="Arial"/>
          <w:sz w:val="17"/>
          <w:szCs w:val="17"/>
          <w:u w:val="single" w:color="auto"/>
          <w:color w:val="0000FF"/>
        </w:rPr>
      </w:pPr>
      <w:hyperlink r:id="rId59">
        <w:r>
          <w:rPr>
            <w:rFonts w:ascii="Arial" w:cs="Arial" w:eastAsia="Arial" w:hAnsi="Arial"/>
            <w:sz w:val="17"/>
            <w:szCs w:val="17"/>
            <w:u w:val="single" w:color="auto"/>
            <w:color w:val="0000FF"/>
          </w:rPr>
          <w:t>List of Guarantor and Issuer Subsidiaries, filed as Exhibit 22 to the Company’s Annual Report on Form 10-K for the year ended</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June 30, 2022, file number 1-06089, is incorporated herein by reference.</w:t>
        </w:r>
      </w:hyperlink>
    </w:p>
    <w:p>
      <w:pPr>
        <w:spacing w:after="0" w:line="6"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195"/>
        </w:trPr>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1</w:t>
            </w:r>
          </w:p>
        </w:tc>
        <w:tc>
          <w:tcPr>
            <w:tcW w:w="520" w:type="dxa"/>
            <w:vAlign w:val="bottom"/>
            <w:shd w:val="clear" w:color="auto" w:fill="CCEEFF"/>
          </w:tcPr>
          <w:p>
            <w:pPr>
              <w:spacing w:after="0"/>
              <w:rPr>
                <w:sz w:val="16"/>
                <w:szCs w:val="16"/>
                <w:color w:val="auto"/>
              </w:rPr>
            </w:pP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0000FF"/>
              </w:rPr>
              <w:t>Certification by Chief Executive Officer pursuant to Section 302 of the Sarbanes-Oxley Act of 2002.</w:t>
            </w:r>
          </w:p>
        </w:tc>
      </w:tr>
      <w:tr>
        <w:trPr>
          <w:trHeight w:val="39"/>
        </w:trPr>
        <w:tc>
          <w:tcPr>
            <w:tcW w:w="2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40" w:type="dxa"/>
            <w:vAlign w:val="bottom"/>
            <w:shd w:val="clear" w:color="auto" w:fill="0000FF"/>
          </w:tcPr>
          <w:p>
            <w:pPr>
              <w:spacing w:after="0"/>
              <w:rPr>
                <w:sz w:val="3"/>
                <w:szCs w:val="3"/>
                <w:color w:val="auto"/>
              </w:rPr>
            </w:pPr>
          </w:p>
        </w:tc>
        <w:tc>
          <w:tcPr>
            <w:tcW w:w="2400" w:type="dxa"/>
            <w:vAlign w:val="bottom"/>
            <w:tcBorders>
              <w:left w:val="single" w:sz="8" w:color="0000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2</w:t>
            </w:r>
          </w:p>
        </w:tc>
        <w:tc>
          <w:tcPr>
            <w:tcW w:w="520" w:type="dxa"/>
            <w:vAlign w:val="bottom"/>
          </w:tcPr>
          <w:p>
            <w:pPr>
              <w:spacing w:after="0"/>
              <w:rPr>
                <w:sz w:val="15"/>
                <w:szCs w:val="15"/>
                <w:color w:val="auto"/>
              </w:rPr>
            </w:pPr>
          </w:p>
        </w:tc>
        <w:tc>
          <w:tcPr>
            <w:tcW w:w="10220" w:type="dxa"/>
            <w:vAlign w:val="bottom"/>
            <w:gridSpan w:val="4"/>
          </w:tcPr>
          <w:p>
            <w:pPr>
              <w:ind w:left="180"/>
              <w:spacing w:after="0" w:line="180" w:lineRule="exact"/>
              <w:rPr>
                <w:sz w:val="20"/>
                <w:szCs w:val="20"/>
                <w:color w:val="auto"/>
              </w:rPr>
            </w:pPr>
            <w:r>
              <w:rPr>
                <w:rFonts w:ascii="Arial" w:cs="Arial" w:eastAsia="Arial" w:hAnsi="Arial"/>
                <w:sz w:val="17"/>
                <w:szCs w:val="17"/>
                <w:color w:val="0000FF"/>
              </w:rPr>
              <w:t>Certification by Chief Financial Officer pursuant to Section 302 of the Sarbanes-Oxley Act of 2002.</w:t>
            </w:r>
          </w:p>
        </w:tc>
      </w:tr>
      <w:tr>
        <w:trPr>
          <w:trHeight w:val="29"/>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40" w:type="dxa"/>
            <w:vAlign w:val="bottom"/>
            <w:shd w:val="clear" w:color="auto" w:fill="0000FF"/>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1</w:t>
            </w:r>
          </w:p>
        </w:tc>
        <w:tc>
          <w:tcPr>
            <w:tcW w:w="520" w:type="dxa"/>
            <w:vAlign w:val="bottom"/>
            <w:shd w:val="clear" w:color="auto" w:fill="CCEEFF"/>
          </w:tcPr>
          <w:p>
            <w:pPr>
              <w:spacing w:after="0"/>
              <w:rPr>
                <w:sz w:val="16"/>
                <w:szCs w:val="16"/>
                <w:color w:val="auto"/>
              </w:rPr>
            </w:pPr>
          </w:p>
        </w:tc>
        <w:tc>
          <w:tcPr>
            <w:tcW w:w="10220" w:type="dxa"/>
            <w:vAlign w:val="bottom"/>
            <w:gridSpan w:val="4"/>
            <w:shd w:val="clear" w:color="auto" w:fill="CCEEFF"/>
          </w:tcPr>
          <w:p>
            <w:pPr>
              <w:ind w:left="180"/>
              <w:spacing w:after="0" w:line="190" w:lineRule="exact"/>
              <w:rPr>
                <w:sz w:val="20"/>
                <w:szCs w:val="20"/>
                <w:color w:val="auto"/>
              </w:rPr>
            </w:pPr>
            <w:r>
              <w:rPr>
                <w:rFonts w:ascii="Arial" w:cs="Arial" w:eastAsia="Arial" w:hAnsi="Arial"/>
                <w:sz w:val="17"/>
                <w:szCs w:val="17"/>
                <w:color w:val="0000FF"/>
              </w:rPr>
              <w:t>Certification by Chief Executive Officer pursuant to 18 U.S.C. 1350, as adopted by Section 906 of the Sarbanes-Oxley Act of 2002.</w:t>
            </w:r>
          </w:p>
        </w:tc>
      </w:tr>
      <w:tr>
        <w:trPr>
          <w:trHeight w:val="39"/>
        </w:trPr>
        <w:tc>
          <w:tcPr>
            <w:tcW w:w="2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40" w:type="dxa"/>
            <w:vAlign w:val="bottom"/>
            <w:shd w:val="clear" w:color="auto" w:fill="0000FF"/>
          </w:tcPr>
          <w:p>
            <w:pPr>
              <w:spacing w:after="0"/>
              <w:rPr>
                <w:sz w:val="3"/>
                <w:szCs w:val="3"/>
                <w:color w:val="auto"/>
              </w:rPr>
            </w:pPr>
          </w:p>
        </w:tc>
        <w:tc>
          <w:tcPr>
            <w:tcW w:w="2400" w:type="dxa"/>
            <w:vAlign w:val="bottom"/>
            <w:tcBorders>
              <w:lef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2</w:t>
            </w:r>
          </w:p>
        </w:tc>
        <w:tc>
          <w:tcPr>
            <w:tcW w:w="520" w:type="dxa"/>
            <w:vAlign w:val="bottom"/>
          </w:tcPr>
          <w:p>
            <w:pPr>
              <w:spacing w:after="0"/>
              <w:rPr>
                <w:sz w:val="15"/>
                <w:szCs w:val="15"/>
                <w:color w:val="auto"/>
              </w:rPr>
            </w:pPr>
          </w:p>
        </w:tc>
        <w:tc>
          <w:tcPr>
            <w:tcW w:w="10220" w:type="dxa"/>
            <w:vAlign w:val="bottom"/>
            <w:gridSpan w:val="4"/>
          </w:tcPr>
          <w:p>
            <w:pPr>
              <w:ind w:left="180"/>
              <w:spacing w:after="0" w:line="180" w:lineRule="exact"/>
              <w:rPr>
                <w:sz w:val="20"/>
                <w:szCs w:val="20"/>
                <w:color w:val="auto"/>
              </w:rPr>
            </w:pPr>
            <w:r>
              <w:rPr>
                <w:rFonts w:ascii="Arial" w:cs="Arial" w:eastAsia="Arial" w:hAnsi="Arial"/>
                <w:sz w:val="17"/>
                <w:szCs w:val="17"/>
                <w:color w:val="0000FF"/>
              </w:rPr>
              <w:t>Certification by Chief Financial Officer pursuant to 18 U.S.C. 1350, as adopted by Section 906 of the Sarbanes-Oxley Act of 2002.</w:t>
            </w:r>
          </w:p>
        </w:tc>
      </w:tr>
      <w:tr>
        <w:trPr>
          <w:trHeight w:val="29"/>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40" w:type="dxa"/>
            <w:vAlign w:val="bottom"/>
            <w:shd w:val="clear" w:color="auto" w:fill="0000FF"/>
          </w:tcPr>
          <w:p>
            <w:pPr>
              <w:spacing w:after="0"/>
              <w:rPr>
                <w:sz w:val="2"/>
                <w:szCs w:val="2"/>
                <w:color w:val="auto"/>
              </w:rPr>
            </w:pPr>
          </w:p>
        </w:tc>
        <w:tc>
          <w:tcPr>
            <w:tcW w:w="24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101.INS</w:t>
            </w:r>
          </w:p>
        </w:tc>
        <w:tc>
          <w:tcPr>
            <w:tcW w:w="10220" w:type="dxa"/>
            <w:vAlign w:val="bottom"/>
            <w:gridSpan w:val="4"/>
            <w:shd w:val="clear" w:color="auto" w:fill="CCEEFF"/>
          </w:tcPr>
          <w:p>
            <w:pPr>
              <w:ind w:left="180"/>
              <w:spacing w:after="0" w:line="189"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0"/>
        </w:trPr>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embedded within the Inline XBRL document</w:t>
            </w:r>
          </w:p>
        </w:tc>
      </w:tr>
      <w:tr>
        <w:trPr>
          <w:trHeight w:val="218"/>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101.SCH</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Taxonomy Extension Schema</w:t>
            </w:r>
          </w:p>
        </w:tc>
      </w:tr>
      <w:tr>
        <w:trPr>
          <w:trHeight w:val="220"/>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Inline XBRL Extension Calculation Linkbase</w:t>
            </w:r>
          </w:p>
        </w:tc>
      </w:tr>
      <w:tr>
        <w:trPr>
          <w:trHeight w:val="218"/>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101.LAB</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Taxonomy Extension Label Linkbase</w:t>
            </w:r>
          </w:p>
        </w:tc>
      </w:tr>
      <w:tr>
        <w:trPr>
          <w:trHeight w:val="220"/>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Inline XBRL Taxonomy Extension Presentation Linkbase</w:t>
            </w:r>
          </w:p>
        </w:tc>
      </w:tr>
      <w:tr>
        <w:trPr>
          <w:trHeight w:val="218"/>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101.DEF</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Taxonomy Extension Definition Linkbase</w:t>
            </w:r>
          </w:p>
        </w:tc>
      </w:tr>
      <w:tr>
        <w:trPr>
          <w:trHeight w:val="220"/>
        </w:trPr>
        <w:tc>
          <w:tcPr>
            <w:tcW w:w="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104</w:t>
            </w:r>
          </w:p>
        </w:tc>
        <w:tc>
          <w:tcPr>
            <w:tcW w:w="520" w:type="dxa"/>
            <w:vAlign w:val="bottom"/>
            <w:shd w:val="clear" w:color="auto" w:fill="CCEEFF"/>
          </w:tcPr>
          <w:p>
            <w:pPr>
              <w:spacing w:after="0"/>
              <w:rPr>
                <w:sz w:val="19"/>
                <w:szCs w:val="19"/>
                <w:color w:val="auto"/>
              </w:rPr>
            </w:pP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662940</wp:posOffset>
            </wp:positionV>
            <wp:extent cx="212725" cy="122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26" w:lineRule="exact"/>
        <w:rPr>
          <w:rFonts w:ascii="Arial" w:cs="Arial" w:eastAsia="Arial" w:hAnsi="Arial"/>
          <w:sz w:val="17"/>
          <w:szCs w:val="17"/>
          <w:u w:val="single" w:color="auto"/>
          <w:color w:val="0000FF"/>
        </w:rPr>
      </w:pPr>
    </w:p>
    <w:p>
      <w:pPr>
        <w:ind w:left="360" w:hanging="266"/>
        <w:spacing w:after="0"/>
        <w:tabs>
          <w:tab w:leader="none" w:pos="36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Q1 FY2023 Form 10-Q| </w:t>
      </w:r>
      <w:r>
        <w:rPr>
          <w:rFonts w:ascii="Arial" w:cs="Arial" w:eastAsia="Arial" w:hAnsi="Arial"/>
          <w:sz w:val="14"/>
          <w:szCs w:val="14"/>
          <w:b w:val="1"/>
          <w:bCs w:val="1"/>
          <w:color w:val="auto"/>
        </w:rPr>
        <w:t>H&amp;R Block, Inc.</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H&amp;R BLOCK, INC.</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7620</wp:posOffset>
            </wp:positionV>
            <wp:extent cx="26358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Jeffrey J. Jones II</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President and Chief Executive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November 3, 2022</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7620</wp:posOffset>
            </wp:positionV>
            <wp:extent cx="26358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Tony G. Bowen</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November 3, 2022</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7620</wp:posOffset>
            </wp:positionV>
            <wp:extent cx="26358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Kellie J. Logerwell</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Accounting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883285</wp:posOffset>
            </wp:positionV>
            <wp:extent cx="220980" cy="122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ectPr>
          <w:pgSz w:w="11900" w:h="16838" w:orient="portrait"/>
          <w:cols w:equalWidth="0" w:num="1">
            <w:col w:w="11240"/>
          </w:cols>
          <w:pgMar w:left="320" w:top="24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I, Jeffrey J. Jones II, Chief Executive Officer, certify that:</w:t>
      </w:r>
    </w:p>
    <w:p>
      <w:pPr>
        <w:spacing w:after="0" w:line="243" w:lineRule="exact"/>
        <w:rPr>
          <w:sz w:val="20"/>
          <w:szCs w:val="20"/>
          <w:color w:val="auto"/>
        </w:rPr>
      </w:pPr>
    </w:p>
    <w:p>
      <w:pPr>
        <w:ind w:left="200" w:hanging="197"/>
        <w:spacing w:after="0"/>
        <w:tabs>
          <w:tab w:leader="none" w:pos="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59" w:lineRule="auto"/>
        <w:tabs>
          <w:tab w:leader="none" w:pos="1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7"/>
          <w:szCs w:val="17"/>
          <w:color w:val="auto"/>
        </w:rPr>
      </w:pPr>
    </w:p>
    <w:p>
      <w:pPr>
        <w:ind w:right="80" w:firstLine="3"/>
        <w:spacing w:after="0" w:line="265" w:lineRule="auto"/>
        <w:tabs>
          <w:tab w:leader="none" w:pos="1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7"/>
          <w:szCs w:val="17"/>
          <w:color w:val="auto"/>
        </w:rPr>
      </w:pPr>
    </w:p>
    <w:p>
      <w:pPr>
        <w:jc w:val="both"/>
        <w:ind w:right="280" w:firstLine="3"/>
        <w:spacing w:after="0" w:line="259" w:lineRule="auto"/>
        <w:tabs>
          <w:tab w:leader="none" w:pos="1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8" w:lineRule="exact"/>
        <w:rPr>
          <w:sz w:val="20"/>
          <w:szCs w:val="20"/>
          <w:color w:val="auto"/>
        </w:rPr>
      </w:pPr>
    </w:p>
    <w:p>
      <w:pPr>
        <w:jc w:val="both"/>
        <w:ind w:firstLine="3"/>
        <w:spacing w:after="0" w:line="259" w:lineRule="auto"/>
        <w:tabs>
          <w:tab w:leader="none" w:pos="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7"/>
          <w:szCs w:val="17"/>
          <w:color w:val="auto"/>
        </w:rPr>
      </w:pPr>
    </w:p>
    <w:p>
      <w:pPr>
        <w:ind w:right="200" w:firstLine="3"/>
        <w:spacing w:after="0" w:line="259" w:lineRule="auto"/>
        <w:tabs>
          <w:tab w:leader="none" w:pos="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7"/>
          <w:szCs w:val="17"/>
          <w:color w:val="auto"/>
        </w:rPr>
      </w:pPr>
    </w:p>
    <w:p>
      <w:pPr>
        <w:ind w:right="680" w:firstLine="3"/>
        <w:spacing w:after="0" w:line="265" w:lineRule="auto"/>
        <w:tabs>
          <w:tab w:leader="none" w:pos="248"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7"/>
          <w:szCs w:val="17"/>
          <w:color w:val="auto"/>
        </w:rPr>
      </w:pPr>
    </w:p>
    <w:p>
      <w:pPr>
        <w:jc w:val="both"/>
        <w:ind w:right="260" w:firstLine="3"/>
        <w:spacing w:after="0" w:line="259" w:lineRule="auto"/>
        <w:tabs>
          <w:tab w:leader="none" w:pos="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sz w:val="20"/>
          <w:szCs w:val="20"/>
          <w:color w:val="auto"/>
        </w:rPr>
      </w:pPr>
    </w:p>
    <w:p>
      <w:pPr>
        <w:ind w:right="20" w:firstLine="3"/>
        <w:spacing w:after="0" w:line="265" w:lineRule="auto"/>
        <w:tabs>
          <w:tab w:leader="none" w:pos="19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ind w:right="240" w:firstLine="3"/>
        <w:spacing w:after="0" w:line="265" w:lineRule="auto"/>
        <w:tabs>
          <w:tab w:leader="none" w:pos="2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7"/>
          <w:szCs w:val="17"/>
          <w:color w:val="auto"/>
        </w:rPr>
      </w:pPr>
    </w:p>
    <w:p>
      <w:pPr>
        <w:ind w:right="180" w:firstLine="3"/>
        <w:spacing w:after="0" w:line="265" w:lineRule="auto"/>
        <w:tabs>
          <w:tab w:leader="none" w:pos="2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60" w:type="dxa"/>
            <w:vAlign w:val="bottom"/>
          </w:tcPr>
          <w:p>
            <w:pPr>
              <w:spacing w:after="0"/>
              <w:rPr>
                <w:sz w:val="20"/>
                <w:szCs w:val="20"/>
                <w:color w:val="auto"/>
              </w:rPr>
            </w:pPr>
            <w:r>
              <w:rPr>
                <w:rFonts w:ascii="Arial" w:cs="Arial" w:eastAsia="Arial" w:hAnsi="Arial"/>
                <w:sz w:val="17"/>
                <w:szCs w:val="17"/>
                <w:color w:val="auto"/>
              </w:rPr>
              <w:t>Date:   November 3, 2022</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J. Jones II</w:t>
            </w:r>
          </w:p>
        </w:tc>
      </w:tr>
      <w:tr>
        <w:trPr>
          <w:trHeight w:val="211"/>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Jeffrey J. Jones II</w:t>
            </w:r>
          </w:p>
        </w:tc>
      </w:tr>
      <w:tr>
        <w:trPr>
          <w:trHeight w:val="181"/>
        </w:trPr>
        <w:tc>
          <w:tcPr>
            <w:tcW w:w="6760" w:type="dxa"/>
            <w:vAlign w:val="bottom"/>
          </w:tcPr>
          <w:p>
            <w:pPr>
              <w:spacing w:after="0"/>
              <w:rPr>
                <w:sz w:val="15"/>
                <w:szCs w:val="15"/>
                <w:color w:val="auto"/>
              </w:rPr>
            </w:pPr>
          </w:p>
        </w:tc>
        <w:tc>
          <w:tcPr>
            <w:tcW w:w="4460" w:type="dxa"/>
            <w:vAlign w:val="bottom"/>
          </w:tcPr>
          <w:p>
            <w:pPr>
              <w:ind w:left="20"/>
              <w:spacing w:after="0" w:line="181" w:lineRule="exact"/>
              <w:rPr>
                <w:sz w:val="20"/>
                <w:szCs w:val="20"/>
                <w:color w:val="auto"/>
              </w:rPr>
            </w:pPr>
            <w:r>
              <w:rPr>
                <w:rFonts w:ascii="Arial" w:cs="Arial" w:eastAsia="Arial" w:hAnsi="Arial"/>
                <w:sz w:val="17"/>
                <w:szCs w:val="17"/>
                <w:color w:val="auto"/>
              </w:rPr>
              <w:t>Chief Executive Officer</w:t>
            </w:r>
          </w:p>
        </w:tc>
      </w:tr>
      <w:tr>
        <w:trPr>
          <w:trHeight w:val="206"/>
        </w:trPr>
        <w:tc>
          <w:tcPr>
            <w:tcW w:w="676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40"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I, Tony G. Bowen, Chief Financial Officer, certify that:</w:t>
      </w:r>
    </w:p>
    <w:p>
      <w:pPr>
        <w:spacing w:after="0" w:line="243" w:lineRule="exact"/>
        <w:rPr>
          <w:sz w:val="20"/>
          <w:szCs w:val="20"/>
          <w:color w:val="auto"/>
        </w:rPr>
      </w:pPr>
    </w:p>
    <w:p>
      <w:pPr>
        <w:ind w:left="200" w:hanging="197"/>
        <w:spacing w:after="0"/>
        <w:tabs>
          <w:tab w:leader="none" w:pos="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59" w:lineRule="auto"/>
        <w:tabs>
          <w:tab w:leader="none" w:pos="1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7"/>
          <w:szCs w:val="17"/>
          <w:color w:val="auto"/>
        </w:rPr>
      </w:pPr>
    </w:p>
    <w:p>
      <w:pPr>
        <w:ind w:right="80" w:firstLine="3"/>
        <w:spacing w:after="0" w:line="265" w:lineRule="auto"/>
        <w:tabs>
          <w:tab w:leader="none" w:pos="1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7"/>
          <w:szCs w:val="17"/>
          <w:color w:val="auto"/>
        </w:rPr>
      </w:pPr>
    </w:p>
    <w:p>
      <w:pPr>
        <w:jc w:val="both"/>
        <w:ind w:right="280" w:firstLine="3"/>
        <w:spacing w:after="0" w:line="259" w:lineRule="auto"/>
        <w:tabs>
          <w:tab w:leader="none" w:pos="1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8" w:lineRule="exact"/>
        <w:rPr>
          <w:sz w:val="20"/>
          <w:szCs w:val="20"/>
          <w:color w:val="auto"/>
        </w:rPr>
      </w:pPr>
    </w:p>
    <w:p>
      <w:pPr>
        <w:jc w:val="both"/>
        <w:ind w:firstLine="3"/>
        <w:spacing w:after="0" w:line="259" w:lineRule="auto"/>
        <w:tabs>
          <w:tab w:leader="none" w:pos="2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7"/>
          <w:szCs w:val="17"/>
          <w:color w:val="auto"/>
        </w:rPr>
      </w:pPr>
    </w:p>
    <w:p>
      <w:pPr>
        <w:ind w:right="200" w:firstLine="3"/>
        <w:spacing w:after="0" w:line="259" w:lineRule="auto"/>
        <w:tabs>
          <w:tab w:leader="none" w:pos="2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7"/>
          <w:szCs w:val="17"/>
          <w:color w:val="auto"/>
        </w:rPr>
      </w:pPr>
    </w:p>
    <w:p>
      <w:pPr>
        <w:ind w:right="680" w:firstLine="3"/>
        <w:spacing w:after="0" w:line="265" w:lineRule="auto"/>
        <w:tabs>
          <w:tab w:leader="none" w:pos="2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7"/>
          <w:szCs w:val="17"/>
          <w:color w:val="auto"/>
        </w:rPr>
      </w:pPr>
    </w:p>
    <w:p>
      <w:pPr>
        <w:jc w:val="both"/>
        <w:ind w:right="260" w:firstLine="3"/>
        <w:spacing w:after="0" w:line="259" w:lineRule="auto"/>
        <w:tabs>
          <w:tab w:leader="none" w:pos="2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sz w:val="20"/>
          <w:szCs w:val="20"/>
          <w:color w:val="auto"/>
        </w:rPr>
      </w:pPr>
    </w:p>
    <w:p>
      <w:pPr>
        <w:ind w:right="20" w:firstLine="3"/>
        <w:spacing w:after="0" w:line="265" w:lineRule="auto"/>
        <w:tabs>
          <w:tab w:leader="none" w:pos="1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ind w:right="240" w:firstLine="3"/>
        <w:spacing w:after="0" w:line="265" w:lineRule="auto"/>
        <w:tabs>
          <w:tab w:leader="none" w:pos="25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7"/>
          <w:szCs w:val="17"/>
          <w:color w:val="auto"/>
        </w:rPr>
      </w:pPr>
    </w:p>
    <w:p>
      <w:pPr>
        <w:ind w:right="180" w:firstLine="3"/>
        <w:spacing w:after="0" w:line="265" w:lineRule="auto"/>
        <w:tabs>
          <w:tab w:leader="none" w:pos="25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60" w:type="dxa"/>
            <w:vAlign w:val="bottom"/>
          </w:tcPr>
          <w:p>
            <w:pPr>
              <w:spacing w:after="0"/>
              <w:rPr>
                <w:sz w:val="20"/>
                <w:szCs w:val="20"/>
                <w:color w:val="auto"/>
              </w:rPr>
            </w:pPr>
            <w:r>
              <w:rPr>
                <w:rFonts w:ascii="Arial" w:cs="Arial" w:eastAsia="Arial" w:hAnsi="Arial"/>
                <w:sz w:val="17"/>
                <w:szCs w:val="17"/>
                <w:color w:val="auto"/>
              </w:rPr>
              <w:t>Date:   November 3, 2022</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Tony G. Bowen</w:t>
            </w:r>
          </w:p>
        </w:tc>
      </w:tr>
      <w:tr>
        <w:trPr>
          <w:trHeight w:val="211"/>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Tony G. Bowen</w:t>
            </w:r>
          </w:p>
        </w:tc>
      </w:tr>
      <w:tr>
        <w:trPr>
          <w:trHeight w:val="181"/>
        </w:trPr>
        <w:tc>
          <w:tcPr>
            <w:tcW w:w="6760" w:type="dxa"/>
            <w:vAlign w:val="bottom"/>
          </w:tcPr>
          <w:p>
            <w:pPr>
              <w:spacing w:after="0"/>
              <w:rPr>
                <w:sz w:val="15"/>
                <w:szCs w:val="15"/>
                <w:color w:val="auto"/>
              </w:rPr>
            </w:pPr>
          </w:p>
        </w:tc>
        <w:tc>
          <w:tcPr>
            <w:tcW w:w="4460" w:type="dxa"/>
            <w:vAlign w:val="bottom"/>
          </w:tcPr>
          <w:p>
            <w:pPr>
              <w:ind w:left="20"/>
              <w:spacing w:after="0" w:line="181" w:lineRule="exact"/>
              <w:rPr>
                <w:sz w:val="20"/>
                <w:szCs w:val="20"/>
                <w:color w:val="auto"/>
              </w:rPr>
            </w:pPr>
            <w:r>
              <w:rPr>
                <w:rFonts w:ascii="Arial" w:cs="Arial" w:eastAsia="Arial" w:hAnsi="Arial"/>
                <w:sz w:val="17"/>
                <w:szCs w:val="17"/>
                <w:color w:val="auto"/>
              </w:rPr>
              <w:t>Chief Financial Officer</w:t>
            </w:r>
          </w:p>
        </w:tc>
      </w:tr>
      <w:tr>
        <w:trPr>
          <w:trHeight w:val="206"/>
        </w:trPr>
        <w:tc>
          <w:tcPr>
            <w:tcW w:w="676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4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63" w:lineRule="exact"/>
        <w:rPr>
          <w:sz w:val="20"/>
          <w:szCs w:val="20"/>
          <w:color w:val="auto"/>
        </w:rPr>
      </w:pPr>
    </w:p>
    <w:p>
      <w:pPr>
        <w:jc w:val="both"/>
        <w:ind w:firstLine="195"/>
        <w:spacing w:after="0" w:line="20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September 30, 2022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35" w:lineRule="exact"/>
        <w:rPr>
          <w:sz w:val="20"/>
          <w:szCs w:val="20"/>
          <w:color w:val="auto"/>
        </w:rPr>
      </w:pPr>
    </w:p>
    <w:p>
      <w:pPr>
        <w:ind w:left="1260" w:hanging="63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65" w:lineRule="auto"/>
        <w:tabs>
          <w:tab w:leader="none" w:pos="12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7620</wp:posOffset>
            </wp:positionV>
            <wp:extent cx="21120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7"/>
          <w:szCs w:val="17"/>
          <w:color w:val="auto"/>
        </w:rPr>
        <w:t>Jeffrey J. Jones II</w:t>
      </w:r>
    </w:p>
    <w:p>
      <w:pPr>
        <w:ind w:left="7940"/>
        <w:spacing w:after="0" w:line="205"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37"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November 3, 2022</w:t>
      </w:r>
    </w:p>
    <w:p>
      <w:pPr>
        <w:sectPr>
          <w:pgSz w:w="11900" w:h="16838" w:orient="portrait"/>
          <w:cols w:equalWidth="0" w:num="1">
            <w:col w:w="11240"/>
          </w:cols>
          <w:pgMar w:left="320" w:top="14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63" w:lineRule="exact"/>
        <w:rPr>
          <w:sz w:val="20"/>
          <w:szCs w:val="20"/>
          <w:color w:val="auto"/>
        </w:rPr>
      </w:pPr>
    </w:p>
    <w:p>
      <w:pPr>
        <w:jc w:val="both"/>
        <w:ind w:firstLine="195"/>
        <w:spacing w:after="0" w:line="20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September 30, 2022 as filed with the Securities and Exchange Commission on the date hereof (the “Report”), I, Tony G. Bowen, Chief Financial Officer of the Company, certify pursuant to 18 U.S.C. § 1350, as adopted pursuant to § 906 of the Sarbanes-Oxley Act of 2002, that:</w:t>
      </w:r>
    </w:p>
    <w:p>
      <w:pPr>
        <w:spacing w:after="0" w:line="235" w:lineRule="exact"/>
        <w:rPr>
          <w:sz w:val="20"/>
          <w:szCs w:val="20"/>
          <w:color w:val="auto"/>
        </w:rPr>
      </w:pPr>
    </w:p>
    <w:p>
      <w:pPr>
        <w:ind w:left="1260" w:hanging="63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65" w:lineRule="auto"/>
        <w:tabs>
          <w:tab w:leader="none" w:pos="12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8"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7620</wp:posOffset>
            </wp:positionV>
            <wp:extent cx="2112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7"/>
          <w:szCs w:val="17"/>
          <w:color w:val="auto"/>
        </w:rPr>
        <w:t>Tony G. Bowen</w:t>
      </w:r>
    </w:p>
    <w:p>
      <w:pPr>
        <w:ind w:left="7940"/>
        <w:spacing w:after="0" w:line="20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37"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November 3, 2022</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6"/>
      <w:numFmt w:val="bullet"/>
      <w:start w:val="1"/>
    </w:lvl>
  </w:abstractNum>
  <w:abstractNum w:abstractNumId="6">
    <w:nsid w:val="25E45D32"/>
    <w:multiLevelType w:val="hybridMultilevel"/>
    <w:lvl w:ilvl="0">
      <w:lvlJc w:val="left"/>
      <w:lvlText w:val="8"/>
      <w:numFmt w:val="bullet"/>
      <w:start w:val="1"/>
    </w:lvl>
  </w:abstractNum>
  <w:abstractNum w:abstractNumId="7">
    <w:nsid w:val="519B500D"/>
    <w:multiLevelType w:val="hybridMultilevel"/>
    <w:lvl w:ilvl="0">
      <w:lvlJc w:val="left"/>
      <w:lvlText w:val="%1"/>
      <w:numFmt w:val="decimal"/>
      <w:start w:val="10"/>
    </w:lvl>
  </w:abstractNum>
  <w:abstractNum w:abstractNumId="8">
    <w:nsid w:val="431BD7B7"/>
    <w:multiLevelType w:val="hybridMultilevel"/>
    <w:lvl w:ilvl="0">
      <w:lvlJc w:val="left"/>
      <w:lvlText w:val="%1"/>
      <w:numFmt w:val="decimal"/>
      <w:start w:val="12"/>
    </w:lvl>
  </w:abstractNum>
  <w:abstractNum w:abstractNumId="9">
    <w:nsid w:val="3F2DBA31"/>
    <w:multiLevelType w:val="hybridMultilevel"/>
    <w:lvl w:ilvl="0">
      <w:lvlJc w:val="left"/>
      <w:lvlText w:val="%1"/>
      <w:numFmt w:val="decimal"/>
      <w:start w:val="14"/>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6"/>
    </w:lvl>
  </w:abstractNum>
  <w:abstractNum w:abstractNumId="12">
    <w:nsid w:val="62BBD95A"/>
    <w:multiLevelType w:val="hybridMultilevel"/>
    <w:lvl w:ilvl="0">
      <w:lvlJc w:val="left"/>
      <w:lvlText w:val="%1"/>
      <w:numFmt w:val="decimal"/>
      <w:start w:val="18"/>
    </w:lvl>
  </w:abstractNum>
  <w:abstractNum w:abstractNumId="13">
    <w:nsid w:val="436C6125"/>
    <w:multiLevelType w:val="hybridMultilevel"/>
    <w:lvl w:ilvl="0">
      <w:lvlJc w:val="left"/>
      <w:lvlText w:val="%1"/>
      <w:numFmt w:val="decimal"/>
      <w:start w:val="20"/>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2"/>
    </w:lvl>
  </w:abstractNum>
  <w:abstractNum w:abstractNumId="16">
    <w:nsid w:val="721DA317"/>
    <w:multiLevelType w:val="hybridMultilevel"/>
    <w:lvl w:ilvl="0">
      <w:lvlJc w:val="left"/>
      <w:lvlText w:val="%1"/>
      <w:numFmt w:val="decimal"/>
      <w:start w:val="2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57" Type="http://schemas.openxmlformats.org/officeDocument/2006/relationships/hyperlink" Target="http://www.sec.gov/Archives/edgar/data/12659/000160529722000004/formof2018longtermincentiva.htm" TargetMode="External"/><Relationship Id="rId58" Type="http://schemas.openxmlformats.org/officeDocument/2006/relationships/hyperlink" Target="http://www.sec.gov/Archives/edgar/data/12659/000160529722000004/formof2018longtermincentiv.htm" TargetMode="External"/><Relationship Id="rId59" Type="http://schemas.openxmlformats.org/officeDocument/2006/relationships/hyperlink" Target="http://www.sec.gov/Archives/edgar/data/12659/000183886222000028/hrb20220630exhibit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2022-11-03T15:45:11Z</dcterms:created>
  <dcterms:modified xsi:type="dcterms:W3CDTF">2022-11-03T15:45:11Z</dcterms:modified>
</cp:coreProperties>
</file>