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598805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557530</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Calibri" w:cs="Calibri" w:eastAsia="Calibri" w:hAnsi="Calibri"/>
          <w:sz w:val="17"/>
          <w:szCs w:val="17"/>
          <w:b w:val="1"/>
          <w:bCs w:val="1"/>
          <w:color w:val="auto"/>
        </w:rPr>
        <w:t>UNITED STATES</w:t>
      </w:r>
    </w:p>
    <w:p>
      <w:pPr>
        <w:jc w:val="center"/>
        <w:ind w:right="-19"/>
        <w:spacing w:after="0" w:line="238" w:lineRule="auto"/>
        <w:rPr>
          <w:sz w:val="20"/>
          <w:szCs w:val="20"/>
          <w:color w:val="auto"/>
        </w:rPr>
      </w:pPr>
      <w:r>
        <w:rPr>
          <w:rFonts w:ascii="Calibri" w:cs="Calibri" w:eastAsia="Calibri" w:hAnsi="Calibri"/>
          <w:sz w:val="17"/>
          <w:szCs w:val="17"/>
          <w:b w:val="1"/>
          <w:bCs w:val="1"/>
          <w:color w:val="auto"/>
        </w:rPr>
        <w:t>SECURITIES AND EXCHANGE COMMISSION</w:t>
      </w:r>
    </w:p>
    <w:p>
      <w:pPr>
        <w:jc w:val="center"/>
        <w:spacing w:after="0"/>
        <w:rPr>
          <w:sz w:val="20"/>
          <w:szCs w:val="20"/>
          <w:color w:val="auto"/>
        </w:rPr>
      </w:pPr>
      <w:r>
        <w:rPr>
          <w:rFonts w:ascii="Calibri" w:cs="Calibri" w:eastAsia="Calibri" w:hAnsi="Calibri"/>
          <w:sz w:val="17"/>
          <w:szCs w:val="17"/>
          <w:b w:val="1"/>
          <w:bCs w:val="1"/>
          <w:color w:val="auto"/>
        </w:rPr>
        <w:t>Washington, D.C. 20549</w:t>
      </w:r>
    </w:p>
    <w:p>
      <w:pPr>
        <w:jc w:val="center"/>
        <w:ind w:right="-19"/>
        <w:spacing w:after="0" w:line="237" w:lineRule="auto"/>
        <w:rPr>
          <w:sz w:val="20"/>
          <w:szCs w:val="20"/>
          <w:color w:val="auto"/>
        </w:rPr>
      </w:pPr>
      <w:r>
        <w:rPr>
          <w:rFonts w:ascii="Calibri" w:cs="Calibri" w:eastAsia="Calibri" w:hAnsi="Calibri"/>
          <w:sz w:val="17"/>
          <w:szCs w:val="17"/>
          <w:b w:val="1"/>
          <w:bCs w:val="1"/>
          <w:color w:val="auto"/>
        </w:rPr>
        <w:t>FORM 10-Q</w:t>
      </w:r>
    </w:p>
    <w:p>
      <w:pPr>
        <w:spacing w:after="0" w:line="128" w:lineRule="exact"/>
        <w:rPr>
          <w:sz w:val="24"/>
          <w:szCs w:val="24"/>
          <w:color w:val="auto"/>
        </w:rPr>
      </w:pPr>
    </w:p>
    <w:p>
      <w:pPr>
        <w:ind w:left="20"/>
        <w:spacing w:after="0"/>
        <w:rPr>
          <w:sz w:val="20"/>
          <w:szCs w:val="20"/>
          <w:color w:val="auto"/>
        </w:rPr>
      </w:pPr>
      <w:r>
        <w:rPr>
          <w:rFonts w:ascii="Calibri" w:cs="Calibri" w:eastAsia="Calibri" w:hAnsi="Calibri"/>
          <w:sz w:val="17"/>
          <w:szCs w:val="17"/>
          <w:color w:val="auto"/>
        </w:rPr>
        <w:t>(Mark One)</w:t>
      </w:r>
    </w:p>
    <w:p>
      <w:pPr>
        <w:spacing w:after="0" w:line="14" w:lineRule="exact"/>
        <w:rPr>
          <w:sz w:val="24"/>
          <w:szCs w:val="24"/>
          <w:color w:val="auto"/>
        </w:rPr>
      </w:pPr>
    </w:p>
    <w:p>
      <w:pPr>
        <w:ind w:left="1080" w:hanging="677"/>
        <w:spacing w:after="0"/>
        <w:tabs>
          <w:tab w:leader="none" w:pos="1080" w:val="left"/>
        </w:tabs>
        <w:numPr>
          <w:ilvl w:val="0"/>
          <w:numId w:val="1"/>
        </w:numPr>
        <w:rPr>
          <w:rFonts w:ascii="MS PGothic" w:cs="MS PGothic" w:eastAsia="MS PGothic" w:hAnsi="MS PGothic"/>
          <w:sz w:val="15"/>
          <w:szCs w:val="15"/>
          <w:color w:val="auto"/>
        </w:rPr>
      </w:pPr>
      <w:r>
        <w:rPr>
          <w:rFonts w:ascii="Calibri" w:cs="Calibri" w:eastAsia="Calibri" w:hAnsi="Calibri"/>
          <w:sz w:val="16"/>
          <w:szCs w:val="16"/>
          <w:color w:val="auto"/>
        </w:rPr>
        <w:t>QUARTERLY REPORT PURSUANT TO SECTION 13 OR 15(d) OF THE SECURITIES EXCHANGE ACT OF 1934</w:t>
      </w:r>
    </w:p>
    <w:p>
      <w:pPr>
        <w:spacing w:after="0" w:line="21" w:lineRule="exact"/>
        <w:rPr>
          <w:sz w:val="24"/>
          <w:szCs w:val="24"/>
          <w:color w:val="auto"/>
        </w:rPr>
      </w:pPr>
    </w:p>
    <w:p>
      <w:pPr>
        <w:ind w:left="1080"/>
        <w:spacing w:after="0"/>
        <w:tabs>
          <w:tab w:leader="none" w:pos="4260" w:val="left"/>
        </w:tabs>
        <w:rPr>
          <w:sz w:val="20"/>
          <w:szCs w:val="20"/>
          <w:color w:val="auto"/>
        </w:rPr>
      </w:pPr>
      <w:r>
        <w:rPr>
          <w:rFonts w:ascii="Calibri" w:cs="Calibri" w:eastAsia="Calibri" w:hAnsi="Calibri"/>
          <w:sz w:val="17"/>
          <w:szCs w:val="17"/>
          <w:b w:val="1"/>
          <w:bCs w:val="1"/>
          <w:color w:val="auto"/>
        </w:rPr>
        <w:t>For the quarterly period ended</w:t>
      </w:r>
      <w:r>
        <w:rPr>
          <w:sz w:val="20"/>
          <w:szCs w:val="20"/>
          <w:color w:val="auto"/>
        </w:rPr>
        <w:tab/>
      </w:r>
      <w:r>
        <w:rPr>
          <w:rFonts w:ascii="Calibri" w:cs="Calibri" w:eastAsia="Calibri" w:hAnsi="Calibri"/>
          <w:sz w:val="16"/>
          <w:szCs w:val="16"/>
          <w:b w:val="1"/>
          <w:bCs w:val="1"/>
          <w:color w:val="auto"/>
        </w:rPr>
        <w:t>December 31, 2023</w:t>
      </w:r>
    </w:p>
    <w:p>
      <w:pPr>
        <w:spacing w:after="0" w:line="12" w:lineRule="exact"/>
        <w:rPr>
          <w:sz w:val="24"/>
          <w:szCs w:val="24"/>
          <w:color w:val="auto"/>
        </w:rPr>
      </w:pPr>
    </w:p>
    <w:p>
      <w:pPr>
        <w:jc w:val="center"/>
        <w:spacing w:after="0"/>
        <w:rPr>
          <w:sz w:val="20"/>
          <w:szCs w:val="20"/>
          <w:color w:val="auto"/>
        </w:rPr>
      </w:pPr>
      <w:r>
        <w:rPr>
          <w:rFonts w:ascii="Calibri" w:cs="Calibri" w:eastAsia="Calibri" w:hAnsi="Calibri"/>
          <w:sz w:val="17"/>
          <w:szCs w:val="17"/>
          <w:color w:val="auto"/>
        </w:rPr>
        <w:t>OR</w:t>
      </w:r>
    </w:p>
    <w:p>
      <w:pPr>
        <w:spacing w:after="0" w:line="14" w:lineRule="exact"/>
        <w:rPr>
          <w:sz w:val="24"/>
          <w:szCs w:val="24"/>
          <w:color w:val="auto"/>
        </w:rPr>
      </w:pPr>
    </w:p>
    <w:p>
      <w:pPr>
        <w:ind w:left="1080" w:hanging="684"/>
        <w:spacing w:after="0"/>
        <w:tabs>
          <w:tab w:leader="none" w:pos="1080" w:val="left"/>
        </w:tabs>
        <w:numPr>
          <w:ilvl w:val="0"/>
          <w:numId w:val="2"/>
        </w:numPr>
        <w:rPr>
          <w:rFonts w:ascii="MS PGothic" w:cs="MS PGothic" w:eastAsia="MS PGothic" w:hAnsi="MS PGothic"/>
          <w:sz w:val="16"/>
          <w:szCs w:val="16"/>
          <w:color w:val="auto"/>
        </w:rPr>
      </w:pPr>
      <w:r>
        <w:rPr>
          <w:rFonts w:ascii="Calibri" w:cs="Calibri" w:eastAsia="Calibri" w:hAnsi="Calibri"/>
          <w:sz w:val="16"/>
          <w:szCs w:val="16"/>
          <w:color w:val="auto"/>
        </w:rPr>
        <w:t>TRANSITION REPORT PURSUANT TO SECTION 13 OR 15(d) OF THE SECURITIES EXCHANGE ACT OF 1934</w:t>
      </w:r>
    </w:p>
    <w:p>
      <w:pPr>
        <w:spacing w:after="0" w:line="57" w:lineRule="exact"/>
        <w:rPr>
          <w:rFonts w:ascii="MS PGothic" w:cs="MS PGothic" w:eastAsia="MS PGothic" w:hAnsi="MS PGothic"/>
          <w:sz w:val="16"/>
          <w:szCs w:val="16"/>
          <w:color w:val="auto"/>
        </w:rPr>
      </w:pPr>
    </w:p>
    <w:p>
      <w:pPr>
        <w:ind w:left="1080"/>
        <w:spacing w:after="0" w:line="197" w:lineRule="auto"/>
        <w:rPr>
          <w:rFonts w:ascii="MS PGothic" w:cs="MS PGothic" w:eastAsia="MS PGothic" w:hAnsi="MS PGothic"/>
          <w:sz w:val="16"/>
          <w:szCs w:val="16"/>
          <w:color w:val="auto"/>
        </w:rPr>
      </w:pPr>
      <w:r>
        <w:rPr>
          <w:rFonts w:ascii="Calibri" w:cs="Calibri" w:eastAsia="Calibri" w:hAnsi="Calibri"/>
          <w:sz w:val="17"/>
          <w:szCs w:val="17"/>
          <w:b w:val="1"/>
          <w:bCs w:val="1"/>
          <w:color w:val="auto"/>
        </w:rPr>
        <w:t>For the transiton period from to</w:t>
      </w:r>
    </w:p>
    <w:p>
      <w:pPr>
        <w:spacing w:after="0" w:line="193" w:lineRule="exact"/>
        <w:rPr>
          <w:sz w:val="24"/>
          <w:szCs w:val="24"/>
          <w:color w:val="auto"/>
        </w:rPr>
      </w:pPr>
    </w:p>
    <w:p>
      <w:pPr>
        <w:jc w:val="center"/>
        <w:spacing w:after="0"/>
        <w:rPr>
          <w:sz w:val="20"/>
          <w:szCs w:val="20"/>
          <w:color w:val="auto"/>
        </w:rPr>
      </w:pPr>
      <w:r>
        <w:rPr>
          <w:rFonts w:ascii="Calibri" w:cs="Calibri" w:eastAsia="Calibri" w:hAnsi="Calibri"/>
          <w:sz w:val="17"/>
          <w:szCs w:val="17"/>
          <w:b w:val="1"/>
          <w:bCs w:val="1"/>
          <w:color w:val="auto"/>
        </w:rPr>
        <w:t>Commission fle number 1-06089</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Calibri" w:cs="Calibri" w:eastAsia="Calibri" w:hAnsi="Calibri"/>
          <w:sz w:val="17"/>
          <w:szCs w:val="17"/>
          <w:b w:val="1"/>
          <w:bCs w:val="1"/>
          <w:color w:val="auto"/>
        </w:rPr>
        <w:t>H&amp;R Block, Inc.</w:t>
      </w:r>
    </w:p>
    <w:p>
      <w:pPr>
        <w:jc w:val="center"/>
        <w:spacing w:after="0" w:line="224" w:lineRule="auto"/>
        <w:rPr>
          <w:sz w:val="20"/>
          <w:szCs w:val="20"/>
          <w:color w:val="auto"/>
        </w:rPr>
      </w:pPr>
      <w:r>
        <w:rPr>
          <w:rFonts w:ascii="Calibri" w:cs="Calibri" w:eastAsia="Calibri" w:hAnsi="Calibri"/>
          <w:sz w:val="14"/>
          <w:szCs w:val="14"/>
          <w:color w:val="auto"/>
        </w:rPr>
        <w:t>(Exact name of registrant as specifed in its charter)</w:t>
      </w:r>
    </w:p>
    <w:p>
      <w:pPr>
        <w:sectPr>
          <w:pgSz w:w="11900" w:h="16838" w:orient="portrait"/>
          <w:cols w:equalWidth="0" w:num="1">
            <w:col w:w="11240"/>
          </w:cols>
          <w:pgMar w:left="320" w:top="226" w:right="339" w:bottom="1440" w:gutter="0" w:footer="0" w:header="0"/>
        </w:sectPr>
      </w:pPr>
    </w:p>
    <w:p>
      <w:pPr>
        <w:spacing w:after="0" w:line="126" w:lineRule="exact"/>
        <w:rPr>
          <w:sz w:val="24"/>
          <w:szCs w:val="24"/>
          <w:color w:val="auto"/>
        </w:rPr>
      </w:pPr>
    </w:p>
    <w:p>
      <w:pPr>
        <w:ind w:left="2500"/>
        <w:spacing w:after="0"/>
        <w:rPr>
          <w:sz w:val="20"/>
          <w:szCs w:val="20"/>
          <w:color w:val="auto"/>
        </w:rPr>
      </w:pPr>
      <w:r>
        <w:rPr>
          <w:rFonts w:ascii="Calibri" w:cs="Calibri" w:eastAsia="Calibri" w:hAnsi="Calibri"/>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Calibri" w:cs="Calibri" w:eastAsia="Calibri" w:hAnsi="Calibri"/>
          <w:sz w:val="16"/>
          <w:szCs w:val="16"/>
          <w:b w:val="1"/>
          <w:bCs w:val="1"/>
          <w:color w:val="auto"/>
        </w:rPr>
        <w:t>44-0607856</w:t>
      </w:r>
    </w:p>
    <w:p>
      <w:pPr>
        <w:spacing w:after="0" w:line="11" w:lineRule="exact"/>
        <w:rPr>
          <w:sz w:val="24"/>
          <w:szCs w:val="24"/>
          <w:color w:val="auto"/>
        </w:rPr>
      </w:pPr>
    </w:p>
    <w:p>
      <w:pPr>
        <w:sectPr>
          <w:pgSz w:w="11900" w:h="16838" w:orient="portrait"/>
          <w:cols w:equalWidth="0" w:num="2">
            <w:col w:w="7340" w:space="720"/>
            <w:col w:w="3180"/>
          </w:cols>
          <w:pgMar w:left="320" w:top="226" w:right="339" w:bottom="1440" w:gutter="0" w:footer="0" w:header="0"/>
          <w:type w:val="continuous"/>
        </w:sectPr>
      </w:pPr>
    </w:p>
    <w:p>
      <w:pPr>
        <w:ind w:left="1980"/>
        <w:spacing w:after="0"/>
        <w:rPr>
          <w:sz w:val="20"/>
          <w:szCs w:val="20"/>
          <w:color w:val="auto"/>
        </w:rPr>
      </w:pPr>
      <w:r>
        <w:rPr>
          <w:rFonts w:ascii="Calibri" w:cs="Calibri" w:eastAsia="Calibri" w:hAnsi="Calibri"/>
          <w:sz w:val="14"/>
          <w:szCs w:val="14"/>
          <w:color w:val="auto"/>
        </w:rPr>
        <w:t>(State or other jurisdicton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3"/>
          <w:szCs w:val="13"/>
          <w:color w:val="auto"/>
        </w:rPr>
        <w:t>(I.R.S. Employer</w:t>
      </w:r>
    </w:p>
    <w:p>
      <w:pPr>
        <w:spacing w:after="0" w:line="26" w:lineRule="exact"/>
        <w:rPr>
          <w:sz w:val="24"/>
          <w:szCs w:val="24"/>
          <w:color w:val="auto"/>
        </w:rPr>
      </w:pPr>
    </w:p>
    <w:p>
      <w:pPr>
        <w:sectPr>
          <w:pgSz w:w="11900" w:h="16838" w:orient="portrait"/>
          <w:cols w:equalWidth="0" w:num="2">
            <w:col w:w="7320" w:space="720"/>
            <w:col w:w="3200"/>
          </w:cols>
          <w:pgMar w:left="320" w:top="226" w:right="339" w:bottom="1440" w:gutter="0" w:footer="0" w:header="0"/>
          <w:type w:val="continuous"/>
        </w:sectPr>
      </w:pPr>
    </w:p>
    <w:p>
      <w:pPr>
        <w:ind w:left="1960"/>
        <w:spacing w:after="0"/>
        <w:rPr>
          <w:sz w:val="20"/>
          <w:szCs w:val="20"/>
          <w:color w:val="auto"/>
        </w:rPr>
      </w:pPr>
      <w:r>
        <w:rPr>
          <w:rFonts w:ascii="Calibri" w:cs="Calibri" w:eastAsia="Calibri" w:hAnsi="Calibri"/>
          <w:sz w:val="14"/>
          <w:szCs w:val="14"/>
          <w:color w:val="auto"/>
        </w:rPr>
        <w:t>incorporaton or organizaton)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4"/>
          <w:szCs w:val="14"/>
          <w:color w:val="auto"/>
        </w:rPr>
        <w:t>Identfcaton No.)</w:t>
      </w:r>
    </w:p>
    <w:p>
      <w:pPr>
        <w:spacing w:after="0" w:line="161" w:lineRule="exact"/>
        <w:rPr>
          <w:sz w:val="24"/>
          <w:szCs w:val="24"/>
          <w:color w:val="auto"/>
        </w:rPr>
      </w:pPr>
    </w:p>
    <w:p>
      <w:pPr>
        <w:sectPr>
          <w:pgSz w:w="11900" w:h="16838" w:orient="portrait"/>
          <w:cols w:equalWidth="0" w:num="2">
            <w:col w:w="7260" w:space="720"/>
            <w:col w:w="3260"/>
          </w:cols>
          <w:pgMar w:left="320" w:top="226" w:right="339" w:bottom="1440" w:gutter="0" w:footer="0" w:header="0"/>
          <w:type w:val="continuous"/>
        </w:sectPr>
      </w:pPr>
    </w:p>
    <w:p>
      <w:pPr>
        <w:jc w:val="center"/>
        <w:ind w:right="-19"/>
        <w:spacing w:after="0"/>
        <w:rPr>
          <w:sz w:val="20"/>
          <w:szCs w:val="20"/>
          <w:color w:val="auto"/>
        </w:rPr>
      </w:pPr>
      <w:r>
        <w:rPr>
          <w:rFonts w:ascii="Calibri" w:cs="Calibri" w:eastAsia="Calibri" w:hAnsi="Calibri"/>
          <w:sz w:val="17"/>
          <w:szCs w:val="17"/>
          <w:b w:val="1"/>
          <w:bCs w:val="1"/>
          <w:color w:val="auto"/>
        </w:rPr>
        <w:t>One H&amp;R Block Way, Kansas City, Missouri 64105</w:t>
      </w:r>
    </w:p>
    <w:p>
      <w:pPr>
        <w:jc w:val="center"/>
        <w:spacing w:after="0" w:line="224" w:lineRule="auto"/>
        <w:rPr>
          <w:sz w:val="20"/>
          <w:szCs w:val="20"/>
          <w:color w:val="auto"/>
        </w:rPr>
      </w:pPr>
      <w:r>
        <w:rPr>
          <w:rFonts w:ascii="Calibri" w:cs="Calibri" w:eastAsia="Calibri" w:hAnsi="Calibri"/>
          <w:sz w:val="14"/>
          <w:szCs w:val="14"/>
          <w:color w:val="auto"/>
        </w:rPr>
        <w:t>(Address of principal executve ofces, including zip code)</w:t>
      </w:r>
    </w:p>
    <w:p>
      <w:pPr>
        <w:spacing w:after="0" w:line="58" w:lineRule="exact"/>
        <w:rPr>
          <w:sz w:val="24"/>
          <w:szCs w:val="24"/>
          <w:color w:val="auto"/>
        </w:rPr>
      </w:pPr>
    </w:p>
    <w:p>
      <w:pPr>
        <w:jc w:val="center"/>
        <w:ind w:right="-19"/>
        <w:spacing w:after="0"/>
        <w:rPr>
          <w:sz w:val="20"/>
          <w:szCs w:val="20"/>
          <w:color w:val="auto"/>
        </w:rPr>
      </w:pPr>
      <w:r>
        <w:rPr>
          <w:rFonts w:ascii="Calibri" w:cs="Calibri" w:eastAsia="Calibri" w:hAnsi="Calibri"/>
          <w:sz w:val="17"/>
          <w:szCs w:val="17"/>
          <w:b w:val="1"/>
          <w:bCs w:val="1"/>
          <w:color w:val="auto"/>
        </w:rPr>
        <w:t>(816) 854-3000</w:t>
      </w:r>
    </w:p>
    <w:p>
      <w:pPr>
        <w:jc w:val="center"/>
        <w:spacing w:after="0" w:line="224" w:lineRule="auto"/>
        <w:rPr>
          <w:sz w:val="20"/>
          <w:szCs w:val="20"/>
          <w:color w:val="auto"/>
        </w:rPr>
      </w:pPr>
      <w:r>
        <w:rPr>
          <w:rFonts w:ascii="Calibri" w:cs="Calibri" w:eastAsia="Calibri" w:hAnsi="Calibri"/>
          <w:sz w:val="14"/>
          <w:szCs w:val="14"/>
          <w:color w:val="auto"/>
        </w:rPr>
        <w:t>(Registrant's telephone number, including area code)</w:t>
      </w:r>
    </w:p>
    <w:p>
      <w:pPr>
        <w:spacing w:after="0" w:line="52" w:lineRule="exact"/>
        <w:rPr>
          <w:sz w:val="24"/>
          <w:szCs w:val="24"/>
          <w:color w:val="auto"/>
        </w:rPr>
      </w:pPr>
    </w:p>
    <w:p>
      <w:pPr>
        <w:jc w:val="center"/>
        <w:spacing w:after="0"/>
        <w:rPr>
          <w:sz w:val="20"/>
          <w:szCs w:val="20"/>
          <w:color w:val="auto"/>
        </w:rPr>
      </w:pPr>
      <w:r>
        <w:rPr>
          <w:rFonts w:ascii="Calibri" w:cs="Calibri" w:eastAsia="Calibri" w:hAnsi="Calibri"/>
          <w:sz w:val="15"/>
          <w:szCs w:val="15"/>
          <w:b w:val="1"/>
          <w:bCs w:val="1"/>
          <w:color w:val="auto"/>
        </w:rPr>
        <w:t>Securites registered pursuant to Secton 12(b) of the Act:</w:t>
      </w:r>
    </w:p>
    <w:p>
      <w:pPr>
        <w:sectPr>
          <w:pgSz w:w="11900" w:h="16838" w:orient="portrait"/>
          <w:cols w:equalWidth="0" w:num="1">
            <w:col w:w="11240"/>
          </w:cols>
          <w:pgMar w:left="320" w:top="226" w:right="339" w:bottom="1440" w:gutter="0" w:footer="0" w:header="0"/>
          <w:type w:val="continuous"/>
        </w:sectPr>
      </w:pPr>
    </w:p>
    <w:p>
      <w:pPr>
        <w:spacing w:after="0" w:line="117" w:lineRule="exact"/>
        <w:rPr>
          <w:sz w:val="24"/>
          <w:szCs w:val="24"/>
          <w:color w:val="auto"/>
        </w:rPr>
      </w:pPr>
    </w:p>
    <w:p>
      <w:pPr>
        <w:ind w:left="1840"/>
        <w:spacing w:after="0"/>
        <w:rPr>
          <w:sz w:val="20"/>
          <w:szCs w:val="20"/>
          <w:color w:val="auto"/>
        </w:rPr>
      </w:pPr>
      <w:r>
        <w:rPr>
          <w:rFonts w:ascii="Calibri" w:cs="Calibri" w:eastAsia="Calibri" w:hAnsi="Calibri"/>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Calibri" w:cs="Calibri" w:eastAsia="Calibri" w:hAnsi="Calibri"/>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Calibri" w:cs="Calibri" w:eastAsia="Calibri" w:hAnsi="Calibri"/>
          <w:sz w:val="13"/>
          <w:szCs w:val="13"/>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400" w:space="720"/>
            <w:col w:w="1820" w:space="720"/>
            <w:col w:w="3580"/>
          </w:cols>
          <w:pgMar w:left="320" w:top="226" w:right="339" w:bottom="1440" w:gutter="0" w:footer="0" w:header="0"/>
          <w:type w:val="continuous"/>
        </w:sectPr>
      </w:pPr>
    </w:p>
    <w:p>
      <w:pPr>
        <w:ind w:left="1260"/>
        <w:spacing w:after="0"/>
        <w:rPr>
          <w:sz w:val="20"/>
          <w:szCs w:val="20"/>
          <w:color w:val="auto"/>
        </w:rPr>
      </w:pPr>
      <w:r>
        <w:rPr>
          <w:rFonts w:ascii="Calibri" w:cs="Calibri" w:eastAsia="Calibri" w:hAnsi="Calibri"/>
          <w:sz w:val="15"/>
          <w:szCs w:val="15"/>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5"/>
          <w:szCs w:val="15"/>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5"/>
          <w:szCs w:val="15"/>
          <w:color w:val="auto"/>
        </w:rPr>
        <w:t>New York Stock Exchange</w:t>
      </w:r>
    </w:p>
    <w:p>
      <w:pPr>
        <w:spacing w:after="0" w:line="200" w:lineRule="exact"/>
        <w:rPr>
          <w:sz w:val="24"/>
          <w:szCs w:val="24"/>
          <w:color w:val="auto"/>
        </w:rPr>
      </w:pPr>
    </w:p>
    <w:p>
      <w:pPr>
        <w:sectPr>
          <w:pgSz w:w="11900" w:h="16838" w:orient="portrait"/>
          <w:cols w:equalWidth="0" w:num="3">
            <w:col w:w="4760" w:space="720"/>
            <w:col w:w="1920" w:space="720"/>
            <w:col w:w="3120"/>
          </w:cols>
          <w:pgMar w:left="320" w:top="226" w:right="339" w:bottom="1440" w:gutter="0" w:footer="0" w:header="0"/>
          <w:type w:val="continuous"/>
        </w:sectPr>
      </w:pPr>
    </w:p>
    <w:p>
      <w:pPr>
        <w:spacing w:after="0" w:line="4" w:lineRule="exact"/>
        <w:rPr>
          <w:sz w:val="24"/>
          <w:szCs w:val="24"/>
          <w:color w:val="auto"/>
        </w:rPr>
      </w:pPr>
    </w:p>
    <w:p>
      <w:pPr>
        <w:spacing w:after="0" w:line="238" w:lineRule="auto"/>
        <w:rPr>
          <w:sz w:val="20"/>
          <w:szCs w:val="20"/>
          <w:color w:val="auto"/>
        </w:rPr>
      </w:pPr>
      <w:r>
        <w:rPr>
          <w:rFonts w:ascii="Calibri" w:cs="Calibri" w:eastAsia="Calibri" w:hAnsi="Calibri"/>
          <w:sz w:val="15"/>
          <w:szCs w:val="15"/>
          <w:color w:val="auto"/>
        </w:rPr>
        <w:t>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w:t>
      </w:r>
    </w:p>
    <w:p>
      <w:pPr>
        <w:spacing w:after="0" w:line="23" w:lineRule="exact"/>
        <w:rPr>
          <w:sz w:val="24"/>
          <w:szCs w:val="24"/>
          <w:color w:val="auto"/>
        </w:rPr>
      </w:pPr>
    </w:p>
    <w:p>
      <w:pPr>
        <w:spacing w:after="0" w:line="208" w:lineRule="exact"/>
        <w:tabs>
          <w:tab w:leader="none" w:pos="540" w:val="left"/>
        </w:tabs>
        <w:rPr>
          <w:sz w:val="20"/>
          <w:szCs w:val="20"/>
          <w:color w:val="auto"/>
        </w:rPr>
      </w:pPr>
      <w:r>
        <w:rPr>
          <w:rFonts w:ascii="Calibri" w:cs="Calibri" w:eastAsia="Calibri" w:hAnsi="Calibri"/>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5"/>
          <w:szCs w:val="15"/>
          <w:color w:val="auto"/>
        </w:rPr>
        <w:t xml:space="preserve">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line="252" w:lineRule="auto"/>
        <w:rPr>
          <w:sz w:val="20"/>
          <w:szCs w:val="20"/>
          <w:color w:val="auto"/>
        </w:rPr>
      </w:pPr>
      <w:r>
        <w:rPr>
          <w:rFonts w:ascii="Calibri" w:cs="Calibri" w:eastAsia="Calibri" w:hAnsi="Calibri"/>
          <w:sz w:val="15"/>
          <w:szCs w:val="15"/>
          <w:color w:val="auto"/>
        </w:rPr>
        <w:t>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w:t>
      </w:r>
    </w:p>
    <w:p>
      <w:pPr>
        <w:spacing w:after="0" w:line="1" w:lineRule="exact"/>
        <w:rPr>
          <w:sz w:val="24"/>
          <w:szCs w:val="24"/>
          <w:color w:val="auto"/>
        </w:rPr>
      </w:pPr>
    </w:p>
    <w:p>
      <w:pPr>
        <w:spacing w:after="0" w:line="208" w:lineRule="exact"/>
        <w:tabs>
          <w:tab w:leader="none" w:pos="540" w:val="left"/>
        </w:tabs>
        <w:rPr>
          <w:sz w:val="20"/>
          <w:szCs w:val="20"/>
          <w:color w:val="auto"/>
        </w:rPr>
      </w:pPr>
      <w:r>
        <w:rPr>
          <w:rFonts w:ascii="Calibri" w:cs="Calibri" w:eastAsia="Calibri" w:hAnsi="Calibri"/>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5"/>
          <w:szCs w:val="15"/>
          <w:color w:val="auto"/>
        </w:rPr>
        <w:t xml:space="preserve">No </w:t>
      </w:r>
      <w:r>
        <w:rPr>
          <w:rFonts w:ascii="MS PGothic" w:cs="MS PGothic" w:eastAsia="MS PGothic" w:hAnsi="MS PGothic"/>
          <w:sz w:val="16"/>
          <w:szCs w:val="16"/>
          <w:color w:val="auto"/>
        </w:rPr>
        <w:t>☐</w:t>
      </w:r>
    </w:p>
    <w:p>
      <w:pPr>
        <w:spacing w:after="0" w:line="142" w:lineRule="exact"/>
        <w:rPr>
          <w:sz w:val="24"/>
          <w:szCs w:val="24"/>
          <w:color w:val="auto"/>
        </w:rPr>
      </w:pPr>
    </w:p>
    <w:p>
      <w:pPr>
        <w:spacing w:after="0" w:line="254" w:lineRule="auto"/>
        <w:rPr>
          <w:sz w:val="20"/>
          <w:szCs w:val="20"/>
          <w:color w:val="auto"/>
        </w:rPr>
      </w:pPr>
      <w:r>
        <w:rPr>
          <w:rFonts w:ascii="Calibri" w:cs="Calibri" w:eastAsia="Calibri" w:hAnsi="Calibri"/>
          <w:sz w:val="15"/>
          <w:szCs w:val="15"/>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 (Check one)</w:t>
      </w:r>
    </w:p>
    <w:p>
      <w:pPr>
        <w:spacing w:after="0" w:line="50" w:lineRule="exact"/>
        <w:rPr>
          <w:sz w:val="24"/>
          <w:szCs w:val="24"/>
          <w:color w:val="auto"/>
        </w:rPr>
      </w:pPr>
    </w:p>
    <w:p>
      <w:pPr>
        <w:spacing w:after="0" w:line="208" w:lineRule="exact"/>
        <w:tabs>
          <w:tab w:leader="none" w:pos="1640" w:val="left"/>
          <w:tab w:leader="none" w:pos="3040" w:val="left"/>
          <w:tab w:leader="none" w:pos="4620" w:val="left"/>
          <w:tab w:leader="none" w:pos="6340" w:val="left"/>
        </w:tabs>
        <w:rPr>
          <w:sz w:val="20"/>
          <w:szCs w:val="20"/>
          <w:color w:val="auto"/>
        </w:rPr>
      </w:pPr>
      <w:r>
        <w:rPr>
          <w:rFonts w:ascii="Calibri" w:cs="Calibri" w:eastAsia="Calibri" w:hAnsi="Calibri"/>
          <w:sz w:val="13"/>
          <w:szCs w:val="13"/>
          <w:color w:val="auto"/>
        </w:rPr>
        <w:t xml:space="preserve">Large accelerated fler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3"/>
          <w:szCs w:val="13"/>
          <w:color w:val="auto"/>
        </w:rPr>
        <w:t xml:space="preserve">Accelerated fler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3"/>
          <w:szCs w:val="13"/>
          <w:color w:val="auto"/>
        </w:rPr>
        <w:t xml:space="preserve">Non-accelerated fler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3"/>
          <w:szCs w:val="13"/>
          <w:color w:val="auto"/>
        </w:rPr>
        <w:t xml:space="preserve">Smaller reportng company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2"/>
          <w:szCs w:val="12"/>
          <w:color w:val="auto"/>
        </w:rPr>
        <w:t xml:space="preserve">Emerging growth company </w:t>
      </w:r>
      <w:r>
        <w:rPr>
          <w:rFonts w:ascii="MS PGothic" w:cs="MS PGothic" w:eastAsia="MS PGothic" w:hAnsi="MS PGothic"/>
          <w:sz w:val="16"/>
          <w:szCs w:val="16"/>
          <w:color w:val="auto"/>
        </w:rPr>
        <w:t>☐</w:t>
      </w:r>
    </w:p>
    <w:p>
      <w:pPr>
        <w:spacing w:after="0" w:line="245" w:lineRule="exact"/>
        <w:rPr>
          <w:sz w:val="24"/>
          <w:szCs w:val="24"/>
          <w:color w:val="auto"/>
        </w:rPr>
      </w:pPr>
    </w:p>
    <w:p>
      <w:pPr>
        <w:spacing w:after="0" w:line="222" w:lineRule="exact"/>
        <w:rPr>
          <w:sz w:val="20"/>
          <w:szCs w:val="20"/>
          <w:color w:val="auto"/>
        </w:rPr>
      </w:pPr>
      <w:r>
        <w:rPr>
          <w:rFonts w:ascii="Calibri" w:cs="Calibri" w:eastAsia="Calibri" w:hAnsi="Calibri"/>
          <w:sz w:val="15"/>
          <w:szCs w:val="15"/>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7"/>
          <w:szCs w:val="17"/>
          <w:color w:val="auto"/>
        </w:rPr>
        <w:t>☐</w:t>
      </w:r>
    </w:p>
    <w:p>
      <w:pPr>
        <w:spacing w:after="0" w:line="60" w:lineRule="exact"/>
        <w:rPr>
          <w:sz w:val="24"/>
          <w:szCs w:val="24"/>
          <w:color w:val="auto"/>
        </w:rPr>
      </w:pPr>
    </w:p>
    <w:p>
      <w:pPr>
        <w:spacing w:after="0"/>
        <w:rPr>
          <w:sz w:val="20"/>
          <w:szCs w:val="20"/>
          <w:color w:val="auto"/>
        </w:rPr>
      </w:pPr>
      <w:r>
        <w:rPr>
          <w:rFonts w:ascii="Calibri" w:cs="Calibri" w:eastAsia="Calibri" w:hAnsi="Calibri"/>
          <w:sz w:val="15"/>
          <w:szCs w:val="15"/>
          <w:color w:val="auto"/>
        </w:rPr>
        <w:t>Indicate by check mark whether the registrant is a shell company (as defned in Rule 12b-2 of the Exchange Act).</w:t>
      </w:r>
    </w:p>
    <w:p>
      <w:pPr>
        <w:spacing w:after="0" w:line="9" w:lineRule="exact"/>
        <w:rPr>
          <w:sz w:val="24"/>
          <w:szCs w:val="24"/>
          <w:color w:val="auto"/>
        </w:rPr>
      </w:pPr>
    </w:p>
    <w:p>
      <w:pPr>
        <w:spacing w:after="0" w:line="208" w:lineRule="exact"/>
        <w:tabs>
          <w:tab w:leader="none" w:pos="540" w:val="left"/>
        </w:tabs>
        <w:rPr>
          <w:sz w:val="20"/>
          <w:szCs w:val="20"/>
          <w:color w:val="auto"/>
        </w:rPr>
      </w:pPr>
      <w:r>
        <w:rPr>
          <w:rFonts w:ascii="Calibri" w:cs="Calibri" w:eastAsia="Calibri" w:hAnsi="Calibri"/>
          <w:sz w:val="15"/>
          <w:szCs w:val="15"/>
          <w:color w:val="auto"/>
        </w:rPr>
        <w:t xml:space="preserve">Yes </w:t>
      </w:r>
      <w:r>
        <w:rPr>
          <w:rFonts w:ascii="MS PGothic" w:cs="MS PGothic" w:eastAsia="MS PGothic" w:hAnsi="MS PGothic"/>
          <w:sz w:val="17"/>
          <w:szCs w:val="17"/>
          <w:color w:val="auto"/>
        </w:rPr>
        <w:t>☐</w:t>
      </w:r>
      <w:r>
        <w:rPr>
          <w:rFonts w:ascii="Calibri" w:cs="Calibri" w:eastAsia="Calibri" w:hAnsi="Calibri"/>
          <w:sz w:val="15"/>
          <w:szCs w:val="15"/>
          <w:color w:val="auto"/>
        </w:rPr>
        <w:tab/>
        <w:t xml:space="preserve">No </w:t>
      </w:r>
      <w:r>
        <w:rPr>
          <w:rFonts w:ascii="MS PGothic" w:cs="MS PGothic" w:eastAsia="MS PGothic" w:hAnsi="MS PGothic"/>
          <w:sz w:val="17"/>
          <w:szCs w:val="17"/>
          <w:color w:val="auto"/>
        </w:rPr>
        <w:t>☑</w:t>
      </w:r>
    </w:p>
    <w:p>
      <w:pPr>
        <w:spacing w:after="0" w:line="154" w:lineRule="exact"/>
        <w:rPr>
          <w:sz w:val="24"/>
          <w:szCs w:val="24"/>
          <w:color w:val="auto"/>
        </w:rPr>
      </w:pPr>
    </w:p>
    <w:p>
      <w:pPr>
        <w:spacing w:after="0"/>
        <w:rPr>
          <w:sz w:val="20"/>
          <w:szCs w:val="20"/>
          <w:color w:val="auto"/>
        </w:rPr>
      </w:pPr>
      <w:r>
        <w:rPr>
          <w:rFonts w:ascii="Calibri" w:cs="Calibri" w:eastAsia="Calibri" w:hAnsi="Calibri"/>
          <w:sz w:val="15"/>
          <w:szCs w:val="15"/>
          <w:color w:val="auto"/>
        </w:rPr>
        <w:t>The number of shares outstanding of the registrant's Common Stock, without par value, at the close of business on January 31, 2024: 139,520,675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782320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90805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20"/>
        <w:spacing w:after="0"/>
        <w:rPr>
          <w:sz w:val="20"/>
          <w:szCs w:val="20"/>
          <w:color w:val="auto"/>
        </w:rPr>
      </w:pPr>
      <w:r>
        <w:rPr>
          <w:rFonts w:ascii="Calibri" w:cs="Calibri" w:eastAsia="Calibri" w:hAnsi="Calibri"/>
          <w:sz w:val="21"/>
          <w:szCs w:val="21"/>
          <w:b w:val="1"/>
          <w:bCs w:val="1"/>
          <w:color w:val="auto"/>
        </w:rPr>
        <w:t>Form 10-Q for the Period ended December 31, 2023</w:t>
      </w:r>
    </w:p>
    <w:p>
      <w:pPr>
        <w:spacing w:after="0" w:line="105" w:lineRule="exact"/>
        <w:rPr>
          <w:sz w:val="20"/>
          <w:szCs w:val="20"/>
          <w:color w:val="auto"/>
        </w:rPr>
      </w:pPr>
    </w:p>
    <w:p>
      <w:pPr>
        <w:ind w:left="4880"/>
        <w:spacing w:after="0"/>
        <w:rPr>
          <w:sz w:val="20"/>
          <w:szCs w:val="20"/>
          <w:color w:val="auto"/>
        </w:rPr>
      </w:pPr>
      <w:r>
        <w:rPr>
          <w:rFonts w:ascii="Calibri" w:cs="Calibri" w:eastAsia="Calibri" w:hAnsi="Calibri"/>
          <w:sz w:val="21"/>
          <w:szCs w:val="21"/>
          <w:b w:val="1"/>
          <w:bCs w:val="1"/>
          <w:color w:val="auto"/>
        </w:rPr>
        <w:t>Table of Contents</w:t>
      </w:r>
    </w:p>
    <w:p>
      <w:pPr>
        <w:spacing w:after="0" w:line="105" w:lineRule="exact"/>
        <w:rPr>
          <w:sz w:val="20"/>
          <w:szCs w:val="20"/>
          <w:color w:val="auto"/>
        </w:rPr>
      </w:pPr>
    </w:p>
    <w:p>
      <w:pPr>
        <w:ind w:left="5320"/>
        <w:spacing w:after="0"/>
        <w:rPr>
          <w:sz w:val="20"/>
          <w:szCs w:val="20"/>
          <w:color w:val="auto"/>
        </w:rPr>
      </w:pPr>
      <w:r>
        <w:rPr>
          <w:rFonts w:ascii="Calibri" w:cs="Calibri" w:eastAsia="Calibri" w:hAnsi="Calibri"/>
          <w:sz w:val="21"/>
          <w:szCs w:val="21"/>
          <w:b w:val="1"/>
          <w:bCs w:val="1"/>
          <w:color w:val="auto"/>
        </w:rPr>
        <w:t>PART I</w:t>
      </w:r>
    </w:p>
    <w:tbl>
      <w:tblPr>
        <w:tblLayout w:type="fixed"/>
        <w:tblInd w:w="0" w:type="dxa"/>
        <w:tblCellMar>
          <w:top w:w="0" w:type="dxa"/>
          <w:left w:w="0" w:type="dxa"/>
          <w:bottom w:w="0" w:type="dxa"/>
          <w:right w:w="0" w:type="dxa"/>
        </w:tblCellMar>
      </w:tblPr>
      <w:tr>
        <w:trPr>
          <w:trHeight w:val="221"/>
        </w:trPr>
        <w:tc>
          <w:tcPr>
            <w:tcW w:w="1160" w:type="dxa"/>
            <w:vAlign w:val="bottom"/>
            <w:gridSpan w:val="4"/>
            <w:shd w:val="clear" w:color="auto" w:fill="CCEEFF"/>
          </w:tcPr>
          <w:p>
            <w:pPr>
              <w:ind w:left="20"/>
              <w:spacing w:after="0" w:line="221" w:lineRule="exact"/>
              <w:rPr>
                <w:sz w:val="20"/>
                <w:szCs w:val="20"/>
                <w:color w:val="auto"/>
              </w:rPr>
            </w:pPr>
            <w:r>
              <w:rPr>
                <w:rFonts w:ascii="Calibri" w:cs="Calibri" w:eastAsia="Calibri" w:hAnsi="Calibri"/>
                <w:sz w:val="21"/>
                <w:szCs w:val="21"/>
                <w:color w:val="0000FF"/>
              </w:rPr>
              <w:t>Item 1.</w:t>
            </w:r>
          </w:p>
        </w:tc>
        <w:tc>
          <w:tcPr>
            <w:tcW w:w="7320" w:type="dxa"/>
            <w:vAlign w:val="bottom"/>
            <w:gridSpan w:val="22"/>
            <w:shd w:val="clear" w:color="auto" w:fill="CCEEFF"/>
          </w:tcPr>
          <w:p>
            <w:pPr>
              <w:spacing w:after="0" w:line="221" w:lineRule="exact"/>
              <w:rPr>
                <w:sz w:val="20"/>
                <w:szCs w:val="20"/>
                <w:color w:val="auto"/>
              </w:rPr>
            </w:pPr>
            <w:r>
              <w:rPr>
                <w:rFonts w:ascii="Calibri" w:cs="Calibri" w:eastAsia="Calibri" w:hAnsi="Calibri"/>
                <w:sz w:val="21"/>
                <w:szCs w:val="21"/>
                <w:color w:val="0000FF"/>
              </w:rPr>
              <w:t>Consolidated Statements of Operatons and Comprehensive Loss</w:t>
            </w:r>
          </w:p>
        </w:tc>
        <w:tc>
          <w:tcPr>
            <w:tcW w:w="2260" w:type="dxa"/>
            <w:vAlign w:val="bottom"/>
            <w:gridSpan w:val="4"/>
            <w:shd w:val="clear" w:color="auto" w:fill="CCEEFF"/>
          </w:tcPr>
          <w:p>
            <w:pPr>
              <w:jc w:val="center"/>
              <w:ind w:left="1957"/>
              <w:spacing w:after="0" w:line="221" w:lineRule="exact"/>
              <w:rPr>
                <w:sz w:val="20"/>
                <w:szCs w:val="20"/>
                <w:color w:val="auto"/>
              </w:rPr>
            </w:pPr>
            <w:r>
              <w:rPr>
                <w:rFonts w:ascii="Calibri" w:cs="Calibri" w:eastAsia="Calibri" w:hAnsi="Calibri"/>
                <w:sz w:val="21"/>
                <w:szCs w:val="21"/>
                <w:color w:val="0000FF"/>
              </w:rPr>
              <w:t>1</w:t>
            </w:r>
          </w:p>
        </w:tc>
        <w:tc>
          <w:tcPr>
            <w:tcW w:w="500" w:type="dxa"/>
            <w:vAlign w:val="bottom"/>
            <w:shd w:val="clear" w:color="auto" w:fill="CCEEFF"/>
          </w:tcPr>
          <w:p>
            <w:pPr>
              <w:spacing w:after="0"/>
              <w:rPr>
                <w:sz w:val="19"/>
                <w:szCs w:val="19"/>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5300" w:type="dxa"/>
            <w:vAlign w:val="bottom"/>
            <w:tcBorders>
              <w:top w:val="single" w:sz="8" w:color="0000FF"/>
            </w:tcBorders>
            <w:gridSpan w:val="20"/>
            <w:shd w:val="clear" w:color="auto" w:fill="CCEEFF"/>
          </w:tcPr>
          <w:p>
            <w:pPr>
              <w:spacing w:after="0" w:line="187" w:lineRule="exact"/>
              <w:rPr>
                <w:sz w:val="20"/>
                <w:szCs w:val="20"/>
                <w:color w:val="auto"/>
              </w:rPr>
            </w:pPr>
            <w:r>
              <w:rPr>
                <w:rFonts w:ascii="Calibri" w:cs="Calibri" w:eastAsia="Calibri" w:hAnsi="Calibri"/>
                <w:sz w:val="20"/>
                <w:szCs w:val="20"/>
                <w:color w:val="0000FF"/>
              </w:rPr>
              <w:t>Three and six months ended December 31, 2023 and 2022</w:t>
            </w:r>
          </w:p>
        </w:tc>
        <w:tc>
          <w:tcPr>
            <w:tcW w:w="192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Consolidated Balance Sheets</w:t>
            </w:r>
          </w:p>
        </w:tc>
        <w:tc>
          <w:tcPr>
            <w:tcW w:w="2260" w:type="dxa"/>
            <w:vAlign w:val="bottom"/>
            <w:gridSpan w:val="4"/>
          </w:tcPr>
          <w:p>
            <w:pPr>
              <w:jc w:val="center"/>
              <w:ind w:left="1957"/>
              <w:spacing w:after="0" w:line="194" w:lineRule="exact"/>
              <w:rPr>
                <w:sz w:val="20"/>
                <w:szCs w:val="20"/>
                <w:color w:val="auto"/>
              </w:rPr>
            </w:pPr>
            <w:r>
              <w:rPr>
                <w:rFonts w:ascii="Calibri" w:cs="Calibri" w:eastAsia="Calibri" w:hAnsi="Calibri"/>
                <w:sz w:val="21"/>
                <w:szCs w:val="21"/>
                <w:color w:val="0000FF"/>
              </w:rPr>
              <w:t>2</w:t>
            </w:r>
          </w:p>
        </w:tc>
        <w:tc>
          <w:tcPr>
            <w:tcW w:w="5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20" w:type="dxa"/>
            <w:vAlign w:val="bottom"/>
            <w:tcBorders>
              <w:top w:val="single" w:sz="8" w:color="0000FF"/>
            </w:tcBorders>
            <w:gridSpan w:val="8"/>
          </w:tcPr>
          <w:p>
            <w:pPr>
              <w:spacing w:after="0" w:line="187" w:lineRule="exact"/>
              <w:rPr>
                <w:sz w:val="20"/>
                <w:szCs w:val="20"/>
                <w:color w:val="auto"/>
              </w:rPr>
            </w:pPr>
            <w:r>
              <w:rPr>
                <w:rFonts w:ascii="Calibri" w:cs="Calibri" w:eastAsia="Calibri" w:hAnsi="Calibri"/>
                <w:sz w:val="20"/>
                <w:szCs w:val="20"/>
                <w:color w:val="0000FF"/>
              </w:rPr>
              <w:t>As of December 31, 2023</w:t>
            </w:r>
          </w:p>
        </w:tc>
        <w:tc>
          <w:tcPr>
            <w:tcW w:w="4920" w:type="dxa"/>
            <w:vAlign w:val="bottom"/>
            <w:gridSpan w:val="12"/>
          </w:tcPr>
          <w:p>
            <w:pPr>
              <w:spacing w:after="0" w:line="187" w:lineRule="exact"/>
              <w:rPr>
                <w:sz w:val="20"/>
                <w:szCs w:val="20"/>
                <w:color w:val="auto"/>
              </w:rPr>
            </w:pPr>
            <w:r>
              <w:rPr>
                <w:rFonts w:ascii="Calibri" w:cs="Calibri" w:eastAsia="Calibri" w:hAnsi="Calibri"/>
                <w:sz w:val="20"/>
                <w:szCs w:val="20"/>
                <w:color w:val="0000FF"/>
              </w:rPr>
              <w:t>and June 30, 2023</w:t>
            </w: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44"/>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Consolidated Statements of Cash Flows</w:t>
            </w:r>
          </w:p>
        </w:tc>
        <w:tc>
          <w:tcPr>
            <w:tcW w:w="2260" w:type="dxa"/>
            <w:vAlign w:val="bottom"/>
            <w:gridSpan w:val="4"/>
            <w:shd w:val="clear" w:color="auto" w:fill="CCEEFF"/>
          </w:tcPr>
          <w:p>
            <w:pPr>
              <w:jc w:val="center"/>
              <w:ind w:left="1957"/>
              <w:spacing w:after="0" w:line="194" w:lineRule="exact"/>
              <w:rPr>
                <w:sz w:val="20"/>
                <w:szCs w:val="20"/>
                <w:color w:val="auto"/>
              </w:rPr>
            </w:pPr>
            <w:r>
              <w:rPr>
                <w:rFonts w:ascii="Calibri" w:cs="Calibri" w:eastAsia="Calibri" w:hAnsi="Calibri"/>
                <w:sz w:val="21"/>
                <w:szCs w:val="21"/>
                <w:color w:val="0000FF"/>
              </w:rPr>
              <w:t>3</w:t>
            </w:r>
          </w:p>
        </w:tc>
        <w:tc>
          <w:tcPr>
            <w:tcW w:w="500" w:type="dxa"/>
            <w:vAlign w:val="bottom"/>
            <w:shd w:val="clear" w:color="auto" w:fill="CCEEFF"/>
          </w:tcPr>
          <w:p>
            <w:pPr>
              <w:spacing w:after="0"/>
              <w:rPr>
                <w:sz w:val="16"/>
                <w:szCs w:val="16"/>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3100" w:type="dxa"/>
            <w:vAlign w:val="bottom"/>
            <w:tcBorders>
              <w:top w:val="single" w:sz="8" w:color="0000FF"/>
            </w:tcBorders>
            <w:gridSpan w:val="10"/>
            <w:shd w:val="clear" w:color="auto" w:fill="CCEEFF"/>
          </w:tcPr>
          <w:p>
            <w:pPr>
              <w:spacing w:after="0" w:line="187" w:lineRule="exact"/>
              <w:rPr>
                <w:sz w:val="20"/>
                <w:szCs w:val="20"/>
                <w:color w:val="auto"/>
              </w:rPr>
            </w:pPr>
            <w:r>
              <w:rPr>
                <w:rFonts w:ascii="Calibri" w:cs="Calibri" w:eastAsia="Calibri" w:hAnsi="Calibri"/>
                <w:sz w:val="20"/>
                <w:szCs w:val="20"/>
                <w:color w:val="0000FF"/>
                <w:w w:val="99"/>
              </w:rPr>
              <w:t>Six months ended December 31, 2023</w:t>
            </w:r>
          </w:p>
        </w:tc>
        <w:tc>
          <w:tcPr>
            <w:tcW w:w="4040" w:type="dxa"/>
            <w:vAlign w:val="bottom"/>
            <w:tcBorders>
              <w:top w:val="single" w:sz="8" w:color="CCEEFF"/>
            </w:tcBorders>
            <w:gridSpan w:val="10"/>
            <w:shd w:val="clear" w:color="auto" w:fill="CCEEFF"/>
          </w:tcPr>
          <w:p>
            <w:pPr>
              <w:ind w:left="120"/>
              <w:spacing w:after="0" w:line="187" w:lineRule="exact"/>
              <w:rPr>
                <w:sz w:val="20"/>
                <w:szCs w:val="20"/>
                <w:color w:val="auto"/>
              </w:rPr>
            </w:pPr>
            <w:r>
              <w:rPr>
                <w:rFonts w:ascii="Calibri" w:cs="Calibri" w:eastAsia="Calibri" w:hAnsi="Calibri"/>
                <w:sz w:val="20"/>
                <w:szCs w:val="20"/>
                <w:color w:val="0000FF"/>
              </w:rPr>
              <w:t>and 2022</w:t>
            </w:r>
          </w:p>
        </w:tc>
        <w:tc>
          <w:tcPr>
            <w:tcW w:w="20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Consolidated Statements of Stockholders' Equity</w:t>
            </w:r>
          </w:p>
        </w:tc>
        <w:tc>
          <w:tcPr>
            <w:tcW w:w="2260" w:type="dxa"/>
            <w:vAlign w:val="bottom"/>
            <w:gridSpan w:val="4"/>
          </w:tcPr>
          <w:p>
            <w:pPr>
              <w:jc w:val="center"/>
              <w:ind w:left="1957"/>
              <w:spacing w:after="0" w:line="194" w:lineRule="exact"/>
              <w:rPr>
                <w:sz w:val="20"/>
                <w:szCs w:val="20"/>
                <w:color w:val="auto"/>
              </w:rPr>
            </w:pPr>
            <w:r>
              <w:rPr>
                <w:rFonts w:ascii="Calibri" w:cs="Calibri" w:eastAsia="Calibri" w:hAnsi="Calibri"/>
                <w:sz w:val="21"/>
                <w:szCs w:val="21"/>
                <w:color w:val="0000FF"/>
              </w:rPr>
              <w:t>4</w:t>
            </w:r>
          </w:p>
        </w:tc>
        <w:tc>
          <w:tcPr>
            <w:tcW w:w="5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20" w:type="dxa"/>
            <w:vAlign w:val="bottom"/>
            <w:gridSpan w:val="21"/>
          </w:tcPr>
          <w:p>
            <w:pPr>
              <w:ind w:left="80"/>
              <w:spacing w:after="0" w:line="166" w:lineRule="exact"/>
              <w:rPr>
                <w:sz w:val="20"/>
                <w:szCs w:val="20"/>
                <w:color w:val="auto"/>
              </w:rPr>
            </w:pPr>
            <w:r>
              <w:rPr>
                <w:rFonts w:ascii="Calibri" w:cs="Calibri" w:eastAsia="Calibri" w:hAnsi="Calibri"/>
                <w:sz w:val="18"/>
                <w:szCs w:val="18"/>
                <w:color w:val="0000FF"/>
              </w:rPr>
              <w:t>Three and six months ended December 31, 2023 and 2022</w:t>
            </w: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4"/>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0000FF"/>
            </w:tcBorders>
            <w:gridSpan w:val="13"/>
            <w:shd w:val="clear" w:color="auto" w:fill="CCEEFF"/>
          </w:tcPr>
          <w:p>
            <w:pPr>
              <w:spacing w:after="0" w:line="194" w:lineRule="exact"/>
              <w:rPr>
                <w:sz w:val="20"/>
                <w:szCs w:val="20"/>
                <w:color w:val="auto"/>
              </w:rPr>
            </w:pPr>
            <w:r>
              <w:rPr>
                <w:rFonts w:ascii="Calibri" w:cs="Calibri" w:eastAsia="Calibri" w:hAnsi="Calibri"/>
                <w:sz w:val="21"/>
                <w:szCs w:val="21"/>
                <w:color w:val="0000FF"/>
                <w:w w:val="97"/>
              </w:rPr>
              <w:t>Notes to Consolidated Financial Statements</w:t>
            </w:r>
          </w:p>
        </w:tc>
        <w:tc>
          <w:tcPr>
            <w:tcW w:w="3680" w:type="dxa"/>
            <w:vAlign w:val="bottom"/>
            <w:tcBorders>
              <w:bottom w:val="single" w:sz="8" w:color="CCEEFF"/>
            </w:tcBorders>
            <w:gridSpan w:val="9"/>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0000FF"/>
            </w:tcBorders>
            <w:shd w:val="clear" w:color="auto" w:fill="CCEEFF"/>
          </w:tcPr>
          <w:p>
            <w:pPr>
              <w:jc w:val="center"/>
              <w:spacing w:after="0" w:line="194" w:lineRule="exact"/>
              <w:rPr>
                <w:sz w:val="20"/>
                <w:szCs w:val="20"/>
                <w:color w:val="auto"/>
              </w:rPr>
            </w:pPr>
            <w:r>
              <w:rPr>
                <w:rFonts w:ascii="Calibri" w:cs="Calibri" w:eastAsia="Calibri" w:hAnsi="Calibri"/>
                <w:sz w:val="21"/>
                <w:szCs w:val="21"/>
                <w:color w:val="0000FF"/>
              </w:rPr>
              <w:t>6</w:t>
            </w: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193"/>
        </w:trPr>
        <w:tc>
          <w:tcPr>
            <w:tcW w:w="1160" w:type="dxa"/>
            <w:vAlign w:val="bottom"/>
            <w:gridSpan w:val="4"/>
          </w:tcPr>
          <w:p>
            <w:pPr>
              <w:ind w:left="20"/>
              <w:spacing w:after="0" w:line="194" w:lineRule="exact"/>
              <w:rPr>
                <w:sz w:val="20"/>
                <w:szCs w:val="20"/>
                <w:color w:val="auto"/>
              </w:rPr>
            </w:pPr>
            <w:r>
              <w:rPr>
                <w:rFonts w:ascii="Calibri" w:cs="Calibri" w:eastAsia="Calibri" w:hAnsi="Calibri"/>
                <w:sz w:val="21"/>
                <w:szCs w:val="21"/>
                <w:color w:val="0000FF"/>
              </w:rPr>
              <w:t>Item 2.</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w w:val="99"/>
              </w:rPr>
              <w:t>Management's Discussion and Analysis of Financial Conditon and Results of Operatons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16</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920" w:type="dxa"/>
            <w:vAlign w:val="bottom"/>
            <w:tcBorders>
              <w:top w:val="single" w:sz="8" w:color="0000FF"/>
            </w:tcBorders>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spacing w:after="0" w:line="194" w:lineRule="exact"/>
              <w:rPr>
                <w:sz w:val="20"/>
                <w:szCs w:val="20"/>
                <w:color w:val="auto"/>
              </w:rPr>
            </w:pPr>
            <w:r>
              <w:rPr>
                <w:rFonts w:ascii="Calibri" w:cs="Calibri" w:eastAsia="Calibri" w:hAnsi="Calibri"/>
                <w:sz w:val="21"/>
                <w:szCs w:val="21"/>
                <w:color w:val="0000FF"/>
              </w:rPr>
              <w:t>Item 3.</w:t>
            </w: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Quanttatve and Qualitatve Disclosures About Market Risk</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25</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Calibri" w:cs="Calibri" w:eastAsia="Calibri" w:hAnsi="Calibri"/>
                <w:sz w:val="21"/>
                <w:szCs w:val="21"/>
                <w:color w:val="0000FF"/>
              </w:rPr>
              <w:t>Item 4.</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Controls and Procedures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25</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258"/>
        </w:trPr>
        <w:tc>
          <w:tcPr>
            <w:tcW w:w="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280" w:type="dxa"/>
            <w:vAlign w:val="bottom"/>
            <w:gridSpan w:val="7"/>
            <w:shd w:val="clear" w:color="auto" w:fill="CCEEFF"/>
          </w:tcPr>
          <w:p>
            <w:pPr>
              <w:ind w:left="80"/>
              <w:spacing w:after="0" w:line="245" w:lineRule="exact"/>
              <w:rPr>
                <w:sz w:val="20"/>
                <w:szCs w:val="20"/>
                <w:color w:val="auto"/>
              </w:rPr>
            </w:pPr>
            <w:r>
              <w:rPr>
                <w:rFonts w:ascii="Calibri" w:cs="Calibri" w:eastAsia="Calibri" w:hAnsi="Calibri"/>
                <w:sz w:val="21"/>
                <w:szCs w:val="21"/>
                <w:b w:val="1"/>
                <w:bCs w:val="1"/>
                <w:color w:val="auto"/>
              </w:rPr>
              <w:t>PART II</w:t>
            </w:r>
          </w:p>
        </w:tc>
        <w:tc>
          <w:tcPr>
            <w:tcW w:w="20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193"/>
        </w:trPr>
        <w:tc>
          <w:tcPr>
            <w:tcW w:w="1160" w:type="dxa"/>
            <w:vAlign w:val="bottom"/>
            <w:gridSpan w:val="4"/>
          </w:tcPr>
          <w:p>
            <w:pPr>
              <w:ind w:left="20"/>
              <w:spacing w:after="0" w:line="194" w:lineRule="exact"/>
              <w:rPr>
                <w:sz w:val="20"/>
                <w:szCs w:val="20"/>
                <w:color w:val="auto"/>
              </w:rPr>
            </w:pPr>
            <w:r>
              <w:rPr>
                <w:rFonts w:ascii="Calibri" w:cs="Calibri" w:eastAsia="Calibri" w:hAnsi="Calibri"/>
                <w:sz w:val="21"/>
                <w:szCs w:val="21"/>
                <w:color w:val="0000FF"/>
              </w:rPr>
              <w:t>Item 1.</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Legal Proceedings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spacing w:after="0" w:line="194" w:lineRule="exact"/>
              <w:rPr>
                <w:sz w:val="20"/>
                <w:szCs w:val="20"/>
                <w:color w:val="auto"/>
              </w:rPr>
            </w:pPr>
            <w:r>
              <w:rPr>
                <w:rFonts w:ascii="Calibri" w:cs="Calibri" w:eastAsia="Calibri" w:hAnsi="Calibri"/>
                <w:sz w:val="21"/>
                <w:szCs w:val="21"/>
                <w:color w:val="0000FF"/>
                <w:w w:val="96"/>
              </w:rPr>
              <w:t>Item 1A.</w:t>
            </w:r>
          </w:p>
        </w:tc>
        <w:tc>
          <w:tcPr>
            <w:tcW w:w="420" w:type="dxa"/>
            <w:vAlign w:val="bottom"/>
            <w:shd w:val="clear" w:color="auto" w:fill="CCEEFF"/>
          </w:tcPr>
          <w:p>
            <w:pPr>
              <w:spacing w:after="0"/>
              <w:rPr>
                <w:sz w:val="16"/>
                <w:szCs w:val="16"/>
                <w:color w:val="auto"/>
              </w:rPr>
            </w:pPr>
          </w:p>
        </w:tc>
        <w:tc>
          <w:tcPr>
            <w:tcW w:w="980" w:type="dxa"/>
            <w:vAlign w:val="bottom"/>
            <w:gridSpan w:val="5"/>
            <w:shd w:val="clear" w:color="auto" w:fill="CCEEFF"/>
          </w:tcPr>
          <w:p>
            <w:pPr>
              <w:spacing w:after="0" w:line="194" w:lineRule="exact"/>
              <w:rPr>
                <w:sz w:val="20"/>
                <w:szCs w:val="20"/>
                <w:color w:val="auto"/>
              </w:rPr>
            </w:pPr>
            <w:r>
              <w:rPr>
                <w:rFonts w:ascii="Calibri" w:cs="Calibri" w:eastAsia="Calibri" w:hAnsi="Calibri"/>
                <w:sz w:val="21"/>
                <w:szCs w:val="21"/>
                <w:color w:val="0000FF"/>
                <w:w w:val="95"/>
              </w:rPr>
              <w:t>Risk Factors</w:t>
            </w:r>
          </w:p>
        </w:tc>
        <w:tc>
          <w:tcPr>
            <w:tcW w:w="6340" w:type="dxa"/>
            <w:vAlign w:val="bottom"/>
            <w:gridSpan w:val="17"/>
            <w:shd w:val="clear" w:color="auto" w:fill="CCEEFF"/>
          </w:tcPr>
          <w:p>
            <w:pPr>
              <w:spacing w:after="0"/>
              <w:rPr>
                <w:sz w:val="16"/>
                <w:szCs w:val="16"/>
                <w:color w:val="auto"/>
              </w:rPr>
            </w:pP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720" w:type="dxa"/>
            <w:vAlign w:val="bottom"/>
            <w:gridSpan w:val="2"/>
          </w:tcPr>
          <w:p>
            <w:pPr>
              <w:spacing w:after="0" w:line="194" w:lineRule="exact"/>
              <w:rPr>
                <w:sz w:val="20"/>
                <w:szCs w:val="20"/>
                <w:color w:val="auto"/>
              </w:rPr>
            </w:pPr>
            <w:r>
              <w:rPr>
                <w:rFonts w:ascii="Calibri" w:cs="Calibri" w:eastAsia="Calibri" w:hAnsi="Calibri"/>
                <w:sz w:val="21"/>
                <w:szCs w:val="21"/>
                <w:color w:val="0000FF"/>
              </w:rPr>
              <w:t>Item 2.</w:t>
            </w:r>
          </w:p>
        </w:tc>
        <w:tc>
          <w:tcPr>
            <w:tcW w:w="420" w:type="dxa"/>
            <w:vAlign w:val="bottom"/>
          </w:tcPr>
          <w:p>
            <w:pPr>
              <w:spacing w:after="0"/>
              <w:rPr>
                <w:sz w:val="16"/>
                <w:szCs w:val="16"/>
                <w:color w:val="auto"/>
              </w:rPr>
            </w:pP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Unregistered Sales of Equity Securites and Use of Proceeds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spacing w:after="0" w:line="194" w:lineRule="exact"/>
              <w:rPr>
                <w:sz w:val="20"/>
                <w:szCs w:val="20"/>
                <w:color w:val="auto"/>
              </w:rPr>
            </w:pPr>
            <w:r>
              <w:rPr>
                <w:rFonts w:ascii="Calibri" w:cs="Calibri" w:eastAsia="Calibri" w:hAnsi="Calibri"/>
                <w:sz w:val="21"/>
                <w:szCs w:val="21"/>
                <w:color w:val="0000FF"/>
              </w:rPr>
              <w:t>Item 3.</w:t>
            </w: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Defaults Upon Senior Securites</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Calibri" w:cs="Calibri" w:eastAsia="Calibri" w:hAnsi="Calibri"/>
                <w:sz w:val="21"/>
                <w:szCs w:val="21"/>
                <w:color w:val="0000FF"/>
              </w:rPr>
              <w:t>Item 4.</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Mine Safety Disclosures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193"/>
        </w:trPr>
        <w:tc>
          <w:tcPr>
            <w:tcW w:w="2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spacing w:after="0" w:line="194" w:lineRule="exact"/>
              <w:rPr>
                <w:sz w:val="20"/>
                <w:szCs w:val="20"/>
                <w:color w:val="auto"/>
              </w:rPr>
            </w:pPr>
            <w:r>
              <w:rPr>
                <w:rFonts w:ascii="Calibri" w:cs="Calibri" w:eastAsia="Calibri" w:hAnsi="Calibri"/>
                <w:sz w:val="21"/>
                <w:szCs w:val="21"/>
                <w:color w:val="0000FF"/>
              </w:rPr>
              <w:t>Item 5.</w:t>
            </w: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Other Informaton</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26</w:t>
            </w:r>
          </w:p>
        </w:tc>
      </w:tr>
      <w:tr>
        <w:trPr>
          <w:trHeight w:val="44"/>
        </w:trPr>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Calibri" w:cs="Calibri" w:eastAsia="Calibri" w:hAnsi="Calibri"/>
                <w:sz w:val="21"/>
                <w:szCs w:val="21"/>
                <w:color w:val="0000FF"/>
              </w:rPr>
              <w:t>Item 6.</w:t>
            </w:r>
          </w:p>
        </w:tc>
        <w:tc>
          <w:tcPr>
            <w:tcW w:w="7320" w:type="dxa"/>
            <w:vAlign w:val="bottom"/>
            <w:gridSpan w:val="22"/>
          </w:tcPr>
          <w:p>
            <w:pPr>
              <w:spacing w:after="0" w:line="194" w:lineRule="exact"/>
              <w:rPr>
                <w:sz w:val="20"/>
                <w:szCs w:val="20"/>
                <w:color w:val="auto"/>
              </w:rPr>
            </w:pPr>
            <w:r>
              <w:rPr>
                <w:rFonts w:ascii="Calibri" w:cs="Calibri" w:eastAsia="Calibri" w:hAnsi="Calibri"/>
                <w:sz w:val="21"/>
                <w:szCs w:val="21"/>
                <w:color w:val="0000FF"/>
              </w:rPr>
              <w:t>Exhibits</w:t>
            </w:r>
          </w:p>
        </w:tc>
        <w:tc>
          <w:tcPr>
            <w:tcW w:w="2760" w:type="dxa"/>
            <w:vAlign w:val="bottom"/>
            <w:gridSpan w:val="5"/>
          </w:tcPr>
          <w:p>
            <w:pPr>
              <w:jc w:val="center"/>
              <w:ind w:left="1457"/>
              <w:spacing w:after="0" w:line="194" w:lineRule="exact"/>
              <w:rPr>
                <w:sz w:val="20"/>
                <w:szCs w:val="20"/>
                <w:color w:val="auto"/>
              </w:rPr>
            </w:pPr>
            <w:r>
              <w:rPr>
                <w:rFonts w:ascii="Calibri" w:cs="Calibri" w:eastAsia="Calibri" w:hAnsi="Calibri"/>
                <w:sz w:val="21"/>
                <w:szCs w:val="21"/>
                <w:color w:val="0000FF"/>
                <w:w w:val="93"/>
              </w:rPr>
              <w:t>27</w:t>
            </w:r>
          </w:p>
        </w:tc>
      </w:tr>
      <w:tr>
        <w:trPr>
          <w:trHeight w:val="44"/>
        </w:trPr>
        <w:tc>
          <w:tcPr>
            <w:tcW w:w="2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r>
      <w:tr>
        <w:trPr>
          <w:trHeight w:val="238"/>
        </w:trPr>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320" w:type="dxa"/>
            <w:vAlign w:val="bottom"/>
            <w:gridSpan w:val="22"/>
            <w:shd w:val="clear" w:color="auto" w:fill="CCEEFF"/>
          </w:tcPr>
          <w:p>
            <w:pPr>
              <w:spacing w:after="0" w:line="194" w:lineRule="exact"/>
              <w:rPr>
                <w:sz w:val="20"/>
                <w:szCs w:val="20"/>
                <w:color w:val="auto"/>
              </w:rPr>
            </w:pPr>
            <w:r>
              <w:rPr>
                <w:rFonts w:ascii="Calibri" w:cs="Calibri" w:eastAsia="Calibri" w:hAnsi="Calibri"/>
                <w:sz w:val="21"/>
                <w:szCs w:val="21"/>
                <w:color w:val="0000FF"/>
              </w:rPr>
              <w:t>Signatures</w:t>
            </w:r>
          </w:p>
        </w:tc>
        <w:tc>
          <w:tcPr>
            <w:tcW w:w="2760" w:type="dxa"/>
            <w:vAlign w:val="bottom"/>
            <w:gridSpan w:val="5"/>
            <w:shd w:val="clear" w:color="auto" w:fill="CCEEFF"/>
          </w:tcPr>
          <w:p>
            <w:pPr>
              <w:jc w:val="center"/>
              <w:ind w:left="1457"/>
              <w:spacing w:after="0" w:line="194" w:lineRule="exact"/>
              <w:rPr>
                <w:sz w:val="20"/>
                <w:szCs w:val="20"/>
                <w:color w:val="auto"/>
              </w:rPr>
            </w:pPr>
            <w:r>
              <w:rPr>
                <w:rFonts w:ascii="Calibri" w:cs="Calibri" w:eastAsia="Calibri" w:hAnsi="Calibri"/>
                <w:sz w:val="21"/>
                <w:szCs w:val="21"/>
                <w:color w:val="0000FF"/>
                <w:w w:val="93"/>
              </w:rPr>
              <w:t>28</w:t>
            </w:r>
          </w:p>
        </w:tc>
      </w:tr>
      <w:tr>
        <w:trPr>
          <w:trHeight w:val="1772"/>
        </w:trPr>
        <w:tc>
          <w:tcPr>
            <w:tcW w:w="2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1920" w:type="dxa"/>
            <w:vAlign w:val="bottom"/>
            <w:tcBorders>
              <w:top w:val="single" w:sz="8" w:color="CCEEFF"/>
              <w:bottom w:val="single" w:sz="8" w:color="9A9A9A"/>
            </w:tcBorders>
          </w:tcPr>
          <w:p>
            <w:pPr>
              <w:spacing w:after="0"/>
              <w:rPr>
                <w:sz w:val="24"/>
                <w:szCs w:val="24"/>
                <w:color w:val="auto"/>
              </w:rPr>
            </w:pPr>
          </w:p>
        </w:tc>
        <w:tc>
          <w:tcPr>
            <w:tcW w:w="20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820" w:type="dxa"/>
            <w:vAlign w:val="bottom"/>
          </w:tcPr>
          <w:p>
            <w:pPr>
              <w:spacing w:after="0"/>
              <w:rPr>
                <w:sz w:val="20"/>
                <w:szCs w:val="20"/>
                <w:color w:val="auto"/>
              </w:rPr>
            </w:pPr>
            <w:r>
              <w:rPr>
                <w:rFonts w:ascii="Calibri" w:cs="Calibri" w:eastAsia="Calibri" w:hAnsi="Calibri"/>
                <w:sz w:val="24"/>
                <w:szCs w:val="24"/>
                <w:b w:val="1"/>
                <w:bCs w:val="1"/>
                <w:color w:val="14AA40"/>
              </w:rPr>
              <w:t>PART I</w:t>
            </w:r>
          </w:p>
        </w:tc>
        <w:tc>
          <w:tcPr>
            <w:tcW w:w="4020" w:type="dxa"/>
            <w:vAlign w:val="bottom"/>
          </w:tcPr>
          <w:p>
            <w:pPr>
              <w:ind w:left="40"/>
              <w:spacing w:after="0"/>
              <w:rPr>
                <w:sz w:val="20"/>
                <w:szCs w:val="20"/>
                <w:color w:val="auto"/>
              </w:rPr>
            </w:pPr>
            <w:r>
              <w:rPr>
                <w:rFonts w:ascii="Calibri" w:cs="Calibri" w:eastAsia="Calibri" w:hAnsi="Calibri"/>
                <w:sz w:val="24"/>
                <w:szCs w:val="24"/>
                <w:b w:val="1"/>
                <w:bCs w:val="1"/>
                <w:color w:val="14AA40"/>
              </w:rPr>
              <w:t>FINANCIAL INFORMATION</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20" w:type="dxa"/>
            <w:vAlign w:val="bottom"/>
          </w:tcPr>
          <w:p>
            <w:pPr>
              <w:spacing w:after="0"/>
              <w:rPr>
                <w:sz w:val="20"/>
                <w:szCs w:val="20"/>
                <w:color w:val="auto"/>
              </w:rPr>
            </w:pPr>
            <w:r>
              <w:rPr>
                <w:rFonts w:ascii="Calibri" w:cs="Calibri" w:eastAsia="Calibri" w:hAnsi="Calibri"/>
                <w:sz w:val="24"/>
                <w:szCs w:val="24"/>
                <w:b w:val="1"/>
                <w:bCs w:val="1"/>
                <w:color w:val="14AA40"/>
              </w:rPr>
              <w:t>ITEM 1.</w:t>
            </w:r>
          </w:p>
        </w:tc>
        <w:tc>
          <w:tcPr>
            <w:tcW w:w="4020" w:type="dxa"/>
            <w:vAlign w:val="bottom"/>
          </w:tcPr>
          <w:p>
            <w:pPr>
              <w:ind w:left="160"/>
              <w:spacing w:after="0"/>
              <w:rPr>
                <w:sz w:val="20"/>
                <w:szCs w:val="20"/>
                <w:color w:val="auto"/>
              </w:rPr>
            </w:pPr>
            <w:r>
              <w:rPr>
                <w:rFonts w:ascii="Calibri" w:cs="Calibri" w:eastAsia="Calibri" w:hAnsi="Calibri"/>
                <w:sz w:val="24"/>
                <w:szCs w:val="24"/>
                <w:b w:val="1"/>
                <w:bCs w:val="1"/>
                <w:color w:val="14AA40"/>
              </w:rPr>
              <w:t>FINANCIAL STATEMENTS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2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200" w:type="dxa"/>
            <w:vAlign w:val="bottom"/>
            <w:gridSpan w:val="8"/>
            <w:vMerge w:val="restart"/>
          </w:tcPr>
          <w:p>
            <w:pPr>
              <w:ind w:left="20"/>
              <w:spacing w:after="0" w:line="281" w:lineRule="exact"/>
              <w:rPr>
                <w:sz w:val="20"/>
                <w:szCs w:val="20"/>
                <w:color w:val="auto"/>
              </w:rPr>
            </w:pPr>
            <w:r>
              <w:rPr>
                <w:rFonts w:ascii="Calibri" w:cs="Calibri" w:eastAsia="Calibri" w:hAnsi="Calibri"/>
                <w:sz w:val="24"/>
                <w:szCs w:val="24"/>
                <w:b w:val="1"/>
                <w:bCs w:val="1"/>
                <w:color w:val="auto"/>
              </w:rPr>
              <w:t>CONSOLIDATED STATEMENTS OF OPERATIONS AND COMPREHENSIVE LOSS:</w:t>
            </w: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gridSpan w:val="3"/>
          </w:tcPr>
          <w:p>
            <w:pPr>
              <w:jc w:val="right"/>
              <w:spacing w:after="0" w:line="109" w:lineRule="exact"/>
              <w:rPr>
                <w:sz w:val="20"/>
                <w:szCs w:val="20"/>
                <w:color w:val="auto"/>
              </w:rPr>
            </w:pPr>
            <w:r>
              <w:rPr>
                <w:rFonts w:ascii="Calibri" w:cs="Calibri" w:eastAsia="Calibri" w:hAnsi="Calibri"/>
                <w:sz w:val="11"/>
                <w:szCs w:val="11"/>
                <w:color w:val="auto"/>
              </w:rPr>
              <w:t>(unaudited, in 000s, except</w:t>
            </w:r>
          </w:p>
        </w:tc>
        <w:tc>
          <w:tcPr>
            <w:tcW w:w="0" w:type="dxa"/>
            <w:vAlign w:val="bottom"/>
          </w:tcPr>
          <w:p>
            <w:pPr>
              <w:spacing w:after="0"/>
              <w:rPr>
                <w:sz w:val="1"/>
                <w:szCs w:val="1"/>
                <w:color w:val="auto"/>
              </w:rPr>
            </w:pPr>
          </w:p>
        </w:tc>
      </w:tr>
      <w:tr>
        <w:trPr>
          <w:trHeight w:val="172"/>
        </w:trPr>
        <w:tc>
          <w:tcPr>
            <w:tcW w:w="8200" w:type="dxa"/>
            <w:vAlign w:val="bottom"/>
            <w:gridSpan w:val="8"/>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line="164" w:lineRule="exact"/>
              <w:rPr>
                <w:sz w:val="20"/>
                <w:szCs w:val="20"/>
                <w:color w:val="auto"/>
              </w:rPr>
            </w:pPr>
            <w:r>
              <w:rPr>
                <w:rFonts w:ascii="Calibri" w:cs="Calibri" w:eastAsia="Calibri" w:hAnsi="Calibri"/>
                <w:sz w:val="14"/>
                <w:szCs w:val="14"/>
                <w:color w:val="auto"/>
              </w:rPr>
              <w:t>per share amounts)</w:t>
            </w:r>
          </w:p>
        </w:tc>
        <w:tc>
          <w:tcPr>
            <w:tcW w:w="0" w:type="dxa"/>
            <w:vAlign w:val="bottom"/>
          </w:tcPr>
          <w:p>
            <w:pPr>
              <w:spacing w:after="0"/>
              <w:rPr>
                <w:sz w:val="1"/>
                <w:szCs w:val="1"/>
                <w:color w:val="auto"/>
              </w:rPr>
            </w:pPr>
          </w:p>
        </w:tc>
      </w:tr>
      <w:tr>
        <w:trPr>
          <w:trHeight w:val="34"/>
        </w:trPr>
        <w:tc>
          <w:tcPr>
            <w:tcW w:w="8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60" w:type="dxa"/>
            <w:vAlign w:val="bottom"/>
            <w:gridSpan w:val="5"/>
          </w:tcPr>
          <w:p>
            <w:pPr>
              <w:ind w:left="220"/>
              <w:spacing w:after="0" w:line="177" w:lineRule="exact"/>
              <w:rPr>
                <w:sz w:val="20"/>
                <w:szCs w:val="20"/>
                <w:color w:val="auto"/>
              </w:rPr>
            </w:pPr>
            <w:r>
              <w:rPr>
                <w:rFonts w:ascii="Calibri" w:cs="Calibri" w:eastAsia="Calibri" w:hAnsi="Calibri"/>
                <w:sz w:val="15"/>
                <w:szCs w:val="15"/>
                <w:color w:val="auto"/>
              </w:rPr>
              <w:t>Three months ended December 31,</w:t>
            </w:r>
          </w:p>
        </w:tc>
        <w:tc>
          <w:tcPr>
            <w:tcW w:w="300" w:type="dxa"/>
            <w:vAlign w:val="bottom"/>
          </w:tcPr>
          <w:p>
            <w:pPr>
              <w:spacing w:after="0"/>
              <w:rPr>
                <w:sz w:val="15"/>
                <w:szCs w:val="15"/>
                <w:color w:val="auto"/>
              </w:rPr>
            </w:pPr>
          </w:p>
        </w:tc>
        <w:tc>
          <w:tcPr>
            <w:tcW w:w="2740" w:type="dxa"/>
            <w:vAlign w:val="bottom"/>
            <w:gridSpan w:val="4"/>
          </w:tcPr>
          <w:p>
            <w:pPr>
              <w:jc w:val="right"/>
              <w:ind w:right="423"/>
              <w:spacing w:after="0" w:line="177" w:lineRule="exact"/>
              <w:rPr>
                <w:sz w:val="20"/>
                <w:szCs w:val="20"/>
                <w:color w:val="auto"/>
              </w:rPr>
            </w:pPr>
            <w:r>
              <w:rPr>
                <w:rFonts w:ascii="Calibri" w:cs="Calibri" w:eastAsia="Calibri" w:hAnsi="Calibri"/>
                <w:sz w:val="15"/>
                <w:szCs w:val="15"/>
                <w:color w:val="auto"/>
              </w:rPr>
              <w:t>Six months ended December 31,</w:t>
            </w:r>
          </w:p>
        </w:tc>
        <w:tc>
          <w:tcPr>
            <w:tcW w:w="0" w:type="dxa"/>
            <w:vAlign w:val="bottom"/>
          </w:tcPr>
          <w:p>
            <w:pPr>
              <w:spacing w:after="0"/>
              <w:rPr>
                <w:sz w:val="1"/>
                <w:szCs w:val="1"/>
                <w:color w:val="auto"/>
              </w:rPr>
            </w:pPr>
          </w:p>
        </w:tc>
      </w:tr>
      <w:tr>
        <w:trPr>
          <w:trHeight w:val="22"/>
        </w:trPr>
        <w:tc>
          <w:tcPr>
            <w:tcW w:w="8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0" w:type="dxa"/>
            <w:vAlign w:val="bottom"/>
          </w:tcPr>
          <w:p>
            <w:pPr>
              <w:spacing w:after="0"/>
              <w:rPr>
                <w:sz w:val="1"/>
                <w:szCs w:val="1"/>
                <w:color w:val="auto"/>
              </w:rPr>
            </w:pPr>
          </w:p>
        </w:tc>
      </w:tr>
      <w:tr>
        <w:trPr>
          <w:trHeight w:val="22"/>
        </w:trPr>
        <w:tc>
          <w:tcPr>
            <w:tcW w:w="820" w:type="dxa"/>
            <w:vAlign w:val="bottom"/>
            <w:vMerge w:val="restart"/>
          </w:tcPr>
          <w:p>
            <w:pPr>
              <w:ind w:left="20"/>
              <w:spacing w:after="0"/>
              <w:rPr>
                <w:sz w:val="20"/>
                <w:szCs w:val="20"/>
                <w:color w:val="auto"/>
              </w:rPr>
            </w:pPr>
            <w:r>
              <w:rPr>
                <w:rFonts w:ascii="Calibri" w:cs="Calibri" w:eastAsia="Calibri" w:hAnsi="Calibri"/>
                <w:sz w:val="15"/>
                <w:szCs w:val="15"/>
                <w:b w:val="1"/>
                <w:bCs w:val="1"/>
                <w:color w:val="auto"/>
              </w:rPr>
              <w:t>REVENUES:</w:t>
            </w: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820" w:type="dxa"/>
            <w:vAlign w:val="bottom"/>
            <w:vMerge w:val="continue"/>
          </w:tcPr>
          <w:p>
            <w:pPr>
              <w:spacing w:after="0"/>
              <w:rPr>
                <w:sz w:val="13"/>
                <w:szCs w:val="13"/>
                <w:color w:val="auto"/>
              </w:rPr>
            </w:pPr>
          </w:p>
        </w:tc>
        <w:tc>
          <w:tcPr>
            <w:tcW w:w="4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8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Service revenues</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149,081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139,565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320,807</w:t>
            </w:r>
          </w:p>
        </w:tc>
        <w:tc>
          <w:tcPr>
            <w:tcW w:w="320" w:type="dxa"/>
            <w:vAlign w:val="bottom"/>
            <w:tcBorders>
              <w:bottom w:val="single" w:sz="8" w:color="CCEEFF"/>
            </w:tcBorders>
            <w:gridSpan w:val="2"/>
            <w:shd w:val="clear" w:color="auto" w:fill="CCEEFF"/>
          </w:tcPr>
          <w:p>
            <w:pPr>
              <w:jc w:val="right"/>
              <w:ind w:right="63"/>
              <w:spacing w:after="0"/>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306,759</w:t>
            </w:r>
          </w:p>
        </w:tc>
        <w:tc>
          <w:tcPr>
            <w:tcW w:w="0" w:type="dxa"/>
            <w:vAlign w:val="bottom"/>
          </w:tcPr>
          <w:p>
            <w:pPr>
              <w:spacing w:after="0"/>
              <w:rPr>
                <w:sz w:val="1"/>
                <w:szCs w:val="1"/>
                <w:color w:val="auto"/>
              </w:rPr>
            </w:pPr>
          </w:p>
        </w:tc>
      </w:tr>
      <w:tr>
        <w:trPr>
          <w:trHeight w:val="184"/>
        </w:trPr>
        <w:tc>
          <w:tcPr>
            <w:tcW w:w="4840" w:type="dxa"/>
            <w:vAlign w:val="bottom"/>
            <w:gridSpan w:val="2"/>
          </w:tcPr>
          <w:p>
            <w:pPr>
              <w:ind w:left="140"/>
              <w:spacing w:after="0"/>
              <w:rPr>
                <w:sz w:val="20"/>
                <w:szCs w:val="20"/>
                <w:color w:val="auto"/>
              </w:rPr>
            </w:pPr>
            <w:r>
              <w:rPr>
                <w:rFonts w:ascii="Calibri" w:cs="Calibri" w:eastAsia="Calibri" w:hAnsi="Calibri"/>
                <w:sz w:val="15"/>
                <w:szCs w:val="15"/>
                <w:color w:val="auto"/>
              </w:rPr>
              <w:t>Royalty, product and other revenues</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30,002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26,840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5"/>
                <w:szCs w:val="15"/>
                <w:b w:val="1"/>
                <w:bCs w:val="1"/>
                <w:color w:val="auto"/>
              </w:rPr>
              <w:t>42,076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39,631</w:t>
            </w:r>
          </w:p>
        </w:tc>
        <w:tc>
          <w:tcPr>
            <w:tcW w:w="0" w:type="dxa"/>
            <w:vAlign w:val="bottom"/>
          </w:tcPr>
          <w:p>
            <w:pPr>
              <w:spacing w:after="0"/>
              <w:rPr>
                <w:sz w:val="1"/>
                <w:szCs w:val="1"/>
                <w:color w:val="auto"/>
              </w:rPr>
            </w:pPr>
          </w:p>
        </w:tc>
      </w:tr>
      <w:tr>
        <w:trPr>
          <w:trHeight w:val="22"/>
        </w:trPr>
        <w:tc>
          <w:tcPr>
            <w:tcW w:w="8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179,083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166,405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362,883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346,390</w:t>
            </w:r>
          </w:p>
        </w:tc>
        <w:tc>
          <w:tcPr>
            <w:tcW w:w="0" w:type="dxa"/>
            <w:vAlign w:val="bottom"/>
          </w:tcPr>
          <w:p>
            <w:pPr>
              <w:spacing w:after="0"/>
              <w:rPr>
                <w:sz w:val="1"/>
                <w:szCs w:val="1"/>
                <w:color w:val="auto"/>
              </w:rPr>
            </w:pPr>
          </w:p>
        </w:tc>
      </w:tr>
      <w:tr>
        <w:trPr>
          <w:trHeight w:val="164"/>
        </w:trPr>
        <w:tc>
          <w:tcPr>
            <w:tcW w:w="484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OPERATING EXPENSES:</w:t>
            </w:r>
          </w:p>
        </w:tc>
        <w:tc>
          <w:tcPr>
            <w:tcW w:w="3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Costs of revenues</w:t>
            </w: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299,827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298,345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559,185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559,007</w:t>
            </w:r>
          </w:p>
        </w:tc>
        <w:tc>
          <w:tcPr>
            <w:tcW w:w="0" w:type="dxa"/>
            <w:vAlign w:val="bottom"/>
          </w:tcPr>
          <w:p>
            <w:pPr>
              <w:spacing w:after="0"/>
              <w:rPr>
                <w:sz w:val="1"/>
                <w:szCs w:val="1"/>
                <w:color w:val="auto"/>
              </w:rPr>
            </w:pPr>
          </w:p>
        </w:tc>
      </w:tr>
      <w:tr>
        <w:trPr>
          <w:trHeight w:val="184"/>
        </w:trPr>
        <w:tc>
          <w:tcPr>
            <w:tcW w:w="4840" w:type="dxa"/>
            <w:vAlign w:val="bottom"/>
            <w:gridSpan w:val="2"/>
          </w:tcPr>
          <w:p>
            <w:pPr>
              <w:ind w:left="140"/>
              <w:spacing w:after="0"/>
              <w:rPr>
                <w:sz w:val="20"/>
                <w:szCs w:val="20"/>
                <w:color w:val="auto"/>
              </w:rPr>
            </w:pPr>
            <w:r>
              <w:rPr>
                <w:rFonts w:ascii="Calibri" w:cs="Calibri" w:eastAsia="Calibri" w:hAnsi="Calibri"/>
                <w:sz w:val="15"/>
                <w:szCs w:val="15"/>
                <w:color w:val="auto"/>
              </w:rPr>
              <w:t>Selling, general and administratve</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146,688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151,263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5"/>
                <w:szCs w:val="15"/>
                <w:b w:val="1"/>
                <w:bCs w:val="1"/>
                <w:color w:val="auto"/>
              </w:rPr>
              <w:t>277,456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279,697</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84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Total operatng expenses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446,515</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449,608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836,641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838,704</w:t>
            </w: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 income (expense), net</w:t>
            </w: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5,922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4,185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15,758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7,796</w:t>
            </w:r>
          </w:p>
        </w:tc>
        <w:tc>
          <w:tcPr>
            <w:tcW w:w="0" w:type="dxa"/>
            <w:vAlign w:val="bottom"/>
          </w:tcPr>
          <w:p>
            <w:pPr>
              <w:spacing w:after="0"/>
              <w:rPr>
                <w:sz w:val="1"/>
                <w:szCs w:val="1"/>
                <w:color w:val="auto"/>
              </w:rPr>
            </w:pPr>
          </w:p>
        </w:tc>
      </w:tr>
      <w:tr>
        <w:trPr>
          <w:trHeight w:val="184"/>
        </w:trPr>
        <w:tc>
          <w:tcPr>
            <w:tcW w:w="4840" w:type="dxa"/>
            <w:vAlign w:val="bottom"/>
            <w:gridSpan w:val="2"/>
          </w:tcPr>
          <w:p>
            <w:pPr>
              <w:ind w:left="20"/>
              <w:spacing w:after="0"/>
              <w:rPr>
                <w:sz w:val="20"/>
                <w:szCs w:val="20"/>
                <w:color w:val="auto"/>
              </w:rPr>
            </w:pPr>
            <w:r>
              <w:rPr>
                <w:rFonts w:ascii="Calibri" w:cs="Calibri" w:eastAsia="Calibri" w:hAnsi="Calibri"/>
                <w:sz w:val="15"/>
                <w:szCs w:val="15"/>
                <w:color w:val="auto"/>
              </w:rPr>
              <w:t>Interest expense on borrowings</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(21,364)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(18,985)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5"/>
                <w:szCs w:val="15"/>
                <w:b w:val="1"/>
                <w:bCs w:val="1"/>
                <w:color w:val="auto"/>
              </w:rPr>
              <w:t>(37,234)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(34,809)</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84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Loss from contnuing operatons before income tax beneft</w:t>
            </w: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(282,874)</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(298,003)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(495,234)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(519,327)</w:t>
            </w:r>
          </w:p>
        </w:tc>
        <w:tc>
          <w:tcPr>
            <w:tcW w:w="0" w:type="dxa"/>
            <w:vAlign w:val="bottom"/>
          </w:tcPr>
          <w:p>
            <w:pPr>
              <w:spacing w:after="0"/>
              <w:rPr>
                <w:sz w:val="1"/>
                <w:szCs w:val="1"/>
                <w:color w:val="auto"/>
              </w:rPr>
            </w:pPr>
          </w:p>
        </w:tc>
      </w:tr>
      <w:tr>
        <w:trPr>
          <w:trHeight w:val="184"/>
        </w:trPr>
        <w:tc>
          <w:tcPr>
            <w:tcW w:w="4840" w:type="dxa"/>
            <w:vAlign w:val="bottom"/>
            <w:gridSpan w:val="2"/>
          </w:tcPr>
          <w:p>
            <w:pPr>
              <w:ind w:left="20"/>
              <w:spacing w:after="0"/>
              <w:rPr>
                <w:sz w:val="20"/>
                <w:szCs w:val="20"/>
                <w:color w:val="auto"/>
              </w:rPr>
            </w:pPr>
            <w:r>
              <w:rPr>
                <w:rFonts w:ascii="Calibri" w:cs="Calibri" w:eastAsia="Calibri" w:hAnsi="Calibri"/>
                <w:sz w:val="15"/>
                <w:szCs w:val="15"/>
                <w:color w:val="auto"/>
              </w:rPr>
              <w:t>Income tax beneft</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(93,758)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(77,140)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5"/>
                <w:szCs w:val="15"/>
                <w:b w:val="1"/>
                <w:bCs w:val="1"/>
                <w:color w:val="auto"/>
              </w:rPr>
              <w:t>(143,245)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(131,097)</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84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loss from contnuing operatons</w:t>
            </w: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(189,116)</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(220,863)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(351,989)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(388,230)</w:t>
            </w:r>
          </w:p>
        </w:tc>
        <w:tc>
          <w:tcPr>
            <w:tcW w:w="0" w:type="dxa"/>
            <w:vAlign w:val="bottom"/>
          </w:tcPr>
          <w:p>
            <w:pPr>
              <w:spacing w:after="0"/>
              <w:rPr>
                <w:sz w:val="1"/>
                <w:szCs w:val="1"/>
                <w:color w:val="auto"/>
              </w:rPr>
            </w:pPr>
          </w:p>
        </w:tc>
      </w:tr>
      <w:tr>
        <w:trPr>
          <w:trHeight w:val="150"/>
        </w:trPr>
        <w:tc>
          <w:tcPr>
            <w:tcW w:w="4840" w:type="dxa"/>
            <w:vAlign w:val="bottom"/>
            <w:gridSpan w:val="2"/>
          </w:tcPr>
          <w:p>
            <w:pPr>
              <w:ind w:left="20"/>
              <w:spacing w:after="0" w:line="151" w:lineRule="exact"/>
              <w:rPr>
                <w:sz w:val="20"/>
                <w:szCs w:val="20"/>
                <w:color w:val="auto"/>
              </w:rPr>
            </w:pPr>
            <w:r>
              <w:rPr>
                <w:rFonts w:ascii="Calibri" w:cs="Calibri" w:eastAsia="Calibri" w:hAnsi="Calibri"/>
                <w:sz w:val="15"/>
                <w:szCs w:val="15"/>
                <w:color w:val="auto"/>
              </w:rPr>
              <w:t>Net loss from discontnued operatons, net of tax benefts of $191, $812,</w:t>
            </w: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40" w:type="dxa"/>
            <w:vAlign w:val="bottom"/>
            <w:gridSpan w:val="2"/>
          </w:tcPr>
          <w:p>
            <w:pPr>
              <w:ind w:left="180"/>
              <w:spacing w:after="0"/>
              <w:rPr>
                <w:sz w:val="20"/>
                <w:szCs w:val="20"/>
                <w:color w:val="auto"/>
              </w:rPr>
            </w:pPr>
            <w:r>
              <w:rPr>
                <w:rFonts w:ascii="Calibri" w:cs="Calibri" w:eastAsia="Calibri" w:hAnsi="Calibri"/>
                <w:sz w:val="15"/>
                <w:szCs w:val="15"/>
                <w:color w:val="auto"/>
              </w:rPr>
              <w:t>$373 and $1,128</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(639)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(2,716)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5"/>
                <w:szCs w:val="15"/>
                <w:b w:val="1"/>
                <w:bCs w:val="1"/>
                <w:color w:val="auto"/>
              </w:rPr>
              <w:t>(1,248)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(3,770)</w:t>
            </w:r>
          </w:p>
        </w:tc>
        <w:tc>
          <w:tcPr>
            <w:tcW w:w="0" w:type="dxa"/>
            <w:vAlign w:val="bottom"/>
          </w:tcPr>
          <w:p>
            <w:pPr>
              <w:spacing w:after="0"/>
              <w:rPr>
                <w:sz w:val="1"/>
                <w:szCs w:val="1"/>
                <w:color w:val="auto"/>
              </w:rPr>
            </w:pPr>
          </w:p>
        </w:tc>
      </w:tr>
      <w:tr>
        <w:trPr>
          <w:trHeight w:val="26"/>
        </w:trPr>
        <w:tc>
          <w:tcPr>
            <w:tcW w:w="8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20" w:type="dxa"/>
            <w:vAlign w:val="bottom"/>
            <w:tcBorders>
              <w:bottom w:val="single" w:sz="8" w:color="CCEEFF"/>
            </w:tcBorders>
            <w:shd w:val="clear" w:color="auto" w:fill="CCEEFF"/>
          </w:tcPr>
          <w:p>
            <w:pPr>
              <w:ind w:left="20"/>
              <w:spacing w:after="0" w:line="173" w:lineRule="exact"/>
              <w:rPr>
                <w:sz w:val="20"/>
                <w:szCs w:val="20"/>
                <w:color w:val="auto"/>
              </w:rPr>
            </w:pPr>
            <w:r>
              <w:rPr>
                <w:rFonts w:ascii="Calibri" w:cs="Calibri" w:eastAsia="Calibri" w:hAnsi="Calibri"/>
                <w:sz w:val="15"/>
                <w:szCs w:val="15"/>
                <w:b w:val="1"/>
                <w:bCs w:val="1"/>
                <w:color w:val="auto"/>
              </w:rPr>
              <w:t>NET LOSS</w:t>
            </w:r>
          </w:p>
        </w:tc>
        <w:tc>
          <w:tcPr>
            <w:tcW w:w="4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(189,755)</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(223,579)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b w:val="1"/>
                <w:bCs w:val="1"/>
                <w:color w:val="auto"/>
              </w:rPr>
              <w:t>$</w:t>
            </w:r>
          </w:p>
        </w:tc>
        <w:tc>
          <w:tcPr>
            <w:tcW w:w="11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(353,237)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(392,000)</w:t>
            </w:r>
          </w:p>
        </w:tc>
        <w:tc>
          <w:tcPr>
            <w:tcW w:w="0" w:type="dxa"/>
            <w:vAlign w:val="bottom"/>
          </w:tcPr>
          <w:p>
            <w:pPr>
              <w:spacing w:after="0"/>
              <w:rPr>
                <w:sz w:val="1"/>
                <w:szCs w:val="1"/>
                <w:color w:val="auto"/>
              </w:rPr>
            </w:pPr>
          </w:p>
        </w:tc>
      </w:tr>
      <w:tr>
        <w:trPr>
          <w:trHeight w:val="164"/>
        </w:trPr>
        <w:tc>
          <w:tcPr>
            <w:tcW w:w="484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BASIC AND DILUTED LOSS PER SHARE:</w:t>
            </w:r>
          </w:p>
        </w:tc>
        <w:tc>
          <w:tcPr>
            <w:tcW w:w="3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Contnuing operatons</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(1.33)</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(2.44)</w:t>
            </w:r>
          </w:p>
        </w:tc>
        <w:tc>
          <w:tcPr>
            <w:tcW w:w="320" w:type="dxa"/>
            <w:vAlign w:val="bottom"/>
            <w:tcBorders>
              <w:bottom w:val="single" w:sz="8" w:color="CCEEFF"/>
            </w:tcBorders>
            <w:gridSpan w:val="2"/>
            <w:shd w:val="clear" w:color="auto" w:fill="CCEEFF"/>
          </w:tcPr>
          <w:p>
            <w:pPr>
              <w:jc w:val="right"/>
              <w:ind w:right="63"/>
              <w:spacing w:after="0"/>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(2.48)</w:t>
            </w:r>
          </w:p>
        </w:tc>
        <w:tc>
          <w:tcPr>
            <w:tcW w:w="0" w:type="dxa"/>
            <w:vAlign w:val="bottom"/>
          </w:tcPr>
          <w:p>
            <w:pPr>
              <w:spacing w:after="0"/>
              <w:rPr>
                <w:sz w:val="1"/>
                <w:szCs w:val="1"/>
                <w:color w:val="auto"/>
              </w:rPr>
            </w:pPr>
          </w:p>
        </w:tc>
      </w:tr>
      <w:tr>
        <w:trPr>
          <w:trHeight w:val="184"/>
        </w:trPr>
        <w:tc>
          <w:tcPr>
            <w:tcW w:w="4840" w:type="dxa"/>
            <w:vAlign w:val="bottom"/>
            <w:gridSpan w:val="2"/>
          </w:tcPr>
          <w:p>
            <w:pPr>
              <w:ind w:left="140"/>
              <w:spacing w:after="0"/>
              <w:rPr>
                <w:sz w:val="20"/>
                <w:szCs w:val="20"/>
                <w:color w:val="auto"/>
              </w:rPr>
            </w:pPr>
            <w:r>
              <w:rPr>
                <w:rFonts w:ascii="Calibri" w:cs="Calibri" w:eastAsia="Calibri" w:hAnsi="Calibri"/>
                <w:sz w:val="15"/>
                <w:szCs w:val="15"/>
                <w:color w:val="auto"/>
              </w:rPr>
              <w:t>Discontnued operatons</w:t>
            </w:r>
          </w:p>
        </w:tc>
        <w:tc>
          <w:tcPr>
            <w:tcW w:w="3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Calibri" w:cs="Calibri" w:eastAsia="Calibri" w:hAnsi="Calibri"/>
                <w:sz w:val="15"/>
                <w:szCs w:val="15"/>
                <w:b w:val="1"/>
                <w:bCs w:val="1"/>
                <w:color w:val="auto"/>
              </w:rPr>
              <w:t>—</w:t>
            </w: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(0.02)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5"/>
                <w:szCs w:val="15"/>
                <w:b w:val="1"/>
                <w:bCs w:val="1"/>
                <w:color w:val="auto"/>
              </w:rPr>
              <w:t>(0.01)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(0.02)</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84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Calibri" w:cs="Calibri" w:eastAsia="Calibri" w:hAnsi="Calibri"/>
                <w:sz w:val="15"/>
                <w:szCs w:val="15"/>
                <w:color w:val="auto"/>
              </w:rPr>
              <w:t>Consolidated</w:t>
            </w: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(1.45)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b w:val="1"/>
                <w:bCs w:val="1"/>
                <w:color w:val="auto"/>
              </w:rPr>
              <w:t>$</w:t>
            </w:r>
          </w:p>
        </w:tc>
        <w:tc>
          <w:tcPr>
            <w:tcW w:w="11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(2.45)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(2.50)</w:t>
            </w:r>
          </w:p>
        </w:tc>
        <w:tc>
          <w:tcPr>
            <w:tcW w:w="0" w:type="dxa"/>
            <w:vAlign w:val="bottom"/>
          </w:tcPr>
          <w:p>
            <w:pPr>
              <w:spacing w:after="0"/>
              <w:rPr>
                <w:sz w:val="1"/>
                <w:szCs w:val="1"/>
                <w:color w:val="auto"/>
              </w:rPr>
            </w:pPr>
          </w:p>
        </w:tc>
      </w:tr>
      <w:tr>
        <w:trPr>
          <w:trHeight w:val="177"/>
        </w:trPr>
        <w:tc>
          <w:tcPr>
            <w:tcW w:w="4840" w:type="dxa"/>
            <w:vAlign w:val="bottom"/>
            <w:gridSpan w:val="2"/>
          </w:tcPr>
          <w:p>
            <w:pPr>
              <w:ind w:left="20"/>
              <w:spacing w:after="0" w:line="173" w:lineRule="exact"/>
              <w:rPr>
                <w:sz w:val="20"/>
                <w:szCs w:val="20"/>
                <w:color w:val="auto"/>
              </w:rPr>
            </w:pPr>
            <w:r>
              <w:rPr>
                <w:rFonts w:ascii="Calibri" w:cs="Calibri" w:eastAsia="Calibri" w:hAnsi="Calibri"/>
                <w:sz w:val="15"/>
                <w:szCs w:val="15"/>
                <w:b w:val="1"/>
                <w:bCs w:val="1"/>
                <w:color w:val="auto"/>
              </w:rPr>
              <w:t>DIVIDENDS DECLARED PER SHARE</w:t>
            </w: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0.32</w:t>
            </w:r>
          </w:p>
        </w:tc>
        <w:tc>
          <w:tcPr>
            <w:tcW w:w="100" w:type="dxa"/>
            <w:vAlign w:val="bottom"/>
          </w:tcPr>
          <w:p>
            <w:pPr>
              <w:spacing w:after="0"/>
              <w:rPr>
                <w:sz w:val="15"/>
                <w:szCs w:val="15"/>
                <w:color w:val="auto"/>
              </w:rPr>
            </w:pPr>
          </w:p>
        </w:tc>
        <w:tc>
          <w:tcPr>
            <w:tcW w:w="540" w:type="dxa"/>
            <w:vAlign w:val="bottom"/>
            <w:tcBorders>
              <w:top w:val="single" w:sz="8" w:color="auto"/>
            </w:tcBorders>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0.29</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3"/>
              <w:spacing w:after="0" w:line="177" w:lineRule="exact"/>
              <w:rPr>
                <w:sz w:val="20"/>
                <w:szCs w:val="20"/>
                <w:color w:val="auto"/>
              </w:rPr>
            </w:pPr>
            <w:r>
              <w:rPr>
                <w:rFonts w:ascii="Calibri" w:cs="Calibri" w:eastAsia="Calibri" w:hAnsi="Calibri"/>
                <w:sz w:val="15"/>
                <w:szCs w:val="15"/>
                <w:b w:val="1"/>
                <w:bCs w:val="1"/>
                <w:color w:val="auto"/>
              </w:rPr>
              <w:t>$</w:t>
            </w:r>
          </w:p>
        </w:tc>
        <w:tc>
          <w:tcPr>
            <w:tcW w:w="11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0.64</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0.58</w:t>
            </w:r>
          </w:p>
        </w:tc>
        <w:tc>
          <w:tcPr>
            <w:tcW w:w="0" w:type="dxa"/>
            <w:vAlign w:val="bottom"/>
          </w:tcPr>
          <w:p>
            <w:pPr>
              <w:spacing w:after="0"/>
              <w:rPr>
                <w:sz w:val="1"/>
                <w:szCs w:val="1"/>
                <w:color w:val="auto"/>
              </w:rPr>
            </w:pPr>
          </w:p>
        </w:tc>
      </w:tr>
      <w:tr>
        <w:trPr>
          <w:trHeight w:val="22"/>
        </w:trPr>
        <w:tc>
          <w:tcPr>
            <w:tcW w:w="4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b w:val="1"/>
                <w:bCs w:val="1"/>
                <w:color w:val="auto"/>
              </w:rPr>
              <w:t>COMPREHENSIVE LOSS:</w:t>
            </w: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0" w:type="dxa"/>
            <w:vAlign w:val="bottom"/>
          </w:tcPr>
          <w:p>
            <w:pPr>
              <w:ind w:left="140"/>
              <w:spacing w:after="0"/>
              <w:rPr>
                <w:sz w:val="20"/>
                <w:szCs w:val="20"/>
                <w:color w:val="auto"/>
              </w:rPr>
            </w:pPr>
            <w:r>
              <w:rPr>
                <w:rFonts w:ascii="Calibri" w:cs="Calibri" w:eastAsia="Calibri" w:hAnsi="Calibri"/>
                <w:sz w:val="15"/>
                <w:szCs w:val="15"/>
                <w:color w:val="auto"/>
              </w:rPr>
              <w:t>Net loss</w:t>
            </w:r>
          </w:p>
        </w:tc>
        <w:tc>
          <w:tcPr>
            <w:tcW w:w="4020" w:type="dxa"/>
            <w:vAlign w:val="bottom"/>
          </w:tcPr>
          <w:p>
            <w:pPr>
              <w:spacing w:after="0"/>
              <w:rPr>
                <w:sz w:val="16"/>
                <w:szCs w:val="16"/>
                <w:color w:val="auto"/>
              </w:rPr>
            </w:pPr>
          </w:p>
        </w:tc>
        <w:tc>
          <w:tcPr>
            <w:tcW w:w="300" w:type="dxa"/>
            <w:vAlign w:val="bottom"/>
          </w:tcPr>
          <w:p>
            <w:pPr>
              <w:jc w:val="right"/>
              <w:ind w:right="123"/>
              <w:spacing w:after="0"/>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(189,755)</w:t>
            </w:r>
          </w:p>
        </w:tc>
        <w:tc>
          <w:tcPr>
            <w:tcW w:w="100" w:type="dxa"/>
            <w:vAlign w:val="bottom"/>
          </w:tcPr>
          <w:p>
            <w:pPr>
              <w:spacing w:after="0"/>
              <w:rPr>
                <w:sz w:val="16"/>
                <w:szCs w:val="16"/>
                <w:color w:val="auto"/>
              </w:rPr>
            </w:pPr>
          </w:p>
        </w:tc>
        <w:tc>
          <w:tcPr>
            <w:tcW w:w="540" w:type="dxa"/>
            <w:vAlign w:val="bottom"/>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rPr>
                <w:sz w:val="20"/>
                <w:szCs w:val="20"/>
                <w:color w:val="auto"/>
              </w:rPr>
            </w:pPr>
            <w:r>
              <w:rPr>
                <w:rFonts w:ascii="Calibri" w:cs="Calibri" w:eastAsia="Calibri" w:hAnsi="Calibri"/>
                <w:sz w:val="15"/>
                <w:szCs w:val="15"/>
                <w:color w:val="auto"/>
              </w:rPr>
              <w:t>(223,579)</w:t>
            </w:r>
          </w:p>
        </w:tc>
        <w:tc>
          <w:tcPr>
            <w:tcW w:w="80" w:type="dxa"/>
            <w:vAlign w:val="bottom"/>
          </w:tcPr>
          <w:p>
            <w:pPr>
              <w:spacing w:after="0"/>
              <w:rPr>
                <w:sz w:val="16"/>
                <w:szCs w:val="16"/>
                <w:color w:val="auto"/>
              </w:rPr>
            </w:pPr>
          </w:p>
        </w:tc>
        <w:tc>
          <w:tcPr>
            <w:tcW w:w="300" w:type="dxa"/>
            <w:vAlign w:val="bottom"/>
          </w:tcPr>
          <w:p>
            <w:pPr>
              <w:jc w:val="right"/>
              <w:ind w:right="123"/>
              <w:spacing w:after="0"/>
              <w:rPr>
                <w:sz w:val="20"/>
                <w:szCs w:val="20"/>
                <w:color w:val="auto"/>
              </w:rPr>
            </w:pPr>
            <w:r>
              <w:rPr>
                <w:rFonts w:ascii="Calibri" w:cs="Calibri" w:eastAsia="Calibri" w:hAnsi="Calibri"/>
                <w:sz w:val="15"/>
                <w:szCs w:val="15"/>
                <w:b w:val="1"/>
                <w:bCs w:val="1"/>
                <w:color w:val="auto"/>
              </w:rPr>
              <w:t>$</w:t>
            </w:r>
          </w:p>
        </w:tc>
        <w:tc>
          <w:tcPr>
            <w:tcW w:w="1180" w:type="dxa"/>
            <w:vAlign w:val="bottom"/>
          </w:tcPr>
          <w:p>
            <w:pPr>
              <w:jc w:val="right"/>
              <w:spacing w:after="0"/>
              <w:rPr>
                <w:sz w:val="20"/>
                <w:szCs w:val="20"/>
                <w:color w:val="auto"/>
              </w:rPr>
            </w:pPr>
            <w:r>
              <w:rPr>
                <w:rFonts w:ascii="Calibri" w:cs="Calibri" w:eastAsia="Calibri" w:hAnsi="Calibri"/>
                <w:sz w:val="15"/>
                <w:szCs w:val="15"/>
                <w:b w:val="1"/>
                <w:bCs w:val="1"/>
                <w:color w:val="auto"/>
              </w:rPr>
              <w:t>(353,237)</w:t>
            </w:r>
          </w:p>
        </w:tc>
        <w:tc>
          <w:tcPr>
            <w:tcW w:w="320" w:type="dxa"/>
            <w:vAlign w:val="bottom"/>
            <w:gridSpan w:val="2"/>
          </w:tcPr>
          <w:p>
            <w:pPr>
              <w:jc w:val="right"/>
              <w:ind w:right="63"/>
              <w:spacing w:after="0"/>
              <w:rPr>
                <w:sz w:val="20"/>
                <w:szCs w:val="20"/>
                <w:color w:val="auto"/>
              </w:rPr>
            </w:pPr>
            <w:r>
              <w:rPr>
                <w:rFonts w:ascii="Calibri" w:cs="Calibri" w:eastAsia="Calibri" w:hAnsi="Calibri"/>
                <w:sz w:val="15"/>
                <w:szCs w:val="15"/>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(392,000)</w:t>
            </w:r>
          </w:p>
        </w:tc>
        <w:tc>
          <w:tcPr>
            <w:tcW w:w="0" w:type="dxa"/>
            <w:vAlign w:val="bottom"/>
          </w:tcPr>
          <w:p>
            <w:pPr>
              <w:spacing w:after="0"/>
              <w:rPr>
                <w:sz w:val="1"/>
                <w:szCs w:val="1"/>
                <w:color w:val="auto"/>
              </w:rPr>
            </w:pPr>
          </w:p>
        </w:tc>
      </w:tr>
      <w:tr>
        <w:trPr>
          <w:trHeight w:val="22"/>
        </w:trPr>
        <w:tc>
          <w:tcPr>
            <w:tcW w:w="4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Change in foreign currency translaton adjustments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11,559</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9,307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645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(23,038)</w:t>
            </w:r>
          </w:p>
        </w:tc>
        <w:tc>
          <w:tcPr>
            <w:tcW w:w="0" w:type="dxa"/>
            <w:vAlign w:val="bottom"/>
          </w:tcPr>
          <w:p>
            <w:pPr>
              <w:spacing w:after="0"/>
              <w:rPr>
                <w:sz w:val="1"/>
                <w:szCs w:val="1"/>
                <w:color w:val="auto"/>
              </w:rPr>
            </w:pPr>
          </w:p>
        </w:tc>
      </w:tr>
      <w:tr>
        <w:trPr>
          <w:trHeight w:val="177"/>
        </w:trPr>
        <w:tc>
          <w:tcPr>
            <w:tcW w:w="4840" w:type="dxa"/>
            <w:vAlign w:val="bottom"/>
            <w:gridSpan w:val="2"/>
          </w:tcPr>
          <w:p>
            <w:pPr>
              <w:ind w:left="140"/>
              <w:spacing w:after="0" w:line="173" w:lineRule="exact"/>
              <w:rPr>
                <w:sz w:val="20"/>
                <w:szCs w:val="20"/>
                <w:color w:val="auto"/>
              </w:rPr>
            </w:pPr>
            <w:r>
              <w:rPr>
                <w:rFonts w:ascii="Calibri" w:cs="Calibri" w:eastAsia="Calibri" w:hAnsi="Calibri"/>
                <w:sz w:val="15"/>
                <w:szCs w:val="15"/>
                <w:color w:val="auto"/>
              </w:rPr>
              <w:t>Other comprehensive income (loss)</w:t>
            </w: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11,559</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9,307</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645</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(23,038)</w:t>
            </w:r>
          </w:p>
        </w:tc>
        <w:tc>
          <w:tcPr>
            <w:tcW w:w="0" w:type="dxa"/>
            <w:vAlign w:val="bottom"/>
          </w:tcPr>
          <w:p>
            <w:pPr>
              <w:spacing w:after="0"/>
              <w:rPr>
                <w:sz w:val="1"/>
                <w:szCs w:val="1"/>
                <w:color w:val="auto"/>
              </w:rPr>
            </w:pPr>
          </w:p>
        </w:tc>
      </w:tr>
      <w:tr>
        <w:trPr>
          <w:trHeight w:val="22"/>
        </w:trPr>
        <w:tc>
          <w:tcPr>
            <w:tcW w:w="4840" w:type="dxa"/>
            <w:vAlign w:val="bottom"/>
            <w:tcBorders>
              <w:bottom w:val="single" w:sz="8" w:color="CCEEFF"/>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84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Calibri" w:cs="Calibri" w:eastAsia="Calibri" w:hAnsi="Calibri"/>
                <w:sz w:val="15"/>
                <w:szCs w:val="15"/>
                <w:color w:val="auto"/>
              </w:rPr>
              <w:t>Comprehensive loss</w:t>
            </w: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(178,196)</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(214,272)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3"/>
              <w:spacing w:after="0" w:line="177" w:lineRule="exact"/>
              <w:rPr>
                <w:sz w:val="20"/>
                <w:szCs w:val="20"/>
                <w:color w:val="auto"/>
              </w:rPr>
            </w:pPr>
            <w:r>
              <w:rPr>
                <w:rFonts w:ascii="Calibri" w:cs="Calibri" w:eastAsia="Calibri" w:hAnsi="Calibri"/>
                <w:sz w:val="15"/>
                <w:szCs w:val="15"/>
                <w:b w:val="1"/>
                <w:bCs w:val="1"/>
                <w:color w:val="auto"/>
              </w:rPr>
              <w:t>$</w:t>
            </w:r>
          </w:p>
        </w:tc>
        <w:tc>
          <w:tcPr>
            <w:tcW w:w="11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(352,592)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(415,038)</w:t>
            </w:r>
          </w:p>
        </w:tc>
        <w:tc>
          <w:tcPr>
            <w:tcW w:w="0" w:type="dxa"/>
            <w:vAlign w:val="bottom"/>
          </w:tcPr>
          <w:p>
            <w:pPr>
              <w:spacing w:after="0"/>
              <w:rPr>
                <w:sz w:val="1"/>
                <w:szCs w:val="1"/>
                <w:color w:val="auto"/>
              </w:rPr>
            </w:pPr>
          </w:p>
        </w:tc>
      </w:tr>
      <w:tr>
        <w:trPr>
          <w:trHeight w:val="32"/>
        </w:trPr>
        <w:tc>
          <w:tcPr>
            <w:tcW w:w="8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68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1"/>
          <w:szCs w:val="11"/>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7280" w:type="dxa"/>
            <w:vAlign w:val="bottom"/>
            <w:tcBorders>
              <w:top w:val="single" w:sz="8" w:color="auto"/>
            </w:tcBorders>
            <w:gridSpan w:val="2"/>
            <w:vMerge w:val="restart"/>
          </w:tcPr>
          <w:p>
            <w:pPr>
              <w:ind w:left="20"/>
              <w:spacing w:after="0"/>
              <w:rPr>
                <w:sz w:val="20"/>
                <w:szCs w:val="20"/>
                <w:color w:val="auto"/>
              </w:rPr>
            </w:pPr>
            <w:r>
              <w:rPr>
                <w:rFonts w:ascii="Calibri" w:cs="Calibri" w:eastAsia="Calibri" w:hAnsi="Calibri"/>
                <w:sz w:val="24"/>
                <w:szCs w:val="24"/>
                <w:b w:val="1"/>
                <w:bCs w:val="1"/>
                <w:color w:val="auto"/>
              </w:rPr>
              <w:t>CONSOLIDATED BALANCE SHEETS</w:t>
            </w:r>
          </w:p>
        </w:tc>
        <w:tc>
          <w:tcPr>
            <w:tcW w:w="38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jc w:val="right"/>
              <w:spacing w:after="0" w:line="129" w:lineRule="exact"/>
              <w:rPr>
                <w:sz w:val="20"/>
                <w:szCs w:val="20"/>
                <w:color w:val="auto"/>
              </w:rPr>
            </w:pPr>
            <w:r>
              <w:rPr>
                <w:rFonts w:ascii="Calibri" w:cs="Calibri" w:eastAsia="Calibri" w:hAnsi="Calibri"/>
                <w:sz w:val="14"/>
                <w:szCs w:val="14"/>
                <w:color w:val="auto"/>
              </w:rPr>
              <w:t>(unaudited, in 000s, except</w:t>
            </w:r>
          </w:p>
        </w:tc>
        <w:tc>
          <w:tcPr>
            <w:tcW w:w="0" w:type="dxa"/>
            <w:vAlign w:val="bottom"/>
          </w:tcPr>
          <w:p>
            <w:pPr>
              <w:spacing w:after="0"/>
              <w:rPr>
                <w:sz w:val="1"/>
                <w:szCs w:val="1"/>
                <w:color w:val="auto"/>
              </w:rPr>
            </w:pPr>
          </w:p>
        </w:tc>
      </w:tr>
      <w:tr>
        <w:trPr>
          <w:trHeight w:val="172"/>
        </w:trPr>
        <w:tc>
          <w:tcPr>
            <w:tcW w:w="72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jc w:val="right"/>
              <w:spacing w:after="0" w:line="164" w:lineRule="exact"/>
              <w:rPr>
                <w:sz w:val="20"/>
                <w:szCs w:val="20"/>
                <w:color w:val="auto"/>
              </w:rPr>
            </w:pPr>
            <w:r>
              <w:rPr>
                <w:rFonts w:ascii="Calibri" w:cs="Calibri" w:eastAsia="Calibri" w:hAnsi="Calibri"/>
                <w:sz w:val="14"/>
                <w:szCs w:val="14"/>
                <w:color w:val="auto"/>
                <w:w w:val="99"/>
              </w:rPr>
              <w:t>share and per share amounts)</w:t>
            </w:r>
          </w:p>
        </w:tc>
        <w:tc>
          <w:tcPr>
            <w:tcW w:w="0" w:type="dxa"/>
            <w:vAlign w:val="bottom"/>
          </w:tcPr>
          <w:p>
            <w:pPr>
              <w:spacing w:after="0"/>
              <w:rPr>
                <w:sz w:val="1"/>
                <w:szCs w:val="1"/>
                <w:color w:val="auto"/>
              </w:rPr>
            </w:pPr>
          </w:p>
        </w:tc>
      </w:tr>
      <w:tr>
        <w:trPr>
          <w:trHeight w:val="34"/>
        </w:trPr>
        <w:tc>
          <w:tcPr>
            <w:tcW w:w="72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728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380" w:type="dxa"/>
            <w:vAlign w:val="bottom"/>
          </w:tcPr>
          <w:p>
            <w:pPr>
              <w:spacing w:after="0"/>
              <w:rPr>
                <w:sz w:val="15"/>
                <w:szCs w:val="15"/>
                <w:color w:val="auto"/>
              </w:rPr>
            </w:pPr>
          </w:p>
        </w:tc>
        <w:tc>
          <w:tcPr>
            <w:tcW w:w="1640" w:type="dxa"/>
            <w:vAlign w:val="bottom"/>
            <w:gridSpan w:val="2"/>
          </w:tcPr>
          <w:p>
            <w:pPr>
              <w:ind w:left="280"/>
              <w:spacing w:after="0" w:line="177" w:lineRule="exact"/>
              <w:rPr>
                <w:sz w:val="20"/>
                <w:szCs w:val="20"/>
                <w:color w:val="auto"/>
              </w:rPr>
            </w:pPr>
            <w:r>
              <w:rPr>
                <w:rFonts w:ascii="Calibri" w:cs="Calibri" w:eastAsia="Calibri" w:hAnsi="Calibri"/>
                <w:sz w:val="15"/>
                <w:szCs w:val="15"/>
                <w:b w:val="1"/>
                <w:bCs w:val="1"/>
                <w:color w:val="auto"/>
              </w:rPr>
              <w:t>December 31, 2023</w:t>
            </w:r>
          </w:p>
        </w:tc>
        <w:tc>
          <w:tcPr>
            <w:tcW w:w="160" w:type="dxa"/>
            <w:vAlign w:val="bottom"/>
          </w:tcPr>
          <w:p>
            <w:pPr>
              <w:spacing w:after="0"/>
              <w:rPr>
                <w:sz w:val="15"/>
                <w:szCs w:val="15"/>
                <w:color w:val="auto"/>
              </w:rPr>
            </w:pPr>
          </w:p>
        </w:tc>
        <w:tc>
          <w:tcPr>
            <w:tcW w:w="1740" w:type="dxa"/>
            <w:vAlign w:val="bottom"/>
          </w:tcPr>
          <w:p>
            <w:pPr>
              <w:jc w:val="right"/>
              <w:spacing w:after="0" w:line="177" w:lineRule="exact"/>
              <w:rPr>
                <w:sz w:val="20"/>
                <w:szCs w:val="20"/>
                <w:color w:val="auto"/>
              </w:rPr>
            </w:pPr>
            <w:r>
              <w:rPr>
                <w:rFonts w:ascii="Calibri" w:cs="Calibri" w:eastAsia="Calibri" w:hAnsi="Calibri"/>
                <w:sz w:val="15"/>
                <w:szCs w:val="15"/>
                <w:color w:val="auto"/>
              </w:rPr>
              <w:t>June 30, 2023</w:t>
            </w:r>
          </w:p>
        </w:tc>
        <w:tc>
          <w:tcPr>
            <w:tcW w:w="0" w:type="dxa"/>
            <w:vAlign w:val="bottom"/>
          </w:tcPr>
          <w:p>
            <w:pPr>
              <w:spacing w:after="0"/>
              <w:rPr>
                <w:sz w:val="1"/>
                <w:szCs w:val="1"/>
                <w:color w:val="auto"/>
              </w:rPr>
            </w:pPr>
          </w:p>
        </w:tc>
      </w:tr>
      <w:tr>
        <w:trPr>
          <w:trHeight w:val="22"/>
        </w:trPr>
        <w:tc>
          <w:tcPr>
            <w:tcW w:w="7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200" w:type="dxa"/>
            <w:vAlign w:val="bottom"/>
          </w:tcPr>
          <w:p>
            <w:pPr>
              <w:ind w:left="3360"/>
              <w:spacing w:after="0" w:line="177" w:lineRule="exact"/>
              <w:rPr>
                <w:sz w:val="20"/>
                <w:szCs w:val="20"/>
                <w:color w:val="auto"/>
              </w:rPr>
            </w:pPr>
            <w:r>
              <w:rPr>
                <w:rFonts w:ascii="Calibri" w:cs="Calibri" w:eastAsia="Calibri" w:hAnsi="Calibri"/>
                <w:sz w:val="15"/>
                <w:szCs w:val="15"/>
                <w:b w:val="1"/>
                <w:bCs w:val="1"/>
                <w:color w:val="auto"/>
              </w:rPr>
              <w:t>ASSETS</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Cash and cash equivalents</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321,014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986,975</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Cash and cash equivalents - restricted</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17,210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28,341</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Receivables, less allowance for credit losses of $18,579 and $55,502</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397,453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59,987</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Income taxes receivable</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74,415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35,910</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Prepaid expenses and other current assets</w:t>
            </w:r>
          </w:p>
        </w:tc>
        <w:tc>
          <w:tcPr>
            <w:tcW w:w="3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88,793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76,273</w:t>
            </w:r>
          </w:p>
        </w:tc>
        <w:tc>
          <w:tcPr>
            <w:tcW w:w="0" w:type="dxa"/>
            <w:vAlign w:val="bottom"/>
          </w:tcPr>
          <w:p>
            <w:pPr>
              <w:spacing w:after="0"/>
              <w:rPr>
                <w:sz w:val="1"/>
                <w:szCs w:val="1"/>
                <w:color w:val="auto"/>
              </w:rPr>
            </w:pPr>
          </w:p>
        </w:tc>
      </w:tr>
      <w:tr>
        <w:trPr>
          <w:trHeight w:val="177"/>
        </w:trPr>
        <w:tc>
          <w:tcPr>
            <w:tcW w:w="728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Total current assets</w:t>
            </w:r>
          </w:p>
        </w:tc>
        <w:tc>
          <w:tcPr>
            <w:tcW w:w="3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898,885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1,187,486</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Calibri" w:cs="Calibri" w:eastAsia="Calibri" w:hAnsi="Calibri"/>
                <w:sz w:val="15"/>
                <w:szCs w:val="15"/>
                <w:color w:val="auto"/>
              </w:rPr>
              <w:t>Property and equipment, at cost, less accumulated depreciaton and amortzaton of $872,950 and $846,177</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137,153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130,015</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Operatng lease right of use assets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385,288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438,299</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Intangible assets, net</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275,230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277,043</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Goodwill</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789,068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775,453</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Deferred tax assets and income taxes receivable</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239,300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211,391</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Other noncurrent assets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51,371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52,571</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assets</w:t>
            </w:r>
          </w:p>
        </w:tc>
        <w:tc>
          <w:tcPr>
            <w:tcW w:w="380" w:type="dxa"/>
            <w:vAlign w:val="bottom"/>
            <w:tcBorders>
              <w:bottom w:val="single" w:sz="8" w:color="CCEEFF"/>
            </w:tcBorders>
            <w:shd w:val="clear" w:color="auto" w:fill="CCEEFF"/>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5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2,776,295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17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3,072,258</w:t>
            </w:r>
          </w:p>
        </w:tc>
        <w:tc>
          <w:tcPr>
            <w:tcW w:w="0" w:type="dxa"/>
            <w:vAlign w:val="bottom"/>
          </w:tcPr>
          <w:p>
            <w:pPr>
              <w:spacing w:after="0"/>
              <w:rPr>
                <w:sz w:val="1"/>
                <w:szCs w:val="1"/>
                <w:color w:val="auto"/>
              </w:rPr>
            </w:pPr>
          </w:p>
        </w:tc>
      </w:tr>
      <w:tr>
        <w:trPr>
          <w:trHeight w:val="164"/>
        </w:trPr>
        <w:tc>
          <w:tcPr>
            <w:tcW w:w="7280" w:type="dxa"/>
            <w:vAlign w:val="bottom"/>
            <w:gridSpan w:val="2"/>
          </w:tcPr>
          <w:p>
            <w:pPr>
              <w:ind w:left="2280"/>
              <w:spacing w:after="0" w:line="164" w:lineRule="exact"/>
              <w:rPr>
                <w:sz w:val="20"/>
                <w:szCs w:val="20"/>
                <w:color w:val="auto"/>
              </w:rPr>
            </w:pPr>
            <w:r>
              <w:rPr>
                <w:rFonts w:ascii="Calibri" w:cs="Calibri" w:eastAsia="Calibri" w:hAnsi="Calibri"/>
                <w:sz w:val="15"/>
                <w:szCs w:val="15"/>
                <w:b w:val="1"/>
                <w:bCs w:val="1"/>
                <w:color w:val="auto"/>
              </w:rPr>
              <w:t>LIABILITIES AND STOCKHOLDERS' EQUITY</w:t>
            </w:r>
          </w:p>
        </w:tc>
        <w:tc>
          <w:tcPr>
            <w:tcW w:w="3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b w:val="1"/>
                <w:bCs w:val="1"/>
                <w:color w:val="auto"/>
              </w:rPr>
              <w:t>LIABILITIES: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280" w:type="dxa"/>
            <w:vAlign w:val="bottom"/>
            <w:gridSpan w:val="2"/>
          </w:tcPr>
          <w:p>
            <w:pPr>
              <w:ind w:left="120"/>
              <w:spacing w:after="0"/>
              <w:rPr>
                <w:sz w:val="20"/>
                <w:szCs w:val="20"/>
                <w:color w:val="auto"/>
              </w:rPr>
            </w:pPr>
            <w:r>
              <w:rPr>
                <w:rFonts w:ascii="Calibri" w:cs="Calibri" w:eastAsia="Calibri" w:hAnsi="Calibri"/>
                <w:sz w:val="15"/>
                <w:szCs w:val="15"/>
                <w:color w:val="auto"/>
              </w:rPr>
              <w:t>Accounts payable and accrued expenses</w:t>
            </w:r>
          </w:p>
        </w:tc>
        <w:tc>
          <w:tcPr>
            <w:tcW w:w="380" w:type="dxa"/>
            <w:vAlign w:val="bottom"/>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143,339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740" w:type="dxa"/>
            <w:vAlign w:val="bottom"/>
          </w:tcPr>
          <w:p>
            <w:pPr>
              <w:jc w:val="right"/>
              <w:spacing w:after="0"/>
              <w:rPr>
                <w:sz w:val="20"/>
                <w:szCs w:val="20"/>
                <w:color w:val="auto"/>
              </w:rPr>
            </w:pPr>
            <w:r>
              <w:rPr>
                <w:rFonts w:ascii="Calibri" w:cs="Calibri" w:eastAsia="Calibri" w:hAnsi="Calibri"/>
                <w:sz w:val="15"/>
                <w:szCs w:val="15"/>
                <w:color w:val="auto"/>
              </w:rPr>
              <w:t>159,901</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Accrued salaries, wages and payroll taxes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65,774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95,154</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Accrued income taxes and reserves for uncertain tax positons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151,332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271,800</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Operatng lease liabilites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185,424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205,391</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Deferred revenue and other current liabilites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199,718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206,536</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28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current liabilites</w:t>
            </w:r>
          </w:p>
        </w:tc>
        <w:tc>
          <w:tcPr>
            <w:tcW w:w="3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745,587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938,782</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Long-term debt and line of credit borrowings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2,290,044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1,488,974</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Deferred tax liabilites and reserves for uncertain tax positons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235,303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264,567</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40"/>
              <w:spacing w:after="0"/>
              <w:rPr>
                <w:sz w:val="20"/>
                <w:szCs w:val="20"/>
                <w:color w:val="auto"/>
              </w:rPr>
            </w:pPr>
            <w:r>
              <w:rPr>
                <w:rFonts w:ascii="Calibri" w:cs="Calibri" w:eastAsia="Calibri" w:hAnsi="Calibri"/>
                <w:sz w:val="15"/>
                <w:szCs w:val="15"/>
                <w:color w:val="auto"/>
              </w:rPr>
              <w:t>Operatng lease liabilites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208,734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240,543</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Deferred revenue and other noncurrent liabilites</w:t>
            </w:r>
          </w:p>
        </w:tc>
        <w:tc>
          <w:tcPr>
            <w:tcW w:w="3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69,279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107,328</w:t>
            </w:r>
          </w:p>
        </w:tc>
        <w:tc>
          <w:tcPr>
            <w:tcW w:w="0" w:type="dxa"/>
            <w:vAlign w:val="bottom"/>
          </w:tcPr>
          <w:p>
            <w:pPr>
              <w:spacing w:after="0"/>
              <w:rPr>
                <w:sz w:val="1"/>
                <w:szCs w:val="1"/>
                <w:color w:val="auto"/>
              </w:rPr>
            </w:pPr>
          </w:p>
        </w:tc>
      </w:tr>
      <w:tr>
        <w:trPr>
          <w:trHeight w:val="177"/>
        </w:trPr>
        <w:tc>
          <w:tcPr>
            <w:tcW w:w="728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Total liabilites</w:t>
            </w:r>
          </w:p>
        </w:tc>
        <w:tc>
          <w:tcPr>
            <w:tcW w:w="3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3,548,947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3,040,194</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728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COMMITMENTS AND CONTINGENCIES</w:t>
            </w:r>
          </w:p>
        </w:tc>
        <w:tc>
          <w:tcPr>
            <w:tcW w:w="3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28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STOCKHOLDERS' EQUITY:</w:t>
            </w:r>
          </w:p>
        </w:tc>
        <w:tc>
          <w:tcPr>
            <w:tcW w:w="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280" w:type="dxa"/>
            <w:vAlign w:val="bottom"/>
            <w:gridSpan w:val="2"/>
            <w:shd w:val="clear" w:color="auto" w:fill="CCEEFF"/>
          </w:tcPr>
          <w:p>
            <w:pPr>
              <w:ind w:left="100"/>
              <w:spacing w:after="0" w:line="151" w:lineRule="exact"/>
              <w:rPr>
                <w:sz w:val="20"/>
                <w:szCs w:val="20"/>
                <w:color w:val="auto"/>
              </w:rPr>
            </w:pPr>
            <w:r>
              <w:rPr>
                <w:rFonts w:ascii="Calibri" w:cs="Calibri" w:eastAsia="Calibri" w:hAnsi="Calibri"/>
                <w:sz w:val="15"/>
                <w:szCs w:val="15"/>
                <w:color w:val="auto"/>
              </w:rPr>
              <w:t>Common stock, no par, stated value $0.01 per share, 800,000,000 shares authorized, shares issued of</w:t>
            </w:r>
          </w:p>
        </w:tc>
        <w:tc>
          <w:tcPr>
            <w:tcW w:w="3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280" w:type="dxa"/>
            <w:vAlign w:val="bottom"/>
            <w:tcBorders>
              <w:bottom w:val="single" w:sz="8" w:color="CCEEFF"/>
            </w:tcBorders>
            <w:gridSpan w:val="2"/>
            <w:shd w:val="clear" w:color="auto" w:fill="CCEEFF"/>
          </w:tcPr>
          <w:p>
            <w:pPr>
              <w:ind w:left="260"/>
              <w:spacing w:after="0"/>
              <w:rPr>
                <w:sz w:val="20"/>
                <w:szCs w:val="20"/>
                <w:color w:val="auto"/>
              </w:rPr>
            </w:pPr>
            <w:r>
              <w:rPr>
                <w:rFonts w:ascii="Calibri" w:cs="Calibri" w:eastAsia="Calibri" w:hAnsi="Calibri"/>
                <w:sz w:val="15"/>
                <w:szCs w:val="15"/>
                <w:color w:val="auto"/>
              </w:rPr>
              <w:t>170,915,771 and 178,935,578</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1,709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1,789</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Additonal paid-in capital</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746,734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770,376</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Calibri" w:cs="Calibri" w:eastAsia="Calibri" w:hAnsi="Calibri"/>
                <w:sz w:val="15"/>
                <w:szCs w:val="15"/>
                <w:color w:val="auto"/>
              </w:rPr>
              <w:t>Accumulated other comprehensive loss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(36,454)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(37,099)</w:t>
            </w:r>
          </w:p>
        </w:tc>
        <w:tc>
          <w:tcPr>
            <w:tcW w:w="0" w:type="dxa"/>
            <w:vAlign w:val="bottom"/>
          </w:tcPr>
          <w:p>
            <w:pPr>
              <w:spacing w:after="0"/>
              <w:rPr>
                <w:sz w:val="1"/>
                <w:szCs w:val="1"/>
                <w:color w:val="auto"/>
              </w:rPr>
            </w:pPr>
          </w:p>
        </w:tc>
      </w:tr>
      <w:tr>
        <w:trPr>
          <w:trHeight w:val="184"/>
        </w:trPr>
        <w:tc>
          <w:tcPr>
            <w:tcW w:w="7280" w:type="dxa"/>
            <w:vAlign w:val="bottom"/>
            <w:gridSpan w:val="2"/>
          </w:tcPr>
          <w:p>
            <w:pPr>
              <w:ind w:left="100"/>
              <w:spacing w:after="0"/>
              <w:rPr>
                <w:sz w:val="20"/>
                <w:szCs w:val="20"/>
                <w:color w:val="auto"/>
              </w:rPr>
            </w:pPr>
            <w:r>
              <w:rPr>
                <w:rFonts w:ascii="Calibri" w:cs="Calibri" w:eastAsia="Calibri" w:hAnsi="Calibri"/>
                <w:sz w:val="15"/>
                <w:szCs w:val="15"/>
                <w:color w:val="auto"/>
              </w:rPr>
              <w:t>Retained defcit</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(846,162)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alibri" w:cs="Calibri" w:eastAsia="Calibri" w:hAnsi="Calibri"/>
                <w:sz w:val="15"/>
                <w:szCs w:val="15"/>
                <w:color w:val="auto"/>
              </w:rPr>
              <w:t>(48,677)</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80" w:type="dxa"/>
            <w:vAlign w:val="bottom"/>
            <w:tcBorders>
              <w:bottom w:val="single" w:sz="8" w:color="CCEEFF"/>
            </w:tcBorders>
            <w:gridSpan w:val="2"/>
            <w:shd w:val="clear" w:color="auto" w:fill="CCEEFF"/>
          </w:tcPr>
          <w:p>
            <w:pPr>
              <w:ind w:left="100"/>
              <w:spacing w:after="0"/>
              <w:rPr>
                <w:sz w:val="20"/>
                <w:szCs w:val="20"/>
                <w:color w:val="auto"/>
              </w:rPr>
            </w:pPr>
            <w:r>
              <w:rPr>
                <w:rFonts w:ascii="Calibri" w:cs="Calibri" w:eastAsia="Calibri" w:hAnsi="Calibri"/>
                <w:sz w:val="15"/>
                <w:szCs w:val="15"/>
                <w:color w:val="auto"/>
              </w:rPr>
              <w:t>Less treasury shares, at cost, of 31,396,591 and 32,785,658</w:t>
            </w:r>
          </w:p>
        </w:tc>
        <w:tc>
          <w:tcPr>
            <w:tcW w:w="3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(638,479)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(654,325)</w:t>
            </w:r>
          </w:p>
        </w:tc>
        <w:tc>
          <w:tcPr>
            <w:tcW w:w="0" w:type="dxa"/>
            <w:vAlign w:val="bottom"/>
          </w:tcPr>
          <w:p>
            <w:pPr>
              <w:spacing w:after="0"/>
              <w:rPr>
                <w:sz w:val="1"/>
                <w:szCs w:val="1"/>
                <w:color w:val="auto"/>
              </w:rPr>
            </w:pPr>
          </w:p>
        </w:tc>
      </w:tr>
      <w:tr>
        <w:trPr>
          <w:trHeight w:val="177"/>
        </w:trPr>
        <w:tc>
          <w:tcPr>
            <w:tcW w:w="728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Total stockholders' equity (defciency)</w:t>
            </w:r>
          </w:p>
        </w:tc>
        <w:tc>
          <w:tcPr>
            <w:tcW w:w="3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(772,652)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32,064</w:t>
            </w:r>
          </w:p>
        </w:tc>
        <w:tc>
          <w:tcPr>
            <w:tcW w:w="0" w:type="dxa"/>
            <w:vAlign w:val="bottom"/>
          </w:tcPr>
          <w:p>
            <w:pPr>
              <w:spacing w:after="0"/>
              <w:rPr>
                <w:sz w:val="1"/>
                <w:szCs w:val="1"/>
                <w:color w:val="auto"/>
              </w:rPr>
            </w:pPr>
          </w:p>
        </w:tc>
      </w:tr>
      <w:tr>
        <w:trPr>
          <w:trHeight w:val="22"/>
        </w:trPr>
        <w:tc>
          <w:tcPr>
            <w:tcW w:w="7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gridSpan w:val="2"/>
            <w:shd w:val="clear" w:color="auto" w:fill="CCEEFF"/>
          </w:tcPr>
          <w:p>
            <w:pPr>
              <w:ind w:left="520"/>
              <w:spacing w:after="0" w:line="173" w:lineRule="exact"/>
              <w:rPr>
                <w:sz w:val="20"/>
                <w:szCs w:val="20"/>
                <w:color w:val="auto"/>
              </w:rPr>
            </w:pPr>
            <w:r>
              <w:rPr>
                <w:rFonts w:ascii="Calibri" w:cs="Calibri" w:eastAsia="Calibri" w:hAnsi="Calibri"/>
                <w:sz w:val="15"/>
                <w:szCs w:val="15"/>
                <w:color w:val="auto"/>
              </w:rPr>
              <w:t>Total liabilites and stockholders' equity</w:t>
            </w:r>
          </w:p>
        </w:tc>
        <w:tc>
          <w:tcPr>
            <w:tcW w:w="380" w:type="dxa"/>
            <w:vAlign w:val="bottom"/>
            <w:tcBorders>
              <w:bottom w:val="single" w:sz="8" w:color="CCEEFF"/>
            </w:tcBorders>
            <w:shd w:val="clear" w:color="auto" w:fill="CCEEFF"/>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5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2,776,295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17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3,072,258</w:t>
            </w:r>
          </w:p>
        </w:tc>
        <w:tc>
          <w:tcPr>
            <w:tcW w:w="0" w:type="dxa"/>
            <w:vAlign w:val="bottom"/>
          </w:tcPr>
          <w:p>
            <w:pPr>
              <w:spacing w:after="0"/>
              <w:rPr>
                <w:sz w:val="1"/>
                <w:szCs w:val="1"/>
                <w:color w:val="auto"/>
              </w:rPr>
            </w:pPr>
          </w:p>
        </w:tc>
      </w:tr>
      <w:tr>
        <w:trPr>
          <w:trHeight w:val="32"/>
        </w:trPr>
        <w:tc>
          <w:tcPr>
            <w:tcW w:w="7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 w:hanging="231"/>
        <w:spacing w:after="0"/>
        <w:tabs>
          <w:tab w:leader="none" w:pos="380" w:val="left"/>
        </w:tabs>
        <w:numPr>
          <w:ilvl w:val="0"/>
          <w:numId w:val="3"/>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29235" cy="122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23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305"/>
        </w:trPr>
        <w:tc>
          <w:tcPr>
            <w:tcW w:w="7760" w:type="dxa"/>
            <w:vAlign w:val="bottom"/>
            <w:tcBorders>
              <w:top w:val="single" w:sz="8" w:color="auto"/>
              <w:bottom w:val="single" w:sz="8" w:color="auto"/>
            </w:tcBorders>
            <w:gridSpan w:val="2"/>
          </w:tcPr>
          <w:p>
            <w:pPr>
              <w:ind w:left="20"/>
              <w:spacing w:after="0"/>
              <w:rPr>
                <w:sz w:val="20"/>
                <w:szCs w:val="20"/>
                <w:color w:val="auto"/>
              </w:rPr>
            </w:pPr>
            <w:r>
              <w:rPr>
                <w:rFonts w:ascii="Calibri" w:cs="Calibri" w:eastAsia="Calibri" w:hAnsi="Calibri"/>
                <w:sz w:val="24"/>
                <w:szCs w:val="24"/>
                <w:b w:val="1"/>
                <w:bCs w:val="1"/>
                <w:color w:val="auto"/>
              </w:rPr>
              <w:t>CONSOLIDATED STATEMENTS OF CASH FLOWS</w:t>
            </w:r>
          </w:p>
        </w:tc>
        <w:tc>
          <w:tcPr>
            <w:tcW w:w="5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color w:val="auto"/>
              </w:rPr>
              <w:t>(unaudited, in 000s)</w:t>
            </w:r>
          </w:p>
        </w:tc>
      </w:tr>
      <w:tr>
        <w:trPr>
          <w:trHeight w:val="181"/>
        </w:trPr>
        <w:tc>
          <w:tcPr>
            <w:tcW w:w="7760" w:type="dxa"/>
            <w:vAlign w:val="bottom"/>
            <w:gridSpan w:val="2"/>
          </w:tcPr>
          <w:p>
            <w:pPr>
              <w:ind w:left="20"/>
              <w:spacing w:after="0" w:line="181" w:lineRule="exact"/>
              <w:rPr>
                <w:sz w:val="20"/>
                <w:szCs w:val="20"/>
                <w:color w:val="auto"/>
              </w:rPr>
            </w:pPr>
            <w:r>
              <w:rPr>
                <w:rFonts w:ascii="Calibri" w:cs="Calibri" w:eastAsia="Calibri" w:hAnsi="Calibri"/>
                <w:sz w:val="15"/>
                <w:szCs w:val="15"/>
                <w:color w:val="auto"/>
              </w:rPr>
              <w:t>Six months ended December 31,</w:t>
            </w:r>
          </w:p>
        </w:tc>
        <w:tc>
          <w:tcPr>
            <w:tcW w:w="56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Calibri" w:cs="Calibri" w:eastAsia="Calibri" w:hAnsi="Calibri"/>
                <w:sz w:val="15"/>
                <w:szCs w:val="15"/>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Calibri" w:cs="Calibri" w:eastAsia="Calibri" w:hAnsi="Calibri"/>
                <w:sz w:val="15"/>
                <w:szCs w:val="15"/>
                <w:color w:val="auto"/>
              </w:rPr>
              <w:t>2022</w:t>
            </w:r>
          </w:p>
        </w:tc>
      </w:tr>
      <w:tr>
        <w:trPr>
          <w:trHeight w:val="22"/>
        </w:trPr>
        <w:tc>
          <w:tcPr>
            <w:tcW w:w="7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tcPr>
          <w:p>
            <w:pPr>
              <w:ind w:left="20"/>
              <w:spacing w:after="0" w:line="177" w:lineRule="exact"/>
              <w:rPr>
                <w:sz w:val="20"/>
                <w:szCs w:val="20"/>
                <w:color w:val="auto"/>
              </w:rPr>
            </w:pPr>
            <w:r>
              <w:rPr>
                <w:rFonts w:ascii="Calibri" w:cs="Calibri" w:eastAsia="Calibri" w:hAnsi="Calibri"/>
                <w:sz w:val="15"/>
                <w:szCs w:val="15"/>
                <w:b w:val="1"/>
                <w:bCs w:val="1"/>
                <w:color w:val="auto"/>
              </w:rPr>
              <w:t>CASH FLOWS FROM OPERATING ACTIVITIES:</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Net loss</w:t>
            </w:r>
          </w:p>
        </w:tc>
        <w:tc>
          <w:tcPr>
            <w:tcW w:w="560" w:type="dxa"/>
            <w:vAlign w:val="bottom"/>
            <w:tcBorders>
              <w:bottom w:val="single" w:sz="8" w:color="CCEEFF"/>
            </w:tcBorders>
            <w:shd w:val="clear" w:color="auto" w:fill="CCEEFF"/>
          </w:tcPr>
          <w:p>
            <w:pPr>
              <w:jc w:val="right"/>
              <w:ind w:right="383"/>
              <w:spacing w:after="0"/>
              <w:rPr>
                <w:sz w:val="20"/>
                <w:szCs w:val="20"/>
                <w:color w:val="auto"/>
              </w:rPr>
            </w:pPr>
            <w:r>
              <w:rPr>
                <w:rFonts w:ascii="Calibri" w:cs="Calibri" w:eastAsia="Calibri" w:hAnsi="Calibri"/>
                <w:sz w:val="15"/>
                <w:szCs w:val="15"/>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(353,237)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Calibri" w:cs="Calibri" w:eastAsia="Calibri" w:hAnsi="Calibri"/>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(392,000)</w:t>
            </w:r>
          </w:p>
        </w:tc>
      </w:tr>
      <w:tr>
        <w:trPr>
          <w:trHeight w:val="184"/>
        </w:trPr>
        <w:tc>
          <w:tcPr>
            <w:tcW w:w="7760" w:type="dxa"/>
            <w:vAlign w:val="bottom"/>
            <w:gridSpan w:val="2"/>
          </w:tcPr>
          <w:p>
            <w:pPr>
              <w:ind w:left="240"/>
              <w:spacing w:after="0"/>
              <w:rPr>
                <w:sz w:val="20"/>
                <w:szCs w:val="20"/>
                <w:color w:val="auto"/>
              </w:rPr>
            </w:pPr>
            <w:r>
              <w:rPr>
                <w:rFonts w:ascii="Calibri" w:cs="Calibri" w:eastAsia="Calibri" w:hAnsi="Calibri"/>
                <w:sz w:val="15"/>
                <w:szCs w:val="15"/>
                <w:color w:val="auto"/>
              </w:rPr>
              <w:t>Adjustments to reconcile net loss to net cash used in operatng actvites:</w:t>
            </w: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320"/>
              <w:spacing w:after="0"/>
              <w:rPr>
                <w:sz w:val="20"/>
                <w:szCs w:val="20"/>
                <w:color w:val="auto"/>
              </w:rPr>
            </w:pPr>
            <w:r>
              <w:rPr>
                <w:rFonts w:ascii="Calibri" w:cs="Calibri" w:eastAsia="Calibri" w:hAnsi="Calibri"/>
                <w:sz w:val="15"/>
                <w:szCs w:val="15"/>
                <w:color w:val="auto"/>
              </w:rPr>
              <w:t>Depreciaton and amortzaton</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60,331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66,347</w:t>
            </w:r>
          </w:p>
        </w:tc>
      </w:tr>
      <w:tr>
        <w:trPr>
          <w:trHeight w:val="184"/>
        </w:trPr>
        <w:tc>
          <w:tcPr>
            <w:tcW w:w="7760" w:type="dxa"/>
            <w:vAlign w:val="bottom"/>
            <w:gridSpan w:val="2"/>
          </w:tcPr>
          <w:p>
            <w:pPr>
              <w:ind w:left="320"/>
              <w:spacing w:after="0"/>
              <w:rPr>
                <w:sz w:val="20"/>
                <w:szCs w:val="20"/>
                <w:color w:val="auto"/>
              </w:rPr>
            </w:pPr>
            <w:r>
              <w:rPr>
                <w:rFonts w:ascii="Calibri" w:cs="Calibri" w:eastAsia="Calibri" w:hAnsi="Calibri"/>
                <w:sz w:val="15"/>
                <w:szCs w:val="15"/>
                <w:color w:val="auto"/>
              </w:rPr>
              <w:t>Provision for credit losses</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21,536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16,581</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320"/>
              <w:spacing w:after="0"/>
              <w:rPr>
                <w:sz w:val="20"/>
                <w:szCs w:val="20"/>
                <w:color w:val="auto"/>
              </w:rPr>
            </w:pPr>
            <w:r>
              <w:rPr>
                <w:rFonts w:ascii="Calibri" w:cs="Calibri" w:eastAsia="Calibri" w:hAnsi="Calibri"/>
                <w:sz w:val="15"/>
                <w:szCs w:val="15"/>
                <w:color w:val="auto"/>
              </w:rPr>
              <w:t>Deferred taxes</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(35,525)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41,534</w:t>
            </w:r>
          </w:p>
        </w:tc>
      </w:tr>
      <w:tr>
        <w:trPr>
          <w:trHeight w:val="184"/>
        </w:trPr>
        <w:tc>
          <w:tcPr>
            <w:tcW w:w="7760" w:type="dxa"/>
            <w:vAlign w:val="bottom"/>
            <w:gridSpan w:val="2"/>
          </w:tcPr>
          <w:p>
            <w:pPr>
              <w:ind w:left="320"/>
              <w:spacing w:after="0"/>
              <w:rPr>
                <w:sz w:val="20"/>
                <w:szCs w:val="20"/>
                <w:color w:val="auto"/>
              </w:rPr>
            </w:pPr>
            <w:r>
              <w:rPr>
                <w:rFonts w:ascii="Calibri" w:cs="Calibri" w:eastAsia="Calibri" w:hAnsi="Calibri"/>
                <w:sz w:val="15"/>
                <w:szCs w:val="15"/>
                <w:color w:val="auto"/>
              </w:rPr>
              <w:t>Stock-based compensaton</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17,525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17,893</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320"/>
              <w:spacing w:after="0"/>
              <w:rPr>
                <w:sz w:val="20"/>
                <w:szCs w:val="20"/>
                <w:color w:val="auto"/>
              </w:rPr>
            </w:pPr>
            <w:r>
              <w:rPr>
                <w:rFonts w:ascii="Calibri" w:cs="Calibri" w:eastAsia="Calibri" w:hAnsi="Calibri"/>
                <w:sz w:val="15"/>
                <w:szCs w:val="15"/>
                <w:color w:val="auto"/>
              </w:rPr>
              <w:t>Changes in assets and liabilites, net of acquisitons:</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r>
      <w:tr>
        <w:trPr>
          <w:trHeight w:val="184"/>
        </w:trPr>
        <w:tc>
          <w:tcPr>
            <w:tcW w:w="7760" w:type="dxa"/>
            <w:vAlign w:val="bottom"/>
            <w:gridSpan w:val="2"/>
          </w:tcPr>
          <w:p>
            <w:pPr>
              <w:ind w:left="440"/>
              <w:spacing w:after="0"/>
              <w:rPr>
                <w:sz w:val="20"/>
                <w:szCs w:val="20"/>
                <w:color w:val="auto"/>
              </w:rPr>
            </w:pPr>
            <w:r>
              <w:rPr>
                <w:rFonts w:ascii="Calibri" w:cs="Calibri" w:eastAsia="Calibri" w:hAnsi="Calibri"/>
                <w:sz w:val="15"/>
                <w:szCs w:val="15"/>
                <w:color w:val="auto"/>
              </w:rPr>
              <w:t>Receivables</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(348,833)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(262,293)</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440"/>
              <w:spacing w:after="0"/>
              <w:rPr>
                <w:sz w:val="20"/>
                <w:szCs w:val="20"/>
                <w:color w:val="auto"/>
              </w:rPr>
            </w:pPr>
            <w:r>
              <w:rPr>
                <w:rFonts w:ascii="Calibri" w:cs="Calibri" w:eastAsia="Calibri" w:hAnsi="Calibri"/>
                <w:sz w:val="15"/>
                <w:szCs w:val="15"/>
                <w:color w:val="auto"/>
              </w:rPr>
              <w:t>Prepaid expenses, other current and noncurrent assets</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(7,395)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(32,983)</w:t>
            </w:r>
          </w:p>
        </w:tc>
      </w:tr>
      <w:tr>
        <w:trPr>
          <w:trHeight w:val="184"/>
        </w:trPr>
        <w:tc>
          <w:tcPr>
            <w:tcW w:w="7760" w:type="dxa"/>
            <w:vAlign w:val="bottom"/>
            <w:gridSpan w:val="2"/>
          </w:tcPr>
          <w:p>
            <w:pPr>
              <w:ind w:left="440"/>
              <w:spacing w:after="0"/>
              <w:rPr>
                <w:sz w:val="20"/>
                <w:szCs w:val="20"/>
                <w:color w:val="auto"/>
              </w:rPr>
            </w:pPr>
            <w:r>
              <w:rPr>
                <w:rFonts w:ascii="Calibri" w:cs="Calibri" w:eastAsia="Calibri" w:hAnsi="Calibri"/>
                <w:sz w:val="15"/>
                <w:szCs w:val="15"/>
                <w:color w:val="auto"/>
              </w:rPr>
              <w:t>Accounts payable, accrued expenses, salaries, wages and payroll taxes</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(58,543)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(121,156)</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440"/>
              <w:spacing w:after="0"/>
              <w:rPr>
                <w:sz w:val="20"/>
                <w:szCs w:val="20"/>
                <w:color w:val="auto"/>
              </w:rPr>
            </w:pPr>
            <w:r>
              <w:rPr>
                <w:rFonts w:ascii="Calibri" w:cs="Calibri" w:eastAsia="Calibri" w:hAnsi="Calibri"/>
                <w:sz w:val="15"/>
                <w:szCs w:val="15"/>
                <w:color w:val="auto"/>
              </w:rPr>
              <w:t>Deferred revenue, other current and noncurrent liabilites</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(58,520)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(52,703)</w:t>
            </w:r>
          </w:p>
        </w:tc>
      </w:tr>
      <w:tr>
        <w:trPr>
          <w:trHeight w:val="184"/>
        </w:trPr>
        <w:tc>
          <w:tcPr>
            <w:tcW w:w="7760" w:type="dxa"/>
            <w:vAlign w:val="bottom"/>
            <w:gridSpan w:val="2"/>
          </w:tcPr>
          <w:p>
            <w:pPr>
              <w:ind w:left="440"/>
              <w:spacing w:after="0"/>
              <w:rPr>
                <w:sz w:val="20"/>
                <w:szCs w:val="20"/>
                <w:color w:val="auto"/>
              </w:rPr>
            </w:pPr>
            <w:r>
              <w:rPr>
                <w:rFonts w:ascii="Calibri" w:cs="Calibri" w:eastAsia="Calibri" w:hAnsi="Calibri"/>
                <w:sz w:val="15"/>
                <w:szCs w:val="15"/>
                <w:color w:val="auto"/>
              </w:rPr>
              <w:t>Income tax receivables, accrued income taxes and income tax reserves</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(180,706)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(60,163)</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7760" w:type="dxa"/>
            <w:vAlign w:val="bottom"/>
            <w:tcBorders>
              <w:bottom w:val="single" w:sz="8" w:color="CCEEFF"/>
            </w:tcBorders>
            <w:gridSpan w:val="2"/>
            <w:shd w:val="clear" w:color="auto" w:fill="CCEEFF"/>
          </w:tcPr>
          <w:p>
            <w:pPr>
              <w:ind w:left="440"/>
              <w:spacing w:after="0"/>
              <w:rPr>
                <w:sz w:val="20"/>
                <w:szCs w:val="20"/>
                <w:color w:val="auto"/>
              </w:rPr>
            </w:pPr>
            <w:r>
              <w:rPr>
                <w:rFonts w:ascii="Calibri" w:cs="Calibri" w:eastAsia="Calibri" w:hAnsi="Calibri"/>
                <w:sz w:val="15"/>
                <w:szCs w:val="15"/>
                <w:color w:val="auto"/>
              </w:rPr>
              <w:t>Other, net</w:t>
            </w:r>
          </w:p>
        </w:tc>
        <w:tc>
          <w:tcPr>
            <w:tcW w:w="5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1,201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(1,515)</w:t>
            </w:r>
          </w:p>
        </w:tc>
      </w:tr>
      <w:tr>
        <w:trPr>
          <w:trHeight w:val="177"/>
        </w:trPr>
        <w:tc>
          <w:tcPr>
            <w:tcW w:w="7760" w:type="dxa"/>
            <w:vAlign w:val="bottom"/>
            <w:gridSpan w:val="2"/>
          </w:tcPr>
          <w:p>
            <w:pPr>
              <w:ind w:left="520"/>
              <w:spacing w:after="0" w:line="173" w:lineRule="exact"/>
              <w:rPr>
                <w:sz w:val="20"/>
                <w:szCs w:val="20"/>
                <w:color w:val="auto"/>
              </w:rPr>
            </w:pPr>
            <w:r>
              <w:rPr>
                <w:rFonts w:ascii="Calibri" w:cs="Calibri" w:eastAsia="Calibri" w:hAnsi="Calibri"/>
                <w:sz w:val="15"/>
                <w:szCs w:val="15"/>
                <w:color w:val="auto"/>
              </w:rPr>
              <w:t>Net cash used in operatng actvites</w:t>
            </w:r>
          </w:p>
        </w:tc>
        <w:tc>
          <w:tcPr>
            <w:tcW w:w="5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(942,166)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(780,458)</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6"/>
        </w:trPr>
        <w:tc>
          <w:tcPr>
            <w:tcW w:w="776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CASH FLOWS FROM INVESTING ACTIVITIES:</w:t>
            </w:r>
          </w:p>
        </w:tc>
        <w:tc>
          <w:tcPr>
            <w:tcW w:w="5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Capital expenditures</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(32,708)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(41,495)</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Payments made for business acquisitons, net of cash acquired</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(27,158)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(39,757)</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Franchise loans funded</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(15,491)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(17,491)</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Payments from franchisees</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2,747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3,861</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Other, net</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1,565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(4,208)</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9"/>
        </w:trPr>
        <w:tc>
          <w:tcPr>
            <w:tcW w:w="776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Net cash used in investng actvites</w:t>
            </w:r>
          </w:p>
        </w:tc>
        <w:tc>
          <w:tcPr>
            <w:tcW w:w="5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(71,045)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(99,090)</w:t>
            </w:r>
          </w:p>
        </w:tc>
      </w:tr>
      <w:tr>
        <w:trPr>
          <w:trHeight w:val="164"/>
        </w:trPr>
        <w:tc>
          <w:tcPr>
            <w:tcW w:w="7760" w:type="dxa"/>
            <w:vAlign w:val="bottom"/>
            <w:gridSpan w:val="2"/>
          </w:tcPr>
          <w:p>
            <w:pPr>
              <w:ind w:left="20"/>
              <w:spacing w:after="0" w:line="164" w:lineRule="exact"/>
              <w:rPr>
                <w:sz w:val="20"/>
                <w:szCs w:val="20"/>
                <w:color w:val="auto"/>
              </w:rPr>
            </w:pPr>
            <w:r>
              <w:rPr>
                <w:rFonts w:ascii="Calibri" w:cs="Calibri" w:eastAsia="Calibri" w:hAnsi="Calibri"/>
                <w:sz w:val="15"/>
                <w:szCs w:val="15"/>
                <w:b w:val="1"/>
                <w:bCs w:val="1"/>
                <w:color w:val="auto"/>
              </w:rPr>
              <w:t>CASH FLOWS FROM FINANCING ACTIVITIES:</w:t>
            </w:r>
          </w:p>
        </w:tc>
        <w:tc>
          <w:tcPr>
            <w:tcW w:w="5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Repayments of line of credit borrowings</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(25,000)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(170,000)</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Proceeds from line of credit borrowings</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825,000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750,000</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Dividends paid</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(89,854)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(89,193)</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Repurchase of common stock, including shares surrendered</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(378,709)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(365,633)</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Other, net</w:t>
            </w:r>
          </w:p>
        </w:tc>
        <w:tc>
          <w:tcPr>
            <w:tcW w:w="5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4,011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3,639</w:t>
            </w:r>
          </w:p>
        </w:tc>
      </w:tr>
      <w:tr>
        <w:trPr>
          <w:trHeight w:val="177"/>
        </w:trPr>
        <w:tc>
          <w:tcPr>
            <w:tcW w:w="7760" w:type="dxa"/>
            <w:vAlign w:val="bottom"/>
            <w:gridSpan w:val="2"/>
          </w:tcPr>
          <w:p>
            <w:pPr>
              <w:ind w:left="320"/>
              <w:spacing w:after="0" w:line="173" w:lineRule="exact"/>
              <w:rPr>
                <w:sz w:val="20"/>
                <w:szCs w:val="20"/>
                <w:color w:val="auto"/>
              </w:rPr>
            </w:pPr>
            <w:r>
              <w:rPr>
                <w:rFonts w:ascii="Calibri" w:cs="Calibri" w:eastAsia="Calibri" w:hAnsi="Calibri"/>
                <w:sz w:val="15"/>
                <w:szCs w:val="15"/>
                <w:color w:val="auto"/>
              </w:rPr>
              <w:t>Net cash provided by fnancing actvites</w:t>
            </w:r>
          </w:p>
        </w:tc>
        <w:tc>
          <w:tcPr>
            <w:tcW w:w="5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335,448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128,813</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9"/>
        </w:trPr>
        <w:tc>
          <w:tcPr>
            <w:tcW w:w="77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Efects of exchange rate changes on cash</w:t>
            </w:r>
          </w:p>
        </w:tc>
        <w:tc>
          <w:tcPr>
            <w:tcW w:w="5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671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(7,790)</w:t>
            </w:r>
          </w:p>
        </w:tc>
      </w:tr>
      <w:tr>
        <w:trPr>
          <w:trHeight w:val="184"/>
        </w:trPr>
        <w:tc>
          <w:tcPr>
            <w:tcW w:w="7760" w:type="dxa"/>
            <w:vAlign w:val="bottom"/>
            <w:gridSpan w:val="2"/>
          </w:tcPr>
          <w:p>
            <w:pPr>
              <w:ind w:left="20"/>
              <w:spacing w:after="0"/>
              <w:rPr>
                <w:sz w:val="20"/>
                <w:szCs w:val="20"/>
                <w:color w:val="auto"/>
              </w:rPr>
            </w:pPr>
            <w:r>
              <w:rPr>
                <w:rFonts w:ascii="Calibri" w:cs="Calibri" w:eastAsia="Calibri" w:hAnsi="Calibri"/>
                <w:sz w:val="15"/>
                <w:szCs w:val="15"/>
                <w:color w:val="auto"/>
              </w:rPr>
              <w:t>Net decrease in cash and cash equivalents, including restricted balances</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(677,092)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(758,525)</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6"/>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cash equivalents and restricted cash, beginning of period</w:t>
            </w:r>
          </w:p>
        </w:tc>
        <w:tc>
          <w:tcPr>
            <w:tcW w:w="5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1,015,316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1,050,713</w:t>
            </w:r>
          </w:p>
        </w:tc>
      </w:tr>
      <w:tr>
        <w:trPr>
          <w:trHeight w:val="177"/>
        </w:trPr>
        <w:tc>
          <w:tcPr>
            <w:tcW w:w="77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Cash, cash equivalents and restricted cash, end of period</w:t>
            </w:r>
          </w:p>
        </w:tc>
        <w:tc>
          <w:tcPr>
            <w:tcW w:w="560" w:type="dxa"/>
            <w:vAlign w:val="bottom"/>
            <w:tcBorders>
              <w:top w:val="single" w:sz="8" w:color="auto"/>
            </w:tcBorders>
          </w:tcPr>
          <w:p>
            <w:pPr>
              <w:jc w:val="right"/>
              <w:ind w:right="383"/>
              <w:spacing w:after="0" w:line="177" w:lineRule="exact"/>
              <w:rPr>
                <w:sz w:val="20"/>
                <w:szCs w:val="20"/>
                <w:color w:val="auto"/>
              </w:rPr>
            </w:pPr>
            <w:r>
              <w:rPr>
                <w:rFonts w:ascii="Calibri" w:cs="Calibri" w:eastAsia="Calibri" w:hAnsi="Calibri"/>
                <w:sz w:val="15"/>
                <w:szCs w:val="15"/>
                <w:b w:val="1"/>
                <w:bCs w:val="1"/>
                <w:color w:val="auto"/>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338,224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3"/>
              <w:spacing w:after="0" w:line="177" w:lineRule="exact"/>
              <w:rPr>
                <w:sz w:val="20"/>
                <w:szCs w:val="20"/>
                <w:color w:val="auto"/>
              </w:rPr>
            </w:pPr>
            <w:r>
              <w:rPr>
                <w:rFonts w:ascii="Calibri" w:cs="Calibri" w:eastAsia="Calibri" w:hAnsi="Calibri"/>
                <w:sz w:val="15"/>
                <w:szCs w:val="15"/>
                <w:color w:val="auto"/>
              </w:rPr>
              <w:t>$</w:t>
            </w:r>
          </w:p>
        </w:tc>
        <w:tc>
          <w:tcPr>
            <w:tcW w:w="13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292,188</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6"/>
        </w:trPr>
        <w:tc>
          <w:tcPr>
            <w:tcW w:w="776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SUPPLEMENTARY CASH FLOW DATA:</w:t>
            </w:r>
          </w:p>
        </w:tc>
        <w:tc>
          <w:tcPr>
            <w:tcW w:w="5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Income taxes paid (received), net</w:t>
            </w:r>
          </w:p>
        </w:tc>
        <w:tc>
          <w:tcPr>
            <w:tcW w:w="560" w:type="dxa"/>
            <w:vAlign w:val="bottom"/>
          </w:tcPr>
          <w:p>
            <w:pPr>
              <w:jc w:val="right"/>
              <w:ind w:right="383"/>
              <w:spacing w:after="0"/>
              <w:rPr>
                <w:sz w:val="20"/>
                <w:szCs w:val="20"/>
                <w:color w:val="auto"/>
              </w:rPr>
            </w:pPr>
            <w:r>
              <w:rPr>
                <w:rFonts w:ascii="Calibri" w:cs="Calibri" w:eastAsia="Calibri" w:hAnsi="Calibri"/>
                <w:sz w:val="15"/>
                <w:szCs w:val="15"/>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72,160</w:t>
            </w:r>
          </w:p>
        </w:tc>
        <w:tc>
          <w:tcPr>
            <w:tcW w:w="100" w:type="dxa"/>
            <w:vAlign w:val="bottom"/>
          </w:tcPr>
          <w:p>
            <w:pPr>
              <w:spacing w:after="0"/>
              <w:rPr>
                <w:sz w:val="16"/>
                <w:szCs w:val="16"/>
                <w:color w:val="auto"/>
              </w:rPr>
            </w:pPr>
          </w:p>
        </w:tc>
        <w:tc>
          <w:tcPr>
            <w:tcW w:w="320" w:type="dxa"/>
            <w:vAlign w:val="bottom"/>
          </w:tcPr>
          <w:p>
            <w:pPr>
              <w:jc w:val="right"/>
              <w:ind w:right="143"/>
              <w:spacing w:after="0"/>
              <w:rPr>
                <w:sz w:val="20"/>
                <w:szCs w:val="20"/>
                <w:color w:val="auto"/>
              </w:rPr>
            </w:pPr>
            <w:r>
              <w:rPr>
                <w:rFonts w:ascii="Calibri" w:cs="Calibri" w:eastAsia="Calibri" w:hAnsi="Calibri"/>
                <w:sz w:val="15"/>
                <w:szCs w:val="15"/>
                <w:color w:val="auto"/>
              </w:rPr>
              <w:t>$</w:t>
            </w:r>
          </w:p>
        </w:tc>
        <w:tc>
          <w:tcPr>
            <w:tcW w:w="1360" w:type="dxa"/>
            <w:vAlign w:val="bottom"/>
          </w:tcPr>
          <w:p>
            <w:pPr>
              <w:jc w:val="right"/>
              <w:spacing w:after="0"/>
              <w:rPr>
                <w:sz w:val="20"/>
                <w:szCs w:val="20"/>
                <w:color w:val="auto"/>
              </w:rPr>
            </w:pPr>
            <w:r>
              <w:rPr>
                <w:rFonts w:ascii="Calibri" w:cs="Calibri" w:eastAsia="Calibri" w:hAnsi="Calibri"/>
                <w:sz w:val="15"/>
                <w:szCs w:val="15"/>
                <w:color w:val="auto"/>
              </w:rPr>
              <w:t>(114,385)</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Interest paid on borrowings</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35,496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31,812</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Accrued additons to property and equipment</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4,036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2,499</w:t>
            </w:r>
          </w:p>
        </w:tc>
      </w:tr>
      <w:tr>
        <w:trPr>
          <w:trHeight w:val="22"/>
        </w:trPr>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760" w:type="dxa"/>
            <w:vAlign w:val="bottom"/>
            <w:tcBorders>
              <w:bottom w:val="single" w:sz="8" w:color="CCEEFF"/>
            </w:tcBorders>
            <w:gridSpan w:val="2"/>
            <w:shd w:val="clear" w:color="auto" w:fill="CCEEFF"/>
          </w:tcPr>
          <w:p>
            <w:pPr>
              <w:ind w:left="120"/>
              <w:spacing w:after="0"/>
              <w:rPr>
                <w:sz w:val="20"/>
                <w:szCs w:val="20"/>
                <w:color w:val="auto"/>
              </w:rPr>
            </w:pPr>
            <w:r>
              <w:rPr>
                <w:rFonts w:ascii="Calibri" w:cs="Calibri" w:eastAsia="Calibri" w:hAnsi="Calibri"/>
                <w:sz w:val="15"/>
                <w:szCs w:val="15"/>
                <w:color w:val="auto"/>
              </w:rPr>
              <w:t>New operatng right of use assets and related lease liabilites</w:t>
            </w:r>
          </w:p>
        </w:tc>
        <w:tc>
          <w:tcPr>
            <w:tcW w:w="5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70,532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79,917</w:t>
            </w:r>
          </w:p>
        </w:tc>
      </w:tr>
      <w:tr>
        <w:trPr>
          <w:trHeight w:val="184"/>
        </w:trPr>
        <w:tc>
          <w:tcPr>
            <w:tcW w:w="7760" w:type="dxa"/>
            <w:vAlign w:val="bottom"/>
            <w:gridSpan w:val="2"/>
          </w:tcPr>
          <w:p>
            <w:pPr>
              <w:ind w:left="120"/>
              <w:spacing w:after="0"/>
              <w:rPr>
                <w:sz w:val="20"/>
                <w:szCs w:val="20"/>
                <w:color w:val="auto"/>
              </w:rPr>
            </w:pPr>
            <w:r>
              <w:rPr>
                <w:rFonts w:ascii="Calibri" w:cs="Calibri" w:eastAsia="Calibri" w:hAnsi="Calibri"/>
                <w:sz w:val="15"/>
                <w:szCs w:val="15"/>
                <w:color w:val="auto"/>
              </w:rPr>
              <w:t>Accrued dividends payable to common shareholders</w:t>
            </w:r>
          </w:p>
        </w:tc>
        <w:tc>
          <w:tcPr>
            <w:tcW w:w="5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45,273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44,569</w:t>
            </w:r>
          </w:p>
        </w:tc>
      </w:tr>
      <w:tr>
        <w:trPr>
          <w:trHeight w:val="54"/>
        </w:trPr>
        <w:tc>
          <w:tcPr>
            <w:tcW w:w="76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r>
      <w:tr>
        <w:trPr>
          <w:trHeight w:val="20"/>
        </w:trPr>
        <w:tc>
          <w:tcPr>
            <w:tcW w:w="7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08"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66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 Q2 FY2024 Form 10-Q</w:t>
      </w:r>
      <w:r>
        <w:rPr>
          <w:sz w:val="20"/>
          <w:szCs w:val="20"/>
          <w:color w:val="auto"/>
        </w:rPr>
        <w:tab/>
      </w:r>
      <w:r>
        <w:rPr>
          <w:rFonts w:ascii="Calibri" w:cs="Calibri" w:eastAsia="Calibri" w:hAnsi="Calibri"/>
          <w:sz w:val="11"/>
          <w:szCs w:val="11"/>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Calibri" w:cs="Calibri" w:eastAsia="Calibri" w:hAnsi="Calibri"/>
          <w:sz w:val="15"/>
          <w:szCs w:val="15"/>
          <w:u w:val="single" w:color="auto"/>
          <w:color w:val="0000FF"/>
        </w:rPr>
        <w:t>Table of Contents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Calibri" w:cs="Calibri" w:eastAsia="Calibri" w:hAnsi="Calibri"/>
          <w:sz w:val="24"/>
          <w:szCs w:val="24"/>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27305</wp:posOffset>
            </wp:positionV>
            <wp:extent cx="7122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-168275</wp:posOffset>
            </wp:positionV>
            <wp:extent cx="7122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alibri" w:cs="Calibri" w:eastAsia="Calibri" w:hAnsi="Calibri"/>
          <w:sz w:val="13"/>
          <w:szCs w:val="13"/>
          <w:color w:val="auto"/>
        </w:rPr>
        <w:t>(amounts in 000s, except per share amounts)</w:t>
      </w:r>
    </w:p>
    <w:p>
      <w:pPr>
        <w:spacing w:after="0" w:line="142" w:lineRule="exact"/>
        <w:rPr>
          <w:sz w:val="20"/>
          <w:szCs w:val="20"/>
          <w:color w:val="auto"/>
        </w:rPr>
      </w:pPr>
    </w:p>
    <w:p>
      <w:pPr>
        <w:sectPr>
          <w:pgSz w:w="11900" w:h="16838" w:orient="portrait"/>
          <w:cols w:equalWidth="0" w:num="2">
            <w:col w:w="7980" w:space="720"/>
            <w:col w:w="2540"/>
          </w:cols>
          <w:pgMar w:left="320" w:top="226" w:right="33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480"/>
              <w:spacing w:after="0"/>
              <w:rPr>
                <w:sz w:val="20"/>
                <w:szCs w:val="20"/>
                <w:color w:val="auto"/>
              </w:rPr>
            </w:pPr>
            <w:r>
              <w:rPr>
                <w:rFonts w:ascii="Calibri" w:cs="Calibri" w:eastAsia="Calibri" w:hAnsi="Calibri"/>
                <w:sz w:val="14"/>
                <w:szCs w:val="14"/>
                <w:color w:val="auto"/>
                <w:w w:val="95"/>
              </w:rPr>
              <w:t>Common Stock</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Additonal</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Calibri" w:cs="Calibri" w:eastAsia="Calibri" w:hAnsi="Calibri"/>
                <w:sz w:val="14"/>
                <w:szCs w:val="14"/>
                <w:color w:val="auto"/>
                <w:w w:val="97"/>
              </w:rPr>
              <w:t>Accumulated 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5"/>
          </w:tcPr>
          <w:p>
            <w:pPr>
              <w:ind w:left="500"/>
              <w:spacing w:after="0"/>
              <w:rPr>
                <w:sz w:val="20"/>
                <w:szCs w:val="20"/>
                <w:color w:val="auto"/>
              </w:rPr>
            </w:pPr>
            <w:r>
              <w:rPr>
                <w:rFonts w:ascii="Calibri" w:cs="Calibri" w:eastAsia="Calibri" w:hAnsi="Calibri"/>
                <w:sz w:val="14"/>
                <w:szCs w:val="14"/>
                <w:color w:val="auto"/>
              </w:rPr>
              <w:t>Treasury Stock</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Total</w:t>
            </w:r>
          </w:p>
        </w:tc>
      </w:tr>
      <w:tr>
        <w:trPr>
          <w:trHeight w:val="88"/>
        </w:trPr>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Paid-in</w:t>
            </w:r>
          </w:p>
        </w:tc>
        <w:tc>
          <w:tcPr>
            <w:tcW w:w="120" w:type="dxa"/>
            <w:vAlign w:val="bottom"/>
          </w:tcPr>
          <w:p>
            <w:pPr>
              <w:spacing w:after="0"/>
              <w:rPr>
                <w:sz w:val="7"/>
                <w:szCs w:val="7"/>
                <w:color w:val="auto"/>
              </w:rPr>
            </w:pPr>
          </w:p>
        </w:tc>
        <w:tc>
          <w:tcPr>
            <w:tcW w:w="12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Comprehensive</w:t>
            </w:r>
          </w:p>
        </w:tc>
        <w:tc>
          <w:tcPr>
            <w:tcW w:w="180" w:type="dxa"/>
            <w:vAlign w:val="bottom"/>
          </w:tcPr>
          <w:p>
            <w:pPr>
              <w:spacing w:after="0"/>
              <w:rPr>
                <w:sz w:val="7"/>
                <w:szCs w:val="7"/>
                <w:color w:val="auto"/>
              </w:rPr>
            </w:pPr>
          </w:p>
        </w:tc>
        <w:tc>
          <w:tcPr>
            <w:tcW w:w="800" w:type="dxa"/>
            <w:vAlign w:val="bottom"/>
            <w:gridSpan w:val="2"/>
          </w:tcPr>
          <w:p>
            <w:pPr>
              <w:ind w:left="180"/>
              <w:spacing w:after="0" w:line="88" w:lineRule="exact"/>
              <w:rPr>
                <w:sz w:val="20"/>
                <w:szCs w:val="20"/>
                <w:color w:val="auto"/>
              </w:rPr>
            </w:pPr>
            <w:r>
              <w:rPr>
                <w:rFonts w:ascii="Calibri" w:cs="Calibri" w:eastAsia="Calibri" w:hAnsi="Calibri"/>
                <w:sz w:val="9"/>
                <w:szCs w:val="9"/>
                <w:color w:val="auto"/>
              </w:rPr>
              <w:t>Retained</w:t>
            </w:r>
          </w:p>
        </w:tc>
        <w:tc>
          <w:tcPr>
            <w:tcW w:w="8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jc w:val="right"/>
              <w:spacing w:after="0" w:line="88" w:lineRule="exact"/>
              <w:rPr>
                <w:sz w:val="20"/>
                <w:szCs w:val="20"/>
                <w:color w:val="auto"/>
              </w:rPr>
            </w:pPr>
            <w:r>
              <w:rPr>
                <w:rFonts w:ascii="Calibri" w:cs="Calibri" w:eastAsia="Calibri" w:hAnsi="Calibri"/>
                <w:sz w:val="9"/>
                <w:szCs w:val="9"/>
                <w:color w:val="auto"/>
              </w:rPr>
              <w:t>Stockholders’</w:t>
            </w:r>
          </w:p>
        </w:tc>
      </w:tr>
      <w:tr>
        <w:trPr>
          <w:trHeight w:val="206"/>
        </w:trPr>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80"/>
              <w:spacing w:after="0" w:line="164" w:lineRule="exact"/>
              <w:rPr>
                <w:sz w:val="20"/>
                <w:szCs w:val="20"/>
                <w:color w:val="auto"/>
              </w:rPr>
            </w:pPr>
            <w:r>
              <w:rPr>
                <w:rFonts w:ascii="Calibri" w:cs="Calibri" w:eastAsia="Calibri" w:hAnsi="Calibri"/>
                <w:sz w:val="14"/>
                <w:szCs w:val="14"/>
                <w:color w:val="auto"/>
              </w:rPr>
              <w:t>Shares</w:t>
            </w:r>
          </w:p>
        </w:tc>
        <w:tc>
          <w:tcPr>
            <w:tcW w:w="380" w:type="dxa"/>
            <w:vAlign w:val="bottom"/>
          </w:tcPr>
          <w:p>
            <w:pPr>
              <w:spacing w:after="0"/>
              <w:rPr>
                <w:sz w:val="17"/>
                <w:szCs w:val="17"/>
                <w:color w:val="auto"/>
              </w:rPr>
            </w:pPr>
          </w:p>
        </w:tc>
        <w:tc>
          <w:tcPr>
            <w:tcW w:w="560" w:type="dxa"/>
            <w:vAlign w:val="bottom"/>
            <w:gridSpan w:val="2"/>
          </w:tcPr>
          <w:p>
            <w:pPr>
              <w:ind w:left="20"/>
              <w:spacing w:after="0" w:line="164" w:lineRule="exact"/>
              <w:rPr>
                <w:sz w:val="20"/>
                <w:szCs w:val="20"/>
                <w:color w:val="auto"/>
              </w:rPr>
            </w:pPr>
            <w:r>
              <w:rPr>
                <w:rFonts w:ascii="Calibri" w:cs="Calibri" w:eastAsia="Calibri" w:hAnsi="Calibri"/>
                <w:sz w:val="14"/>
                <w:szCs w:val="14"/>
                <w:color w:val="auto"/>
              </w:rPr>
              <w:t>Amount</w:t>
            </w:r>
          </w:p>
        </w:tc>
        <w:tc>
          <w:tcPr>
            <w:tcW w:w="200" w:type="dxa"/>
            <w:vAlign w:val="bottom"/>
          </w:tcPr>
          <w:p>
            <w:pPr>
              <w:spacing w:after="0"/>
              <w:rPr>
                <w:sz w:val="17"/>
                <w:szCs w:val="17"/>
                <w:color w:val="auto"/>
              </w:rPr>
            </w:pPr>
          </w:p>
        </w:tc>
        <w:tc>
          <w:tcPr>
            <w:tcW w:w="8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Capital</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6" w:lineRule="exact"/>
              <w:rPr>
                <w:sz w:val="20"/>
                <w:szCs w:val="20"/>
                <w:color w:val="auto"/>
              </w:rPr>
            </w:pPr>
            <w:r>
              <w:rPr>
                <w:rFonts w:ascii="Calibri" w:cs="Calibri" w:eastAsia="Calibri" w:hAnsi="Calibri"/>
                <w:sz w:val="14"/>
                <w:szCs w:val="14"/>
                <w:color w:val="auto"/>
              </w:rPr>
              <w:t>Loss</w:t>
            </w:r>
            <w:r>
              <w:rPr>
                <w:rFonts w:ascii="Calibri" w:cs="Calibri" w:eastAsia="Calibri" w:hAnsi="Calibri"/>
                <w:sz w:val="17"/>
                <w:szCs w:val="17"/>
                <w:color w:val="auto"/>
                <w:vertAlign w:val="superscript"/>
              </w:rPr>
              <w:t>(1)</w:t>
            </w:r>
          </w:p>
        </w:tc>
        <w:tc>
          <w:tcPr>
            <w:tcW w:w="180" w:type="dxa"/>
            <w:vAlign w:val="bottom"/>
          </w:tcPr>
          <w:p>
            <w:pPr>
              <w:spacing w:after="0"/>
              <w:rPr>
                <w:sz w:val="17"/>
                <w:szCs w:val="17"/>
                <w:color w:val="auto"/>
              </w:rPr>
            </w:pPr>
          </w:p>
        </w:tc>
        <w:tc>
          <w:tcPr>
            <w:tcW w:w="800" w:type="dxa"/>
            <w:vAlign w:val="bottom"/>
            <w:gridSpan w:val="2"/>
          </w:tcPr>
          <w:p>
            <w:pPr>
              <w:ind w:left="340"/>
              <w:spacing w:after="0"/>
              <w:rPr>
                <w:sz w:val="20"/>
                <w:szCs w:val="20"/>
                <w:color w:val="auto"/>
              </w:rPr>
            </w:pPr>
            <w:r>
              <w:rPr>
                <w:rFonts w:ascii="Calibri" w:cs="Calibri" w:eastAsia="Calibri" w:hAnsi="Calibri"/>
                <w:sz w:val="14"/>
                <w:szCs w:val="14"/>
                <w:color w:val="auto"/>
              </w:rPr>
              <w:t>Defcit</w:t>
            </w:r>
          </w:p>
        </w:tc>
        <w:tc>
          <w:tcPr>
            <w:tcW w:w="960" w:type="dxa"/>
            <w:vAlign w:val="bottom"/>
            <w:gridSpan w:val="2"/>
          </w:tcPr>
          <w:p>
            <w:pPr>
              <w:ind w:left="500"/>
              <w:spacing w:after="0" w:line="164" w:lineRule="exact"/>
              <w:rPr>
                <w:sz w:val="20"/>
                <w:szCs w:val="20"/>
                <w:color w:val="auto"/>
              </w:rPr>
            </w:pPr>
            <w:r>
              <w:rPr>
                <w:rFonts w:ascii="Calibri" w:cs="Calibri" w:eastAsia="Calibri" w:hAnsi="Calibri"/>
                <w:sz w:val="14"/>
                <w:szCs w:val="14"/>
                <w:color w:val="auto"/>
              </w:rPr>
              <w:t>Shares</w:t>
            </w:r>
          </w:p>
        </w:tc>
        <w:tc>
          <w:tcPr>
            <w:tcW w:w="160" w:type="dxa"/>
            <w:vAlign w:val="bottom"/>
          </w:tcPr>
          <w:p>
            <w:pPr>
              <w:spacing w:after="0"/>
              <w:rPr>
                <w:sz w:val="17"/>
                <w:szCs w:val="17"/>
                <w:color w:val="auto"/>
              </w:rPr>
            </w:pPr>
          </w:p>
        </w:tc>
        <w:tc>
          <w:tcPr>
            <w:tcW w:w="780" w:type="dxa"/>
            <w:vAlign w:val="bottom"/>
            <w:gridSpan w:val="2"/>
          </w:tcPr>
          <w:p>
            <w:pPr>
              <w:ind w:left="240"/>
              <w:spacing w:after="0" w:line="164" w:lineRule="exact"/>
              <w:rPr>
                <w:sz w:val="20"/>
                <w:szCs w:val="20"/>
                <w:color w:val="auto"/>
              </w:rPr>
            </w:pPr>
            <w:r>
              <w:rPr>
                <w:rFonts w:ascii="Calibri" w:cs="Calibri" w:eastAsia="Calibri" w:hAnsi="Calibri"/>
                <w:sz w:val="14"/>
                <w:szCs w:val="14"/>
                <w:color w:val="auto"/>
              </w:rPr>
              <w:t>Amount</w:t>
            </w:r>
          </w:p>
        </w:tc>
        <w:tc>
          <w:tcPr>
            <w:tcW w:w="100" w:type="dxa"/>
            <w:vAlign w:val="bottom"/>
          </w:tcPr>
          <w:p>
            <w:pPr>
              <w:spacing w:after="0"/>
              <w:rPr>
                <w:sz w:val="17"/>
                <w:szCs w:val="17"/>
                <w:color w:val="auto"/>
              </w:rPr>
            </w:pPr>
          </w:p>
        </w:tc>
        <w:tc>
          <w:tcPr>
            <w:tcW w:w="780" w:type="dxa"/>
            <w:vAlign w:val="bottom"/>
          </w:tcPr>
          <w:p>
            <w:pPr>
              <w:jc w:val="right"/>
              <w:spacing w:after="0" w:line="164" w:lineRule="exact"/>
              <w:rPr>
                <w:sz w:val="20"/>
                <w:szCs w:val="20"/>
                <w:color w:val="auto"/>
              </w:rPr>
            </w:pPr>
            <w:r>
              <w:rPr>
                <w:rFonts w:ascii="Calibri" w:cs="Calibri" w:eastAsia="Calibri" w:hAnsi="Calibri"/>
                <w:sz w:val="14"/>
                <w:szCs w:val="14"/>
                <w:color w:val="auto"/>
              </w:rPr>
              <w:t>Equity</w:t>
            </w:r>
          </w:p>
        </w:tc>
      </w:tr>
      <w:tr>
        <w:trPr>
          <w:trHeight w:val="177"/>
        </w:trPr>
        <w:tc>
          <w:tcPr>
            <w:tcW w:w="31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Balances as of July 1, 2023</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178,936</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1,789</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770,376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(37,099)</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(48,677)</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(32,786)</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(654,325)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32,064</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(163,482)</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(163,482)</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loss</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(10,914)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Calibri" w:cs="Calibri" w:eastAsia="Calibri" w:hAnsi="Calibri"/>
                <w:sz w:val="15"/>
                <w:szCs w:val="15"/>
                <w:b w:val="1"/>
                <w:bCs w:val="1"/>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(10,914)</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6,211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Calibri" w:cs="Calibri" w:eastAsia="Calibri" w:hAnsi="Calibri"/>
                <w:sz w:val="15"/>
                <w:szCs w:val="15"/>
                <w:b w:val="1"/>
                <w:bCs w:val="1"/>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6,211</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(34,226)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(3,220)</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b w:val="1"/>
                <w:bCs w:val="1"/>
                <w:color w:val="auto"/>
              </w:rPr>
              <w:t>1,867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b w:val="1"/>
                <w:bCs w:val="1"/>
                <w:color w:val="auto"/>
              </w:rPr>
              <w:t>37,348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(98)</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Calibri" w:cs="Calibri" w:eastAsia="Calibri" w:hAnsi="Calibri"/>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(823)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(28,464)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(28,464)</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b w:val="1"/>
                <w:bCs w:val="1"/>
                <w:color w:val="auto"/>
              </w:rPr>
              <w:t>(3,265)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b w:val="1"/>
                <w:bCs w:val="1"/>
                <w:color w:val="auto"/>
              </w:rPr>
              <w:t>(32)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(1,927)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(131,341)</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(133,300)</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$0.32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(46,901)</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(46,901)</w:t>
            </w: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September 30, 2023</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175,671</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1,757</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740,434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(48,013)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(393,621)</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(31,742)</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(645,441)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(344,884)</w:t>
            </w: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9"/>
        </w:trPr>
        <w:tc>
          <w:tcPr>
            <w:tcW w:w="32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loss</w:t>
            </w:r>
          </w:p>
        </w:tc>
        <w:tc>
          <w:tcPr>
            <w:tcW w:w="8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(189,755)</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(189,755)</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income</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b w:val="1"/>
                <w:bCs w:val="1"/>
                <w:color w:val="auto"/>
              </w:rPr>
              <w:t>11,559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Calibri" w:cs="Calibri" w:eastAsia="Calibri" w:hAnsi="Calibri"/>
                <w:sz w:val="15"/>
                <w:szCs w:val="15"/>
                <w:b w:val="1"/>
                <w:bCs w:val="1"/>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11,559</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9,270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Calibri" w:cs="Calibri" w:eastAsia="Calibri" w:hAnsi="Calibri"/>
                <w:sz w:val="15"/>
                <w:szCs w:val="15"/>
                <w:b w:val="1"/>
                <w:bCs w:val="1"/>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9,270</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(46)</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b w:val="1"/>
                <w:bCs w:val="1"/>
                <w:color w:val="auto"/>
              </w:rPr>
              <w:t>348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b w:val="1"/>
                <w:bCs w:val="1"/>
                <w:color w:val="auto"/>
              </w:rPr>
              <w:t>7,087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6,876</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Calibri" w:cs="Calibri" w:eastAsia="Calibri" w:hAnsi="Calibri"/>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(125)</w:t>
            </w: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b w:val="1"/>
                <w:bCs w:val="1"/>
                <w:color w:val="auto"/>
              </w:rPr>
              <w:t>(4,755)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b w:val="1"/>
                <w:bCs w:val="1"/>
                <w:color w:val="auto"/>
              </w:rPr>
              <w:t>(48)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(2,805)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b w:val="1"/>
                <w:bCs w:val="1"/>
                <w:color w:val="auto"/>
              </w:rPr>
              <w:t>(217,467)</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b w:val="1"/>
                <w:bCs w:val="1"/>
                <w:color w:val="auto"/>
              </w:rPr>
              <w:t>(220,320)</w:t>
            </w: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$0.32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(45,273)</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(45,273)</w:t>
            </w: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December 31, 2023</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170,916</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1,709</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746,734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(36,454)</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(846,162)</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(31,397)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(638,479)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(772,652)</w:t>
            </w:r>
          </w:p>
        </w:tc>
      </w:tr>
      <w:tr>
        <w:trPr>
          <w:trHeight w:val="59"/>
        </w:trPr>
        <w:tc>
          <w:tcPr>
            <w:tcW w:w="3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0"/>
        </w:trPr>
        <w:tc>
          <w:tcPr>
            <w:tcW w:w="31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r>
    </w:tbl>
    <w:p>
      <w:pPr>
        <w:spacing w:after="0" w:line="56" w:lineRule="exact"/>
        <w:rPr>
          <w:sz w:val="20"/>
          <w:szCs w:val="20"/>
          <w:color w:val="auto"/>
        </w:rPr>
      </w:pPr>
    </w:p>
    <w:p>
      <w:pPr>
        <w:ind w:left="120" w:hanging="117"/>
        <w:spacing w:after="0"/>
        <w:tabs>
          <w:tab w:leader="none" w:pos="120" w:val="left"/>
        </w:tabs>
        <w:numPr>
          <w:ilvl w:val="0"/>
          <w:numId w:val="4"/>
        </w:numPr>
        <w:rPr>
          <w:rFonts w:ascii="Calibri" w:cs="Calibri" w:eastAsia="Calibri" w:hAnsi="Calibri"/>
          <w:sz w:val="14"/>
          <w:szCs w:val="14"/>
          <w:color w:val="auto"/>
          <w:vertAlign w:val="superscript"/>
        </w:rPr>
      </w:pPr>
      <w:r>
        <w:rPr>
          <w:rFonts w:ascii="Calibri" w:cs="Calibri" w:eastAsia="Calibri" w:hAnsi="Calibri"/>
          <w:sz w:val="11"/>
          <w:szCs w:val="11"/>
          <w:color w:val="auto"/>
        </w:rPr>
        <w:t>The balance of our accumulated other comprehensive loss consists of foreign currency translaton adjustments.</w:t>
      </w:r>
    </w:p>
    <w:p>
      <w:pPr>
        <w:spacing w:after="0" w:line="17" w:lineRule="exact"/>
        <w:rPr>
          <w:rFonts w:ascii="Calibri" w:cs="Calibri" w:eastAsia="Calibri" w:hAnsi="Calibri"/>
          <w:sz w:val="14"/>
          <w:szCs w:val="14"/>
          <w:color w:val="auto"/>
          <w:vertAlign w:val="superscript"/>
        </w:rPr>
      </w:pPr>
    </w:p>
    <w:p>
      <w:pPr>
        <w:ind w:left="120" w:hanging="117"/>
        <w:spacing w:after="0" w:line="192" w:lineRule="auto"/>
        <w:tabs>
          <w:tab w:leader="none" w:pos="120" w:val="left"/>
        </w:tabs>
        <w:numPr>
          <w:ilvl w:val="0"/>
          <w:numId w:val="4"/>
        </w:numPr>
        <w:rPr>
          <w:rFonts w:ascii="Calibri" w:cs="Calibri" w:eastAsia="Calibri" w:hAnsi="Calibri"/>
          <w:sz w:val="14"/>
          <w:szCs w:val="14"/>
          <w:color w:val="auto"/>
          <w:vertAlign w:val="superscript"/>
        </w:rPr>
      </w:pPr>
      <w:r>
        <w:rPr>
          <w:rFonts w:ascii="Calibri" w:cs="Calibri" w:eastAsia="Calibri" w:hAnsi="Calibri"/>
          <w:sz w:val="11"/>
          <w:szCs w:val="11"/>
          <w:color w:val="auto"/>
        </w:rPr>
        <w:t>Represents shares swapped or surrendered to us in connecton with the vestng or exercise of stock-based awards.</w:t>
      </w:r>
    </w:p>
    <w:p>
      <w:pPr>
        <w:spacing w:after="0" w:line="49"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hanging="169"/>
        <w:spacing w:after="0"/>
        <w:tabs>
          <w:tab w:leader="none" w:pos="260" w:val="left"/>
        </w:tabs>
        <w:numPr>
          <w:ilvl w:val="0"/>
          <w:numId w:val="5"/>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155575" cy="122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57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664210</wp:posOffset>
            </wp:positionV>
            <wp:extent cx="7122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auto"/>
            </w:tcBorders>
            <w:gridSpan w:val="3"/>
          </w:tcPr>
          <w:p>
            <w:pPr>
              <w:ind w:left="480"/>
              <w:spacing w:after="0"/>
              <w:rPr>
                <w:sz w:val="20"/>
                <w:szCs w:val="20"/>
                <w:color w:val="auto"/>
              </w:rPr>
            </w:pPr>
            <w:r>
              <w:rPr>
                <w:rFonts w:ascii="Calibri" w:cs="Calibri" w:eastAsia="Calibri" w:hAnsi="Calibri"/>
                <w:sz w:val="14"/>
                <w:szCs w:val="14"/>
                <w:color w:val="auto"/>
                <w:w w:val="95"/>
              </w:rPr>
              <w:t>Common Stock</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Additonal</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Calibri" w:cs="Calibri" w:eastAsia="Calibri" w:hAnsi="Calibri"/>
                <w:sz w:val="14"/>
                <w:szCs w:val="14"/>
                <w:color w:val="auto"/>
                <w:w w:val="97"/>
              </w:rPr>
              <w:t>Accumulated Other</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Retained</w:t>
            </w:r>
          </w:p>
        </w:tc>
        <w:tc>
          <w:tcPr>
            <w:tcW w:w="1820" w:type="dxa"/>
            <w:vAlign w:val="bottom"/>
            <w:tcBorders>
              <w:bottom w:val="single" w:sz="8" w:color="auto"/>
            </w:tcBorders>
            <w:gridSpan w:val="4"/>
          </w:tcPr>
          <w:p>
            <w:pPr>
              <w:ind w:left="500"/>
              <w:spacing w:after="0"/>
              <w:rPr>
                <w:sz w:val="20"/>
                <w:szCs w:val="20"/>
                <w:color w:val="auto"/>
              </w:rPr>
            </w:pPr>
            <w:r>
              <w:rPr>
                <w:rFonts w:ascii="Calibri" w:cs="Calibri" w:eastAsia="Calibri" w:hAnsi="Calibri"/>
                <w:sz w:val="14"/>
                <w:szCs w:val="14"/>
                <w:color w:val="auto"/>
              </w:rPr>
              <w:t>Treasury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Total</w:t>
            </w:r>
          </w:p>
        </w:tc>
        <w:tc>
          <w:tcPr>
            <w:tcW w:w="0" w:type="dxa"/>
            <w:vAlign w:val="bottom"/>
          </w:tcPr>
          <w:p>
            <w:pPr>
              <w:spacing w:after="0"/>
              <w:rPr>
                <w:sz w:val="1"/>
                <w:szCs w:val="1"/>
                <w:color w:val="auto"/>
              </w:rPr>
            </w:pPr>
          </w:p>
        </w:tc>
      </w:tr>
      <w:tr>
        <w:trPr>
          <w:trHeight w:val="88"/>
        </w:trPr>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ind w:left="480"/>
              <w:spacing w:after="0"/>
              <w:rPr>
                <w:sz w:val="20"/>
                <w:szCs w:val="20"/>
                <w:color w:val="auto"/>
              </w:rPr>
            </w:pPr>
            <w:r>
              <w:rPr>
                <w:rFonts w:ascii="Calibri" w:cs="Calibri" w:eastAsia="Calibri" w:hAnsi="Calibri"/>
                <w:sz w:val="14"/>
                <w:szCs w:val="14"/>
                <w:color w:val="auto"/>
              </w:rPr>
              <w:t>Shares</w:t>
            </w:r>
          </w:p>
        </w:tc>
        <w:tc>
          <w:tcPr>
            <w:tcW w:w="380" w:type="dxa"/>
            <w:vAlign w:val="bottom"/>
          </w:tcPr>
          <w:p>
            <w:pPr>
              <w:spacing w:after="0"/>
              <w:rPr>
                <w:sz w:val="7"/>
                <w:szCs w:val="7"/>
                <w:color w:val="auto"/>
              </w:rPr>
            </w:pPr>
          </w:p>
        </w:tc>
        <w:tc>
          <w:tcPr>
            <w:tcW w:w="56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Amount</w:t>
            </w:r>
          </w:p>
        </w:tc>
        <w:tc>
          <w:tcPr>
            <w:tcW w:w="200" w:type="dxa"/>
            <w:vAlign w:val="bottom"/>
          </w:tcPr>
          <w:p>
            <w:pPr>
              <w:spacing w:after="0"/>
              <w:rPr>
                <w:sz w:val="7"/>
                <w:szCs w:val="7"/>
                <w:color w:val="auto"/>
              </w:rPr>
            </w:pPr>
          </w:p>
        </w:tc>
        <w:tc>
          <w:tcPr>
            <w:tcW w:w="8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Paid-in</w:t>
            </w:r>
          </w:p>
        </w:tc>
        <w:tc>
          <w:tcPr>
            <w:tcW w:w="120" w:type="dxa"/>
            <w:vAlign w:val="bottom"/>
          </w:tcPr>
          <w:p>
            <w:pPr>
              <w:spacing w:after="0"/>
              <w:rPr>
                <w:sz w:val="7"/>
                <w:szCs w:val="7"/>
                <w:color w:val="auto"/>
              </w:rPr>
            </w:pPr>
          </w:p>
        </w:tc>
        <w:tc>
          <w:tcPr>
            <w:tcW w:w="1200" w:type="dxa"/>
            <w:vAlign w:val="bottom"/>
            <w:gridSpan w:val="2"/>
          </w:tcPr>
          <w:p>
            <w:pPr>
              <w:jc w:val="right"/>
              <w:ind w:right="100"/>
              <w:spacing w:after="0" w:line="88" w:lineRule="exact"/>
              <w:rPr>
                <w:sz w:val="20"/>
                <w:szCs w:val="20"/>
                <w:color w:val="auto"/>
              </w:rPr>
            </w:pPr>
            <w:r>
              <w:rPr>
                <w:rFonts w:ascii="Calibri" w:cs="Calibri" w:eastAsia="Calibri" w:hAnsi="Calibri"/>
                <w:sz w:val="9"/>
                <w:szCs w:val="9"/>
                <w:color w:val="auto"/>
              </w:rPr>
              <w:t>Comprehensive</w:t>
            </w:r>
          </w:p>
        </w:tc>
        <w:tc>
          <w:tcPr>
            <w:tcW w:w="180" w:type="dxa"/>
            <w:vAlign w:val="bottom"/>
          </w:tcPr>
          <w:p>
            <w:pPr>
              <w:spacing w:after="0"/>
              <w:rPr>
                <w:sz w:val="7"/>
                <w:szCs w:val="7"/>
                <w:color w:val="auto"/>
              </w:rPr>
            </w:pPr>
          </w:p>
        </w:tc>
        <w:tc>
          <w:tcPr>
            <w:tcW w:w="800" w:type="dxa"/>
            <w:vAlign w:val="bottom"/>
            <w:gridSpan w:val="2"/>
          </w:tcPr>
          <w:p>
            <w:pPr>
              <w:ind w:left="200"/>
              <w:spacing w:after="0" w:line="88" w:lineRule="exact"/>
              <w:rPr>
                <w:sz w:val="20"/>
                <w:szCs w:val="20"/>
                <w:color w:val="auto"/>
              </w:rPr>
            </w:pPr>
            <w:r>
              <w:rPr>
                <w:rFonts w:ascii="Calibri" w:cs="Calibri" w:eastAsia="Calibri" w:hAnsi="Calibri"/>
                <w:sz w:val="9"/>
                <w:szCs w:val="9"/>
                <w:color w:val="auto"/>
              </w:rPr>
              <w:t>Earnings</w:t>
            </w:r>
          </w:p>
        </w:tc>
        <w:tc>
          <w:tcPr>
            <w:tcW w:w="960" w:type="dxa"/>
            <w:vAlign w:val="bottom"/>
            <w:gridSpan w:val="2"/>
            <w:vMerge w:val="restart"/>
          </w:tcPr>
          <w:p>
            <w:pPr>
              <w:ind w:left="500"/>
              <w:spacing w:after="0"/>
              <w:rPr>
                <w:sz w:val="20"/>
                <w:szCs w:val="20"/>
                <w:color w:val="auto"/>
              </w:rPr>
            </w:pPr>
            <w:r>
              <w:rPr>
                <w:rFonts w:ascii="Calibri" w:cs="Calibri" w:eastAsia="Calibri" w:hAnsi="Calibri"/>
                <w:sz w:val="14"/>
                <w:szCs w:val="14"/>
                <w:color w:val="auto"/>
              </w:rPr>
              <w:t>Shares</w:t>
            </w:r>
          </w:p>
        </w:tc>
        <w:tc>
          <w:tcPr>
            <w:tcW w:w="160" w:type="dxa"/>
            <w:vAlign w:val="bottom"/>
          </w:tcPr>
          <w:p>
            <w:pPr>
              <w:spacing w:after="0"/>
              <w:rPr>
                <w:sz w:val="7"/>
                <w:szCs w:val="7"/>
                <w:color w:val="auto"/>
              </w:rPr>
            </w:pPr>
          </w:p>
        </w:tc>
        <w:tc>
          <w:tcPr>
            <w:tcW w:w="780" w:type="dxa"/>
            <w:vAlign w:val="bottom"/>
            <w:gridSpan w:val="2"/>
            <w:vMerge w:val="restart"/>
          </w:tcPr>
          <w:p>
            <w:pPr>
              <w:ind w:left="240"/>
              <w:spacing w:after="0"/>
              <w:rPr>
                <w:sz w:val="20"/>
                <w:szCs w:val="20"/>
                <w:color w:val="auto"/>
              </w:rPr>
            </w:pPr>
            <w:r>
              <w:rPr>
                <w:rFonts w:ascii="Calibri" w:cs="Calibri" w:eastAsia="Calibri" w:hAnsi="Calibri"/>
                <w:sz w:val="14"/>
                <w:szCs w:val="14"/>
                <w:color w:val="auto"/>
              </w:rPr>
              <w:t>Amount</w:t>
            </w:r>
          </w:p>
        </w:tc>
        <w:tc>
          <w:tcPr>
            <w:tcW w:w="100" w:type="dxa"/>
            <w:vAlign w:val="bottom"/>
          </w:tcPr>
          <w:p>
            <w:pPr>
              <w:spacing w:after="0"/>
              <w:rPr>
                <w:sz w:val="7"/>
                <w:szCs w:val="7"/>
                <w:color w:val="auto"/>
              </w:rPr>
            </w:pPr>
          </w:p>
        </w:tc>
        <w:tc>
          <w:tcPr>
            <w:tcW w:w="780" w:type="dxa"/>
            <w:vAlign w:val="bottom"/>
          </w:tcPr>
          <w:p>
            <w:pPr>
              <w:jc w:val="right"/>
              <w:spacing w:after="0" w:line="88" w:lineRule="exact"/>
              <w:rPr>
                <w:sz w:val="20"/>
                <w:szCs w:val="20"/>
                <w:color w:val="auto"/>
              </w:rPr>
            </w:pPr>
            <w:r>
              <w:rPr>
                <w:rFonts w:ascii="Calibri" w:cs="Calibri" w:eastAsia="Calibri" w:hAnsi="Calibri"/>
                <w:sz w:val="9"/>
                <w:szCs w:val="9"/>
                <w:color w:val="auto"/>
              </w:rPr>
              <w:t>Stockholders’</w:t>
            </w: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Capital</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line="206" w:lineRule="exact"/>
              <w:rPr>
                <w:sz w:val="20"/>
                <w:szCs w:val="20"/>
                <w:color w:val="auto"/>
              </w:rPr>
            </w:pPr>
            <w:r>
              <w:rPr>
                <w:rFonts w:ascii="Calibri" w:cs="Calibri" w:eastAsia="Calibri" w:hAnsi="Calibri"/>
                <w:sz w:val="14"/>
                <w:szCs w:val="14"/>
                <w:color w:val="auto"/>
              </w:rPr>
              <w:t>Loss</w:t>
            </w:r>
            <w:r>
              <w:rPr>
                <w:rFonts w:ascii="Calibri" w:cs="Calibri" w:eastAsia="Calibri" w:hAnsi="Calibri"/>
                <w:sz w:val="17"/>
                <w:szCs w:val="17"/>
                <w:color w:val="auto"/>
                <w:vertAlign w:val="superscript"/>
              </w:rPr>
              <w:t>(1)</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line="164" w:lineRule="exact"/>
              <w:rPr>
                <w:sz w:val="20"/>
                <w:szCs w:val="20"/>
                <w:color w:val="auto"/>
              </w:rPr>
            </w:pPr>
            <w:r>
              <w:rPr>
                <w:rFonts w:ascii="Calibri" w:cs="Calibri" w:eastAsia="Calibri" w:hAnsi="Calibri"/>
                <w:sz w:val="14"/>
                <w:szCs w:val="14"/>
                <w:color w:val="auto"/>
              </w:rPr>
              <w:t>(Defcit)</w:t>
            </w: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64" w:lineRule="exact"/>
              <w:rPr>
                <w:sz w:val="20"/>
                <w:szCs w:val="20"/>
                <w:color w:val="auto"/>
              </w:rPr>
            </w:pPr>
            <w:r>
              <w:rPr>
                <w:rFonts w:ascii="Calibri" w:cs="Calibri" w:eastAsia="Calibri" w:hAnsi="Calibri"/>
                <w:sz w:val="14"/>
                <w:szCs w:val="14"/>
                <w:color w:val="auto"/>
              </w:rPr>
              <w:t>Equity</w:t>
            </w:r>
          </w:p>
        </w:tc>
        <w:tc>
          <w:tcPr>
            <w:tcW w:w="0" w:type="dxa"/>
            <w:vAlign w:val="bottom"/>
          </w:tcPr>
          <w:p>
            <w:pPr>
              <w:spacing w:after="0"/>
              <w:rPr>
                <w:sz w:val="1"/>
                <w:szCs w:val="1"/>
                <w:color w:val="auto"/>
              </w:rPr>
            </w:pPr>
          </w:p>
        </w:tc>
      </w:tr>
      <w:tr>
        <w:trPr>
          <w:trHeight w:val="177"/>
        </w:trPr>
        <w:tc>
          <w:tcPr>
            <w:tcW w:w="31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Balances as of July 1, 2022</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193,571</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1,936</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772,182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(21,645)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120,405</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(33,641)</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(661,247)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211,631</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(168,421)</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(168,421)</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loss</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color w:val="auto"/>
              </w:rPr>
              <w:t>(32,345)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(32,345)</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5,630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5,630</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(15,276)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(742)</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805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15,839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(179)</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(341)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(15,432)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(15,432)</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color w:val="auto"/>
              </w:rPr>
              <w:t>(4,927)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(2,907)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(216,813)</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(219,769)</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$0.29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(46,100)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(46,100)</w:t>
            </w:r>
          </w:p>
        </w:tc>
        <w:tc>
          <w:tcPr>
            <w:tcW w:w="0" w:type="dxa"/>
            <w:vAlign w:val="bottom"/>
          </w:tcPr>
          <w:p>
            <w:pPr>
              <w:spacing w:after="0"/>
              <w:rPr>
                <w:sz w:val="1"/>
                <w:szCs w:val="1"/>
                <w:color w:val="auto"/>
              </w:rPr>
            </w:pP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September 30, 2022</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188,644</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1,887</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759,629</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(53,990)</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(311,671)</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(33,177)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(660,840)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(264,985)</w:t>
            </w:r>
          </w:p>
        </w:tc>
        <w:tc>
          <w:tcPr>
            <w:tcW w:w="0" w:type="dxa"/>
            <w:vAlign w:val="bottom"/>
          </w:tcPr>
          <w:p>
            <w:pPr>
              <w:spacing w:after="0"/>
              <w:rPr>
                <w:sz w:val="1"/>
                <w:szCs w:val="1"/>
                <w:color w:val="auto"/>
              </w:rPr>
            </w:pPr>
          </w:p>
        </w:tc>
      </w:tr>
      <w:tr>
        <w:trPr>
          <w:trHeight w:val="22"/>
        </w:trPr>
        <w:tc>
          <w:tcPr>
            <w:tcW w:w="3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2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loss</w:t>
            </w:r>
          </w:p>
        </w:tc>
        <w:tc>
          <w:tcPr>
            <w:tcW w:w="8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(223,579)</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(223,579)</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Other comprehensive income</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alibri" w:cs="Calibri" w:eastAsia="Calibri" w:hAnsi="Calibri"/>
                <w:sz w:val="15"/>
                <w:szCs w:val="15"/>
                <w:color w:val="auto"/>
              </w:rPr>
              <w:t>9,307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9,307</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Stock-based compensaton</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9,544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9,544</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Stock-based awards exercised or vested</w:t>
            </w:r>
          </w:p>
        </w:tc>
        <w:tc>
          <w:tcPr>
            <w:tcW w:w="94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421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(209)</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Calibri" w:cs="Calibri" w:eastAsia="Calibri" w:hAnsi="Calibri"/>
                <w:sz w:val="15"/>
                <w:szCs w:val="15"/>
                <w:color w:val="auto"/>
              </w:rPr>
              <w:t>1,023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1,235</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 of treasury shares</w:t>
            </w:r>
            <w:r>
              <w:rPr>
                <w:rFonts w:ascii="Calibri" w:cs="Calibri" w:eastAsia="Calibri" w:hAnsi="Calibri"/>
                <w:sz w:val="20"/>
                <w:szCs w:val="20"/>
                <w:color w:val="auto"/>
                <w:vertAlign w:val="superscript"/>
              </w:rPr>
              <w:t>(2)</w:t>
            </w:r>
          </w:p>
        </w:tc>
        <w:tc>
          <w:tcPr>
            <w:tcW w:w="94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8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(79)</w:t>
            </w:r>
          </w:p>
        </w:tc>
        <w:tc>
          <w:tcPr>
            <w:tcW w:w="0" w:type="dxa"/>
            <w:vAlign w:val="bottom"/>
          </w:tcPr>
          <w:p>
            <w:pPr>
              <w:spacing w:after="0"/>
              <w:rPr>
                <w:sz w:val="1"/>
                <w:szCs w:val="1"/>
                <w:color w:val="auto"/>
              </w:rPr>
            </w:pPr>
          </w:p>
        </w:tc>
      </w:tr>
      <w:tr>
        <w:trPr>
          <w:trHeight w:val="184"/>
        </w:trPr>
        <w:tc>
          <w:tcPr>
            <w:tcW w:w="3260" w:type="dxa"/>
            <w:vAlign w:val="bottom"/>
            <w:gridSpan w:val="2"/>
          </w:tcPr>
          <w:p>
            <w:pPr>
              <w:ind w:left="20"/>
              <w:spacing w:after="0"/>
              <w:rPr>
                <w:sz w:val="20"/>
                <w:szCs w:val="20"/>
                <w:color w:val="auto"/>
              </w:rPr>
            </w:pPr>
            <w:r>
              <w:rPr>
                <w:rFonts w:ascii="Calibri" w:cs="Calibri" w:eastAsia="Calibri" w:hAnsi="Calibri"/>
                <w:sz w:val="15"/>
                <w:szCs w:val="15"/>
                <w:color w:val="auto"/>
              </w:rPr>
              <w:t>Repurchase and retrement of common shares</w:t>
            </w:r>
          </w:p>
        </w:tc>
        <w:tc>
          <w:tcPr>
            <w:tcW w:w="860" w:type="dxa"/>
            <w:vAlign w:val="bottom"/>
          </w:tcPr>
          <w:p>
            <w:pPr>
              <w:jc w:val="right"/>
              <w:spacing w:after="0"/>
              <w:rPr>
                <w:sz w:val="20"/>
                <w:szCs w:val="20"/>
                <w:color w:val="auto"/>
              </w:rPr>
            </w:pPr>
            <w:r>
              <w:rPr>
                <w:rFonts w:ascii="Calibri" w:cs="Calibri" w:eastAsia="Calibri" w:hAnsi="Calibri"/>
                <w:sz w:val="15"/>
                <w:szCs w:val="15"/>
                <w:color w:val="auto"/>
              </w:rPr>
              <w:t>(3,241)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(1,911)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alibri" w:cs="Calibri" w:eastAsia="Calibri" w:hAnsi="Calibri"/>
                <w:sz w:val="15"/>
                <w:szCs w:val="15"/>
                <w:color w:val="auto"/>
              </w:rPr>
              <w:t>(128,409)</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(130,353)</w:t>
            </w:r>
          </w:p>
        </w:tc>
        <w:tc>
          <w:tcPr>
            <w:tcW w:w="0" w:type="dxa"/>
            <w:vAlign w:val="bottom"/>
          </w:tcPr>
          <w:p>
            <w:pPr>
              <w:spacing w:after="0"/>
              <w:rPr>
                <w:sz w:val="1"/>
                <w:szCs w:val="1"/>
                <w:color w:val="auto"/>
              </w:rPr>
            </w:pPr>
          </w:p>
        </w:tc>
      </w:tr>
      <w:tr>
        <w:trPr>
          <w:trHeight w:val="22"/>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Cash dividends declared - $0.29 per share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(44,569)</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(44,569)</w:t>
            </w:r>
          </w:p>
        </w:tc>
        <w:tc>
          <w:tcPr>
            <w:tcW w:w="0" w:type="dxa"/>
            <w:vAlign w:val="bottom"/>
          </w:tcPr>
          <w:p>
            <w:pPr>
              <w:spacing w:after="0"/>
              <w:rPr>
                <w:sz w:val="1"/>
                <w:szCs w:val="1"/>
                <w:color w:val="auto"/>
              </w:rPr>
            </w:pPr>
          </w:p>
        </w:tc>
      </w:tr>
      <w:tr>
        <w:trPr>
          <w:trHeight w:val="177"/>
        </w:trPr>
        <w:tc>
          <w:tcPr>
            <w:tcW w:w="32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December 31, 2022</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185,403</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4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1,854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767,683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w w:val="78"/>
              </w:rPr>
              <w:t>$</w:t>
            </w:r>
          </w:p>
        </w:tc>
        <w:tc>
          <w:tcPr>
            <w:tcW w:w="1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(44,683)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7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(708,437)</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(33,127)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color w:val="auto"/>
                <w:w w:val="78"/>
              </w:rPr>
              <w:t>$</w:t>
            </w:r>
          </w:p>
        </w:tc>
        <w:tc>
          <w:tcPr>
            <w:tcW w:w="7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(659,896)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7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(643,479)</w:t>
            </w:r>
          </w:p>
        </w:tc>
        <w:tc>
          <w:tcPr>
            <w:tcW w:w="0" w:type="dxa"/>
            <w:vAlign w:val="bottom"/>
          </w:tcPr>
          <w:p>
            <w:pPr>
              <w:spacing w:after="0"/>
              <w:rPr>
                <w:sz w:val="1"/>
                <w:szCs w:val="1"/>
                <w:color w:val="auto"/>
              </w:rPr>
            </w:pPr>
          </w:p>
        </w:tc>
      </w:tr>
      <w:tr>
        <w:trPr>
          <w:trHeight w:val="59"/>
        </w:trPr>
        <w:tc>
          <w:tcPr>
            <w:tcW w:w="3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120" w:hanging="117"/>
        <w:spacing w:after="0"/>
        <w:tabs>
          <w:tab w:leader="none" w:pos="120" w:val="left"/>
        </w:tabs>
        <w:numPr>
          <w:ilvl w:val="0"/>
          <w:numId w:val="6"/>
        </w:numPr>
        <w:rPr>
          <w:rFonts w:ascii="Calibri" w:cs="Calibri" w:eastAsia="Calibri" w:hAnsi="Calibri"/>
          <w:sz w:val="14"/>
          <w:szCs w:val="14"/>
          <w:color w:val="auto"/>
          <w:vertAlign w:val="superscript"/>
        </w:rPr>
      </w:pPr>
      <w:r>
        <w:rPr>
          <w:rFonts w:ascii="Calibri" w:cs="Calibri" w:eastAsia="Calibri" w:hAnsi="Calibri"/>
          <w:sz w:val="11"/>
          <w:szCs w:val="11"/>
          <w:color w:val="auto"/>
        </w:rPr>
        <w:t>The balance of our accumulated other comprehensive loss consists of foreign currency translaton adjustments.</w:t>
      </w:r>
    </w:p>
    <w:p>
      <w:pPr>
        <w:spacing w:after="0" w:line="17" w:lineRule="exact"/>
        <w:rPr>
          <w:rFonts w:ascii="Calibri" w:cs="Calibri" w:eastAsia="Calibri" w:hAnsi="Calibri"/>
          <w:sz w:val="14"/>
          <w:szCs w:val="14"/>
          <w:color w:val="auto"/>
          <w:vertAlign w:val="superscript"/>
        </w:rPr>
      </w:pPr>
    </w:p>
    <w:p>
      <w:pPr>
        <w:ind w:left="120" w:hanging="117"/>
        <w:spacing w:after="0" w:line="192" w:lineRule="auto"/>
        <w:tabs>
          <w:tab w:leader="none" w:pos="120" w:val="left"/>
        </w:tabs>
        <w:numPr>
          <w:ilvl w:val="0"/>
          <w:numId w:val="6"/>
        </w:numPr>
        <w:rPr>
          <w:rFonts w:ascii="Calibri" w:cs="Calibri" w:eastAsia="Calibri" w:hAnsi="Calibri"/>
          <w:sz w:val="14"/>
          <w:szCs w:val="14"/>
          <w:color w:val="auto"/>
          <w:vertAlign w:val="superscript"/>
        </w:rPr>
      </w:pPr>
      <w:r>
        <w:rPr>
          <w:rFonts w:ascii="Calibri" w:cs="Calibri" w:eastAsia="Calibri" w:hAnsi="Calibri"/>
          <w:sz w:val="11"/>
          <w:szCs w:val="11"/>
          <w:color w:val="auto"/>
        </w:rPr>
        <w:t>Represents shares swapped or surrendered to us in connecton with the vestng or exercise of stock-based awards.</w:t>
      </w:r>
    </w:p>
    <w:p>
      <w:pPr>
        <w:spacing w:after="0" w:line="49"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780"/>
        <w:spacing w:after="0"/>
        <w:tabs>
          <w:tab w:leader="none" w:pos="1106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4"/>
          <w:szCs w:val="14"/>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6976745</wp:posOffset>
            </wp:positionH>
            <wp:positionV relativeFrom="paragraph">
              <wp:posOffset>-94615</wp:posOffset>
            </wp:positionV>
            <wp:extent cx="163830" cy="122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83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5760" w:val="left"/>
        </w:tabs>
        <w:rPr>
          <w:sz w:val="20"/>
          <w:szCs w:val="20"/>
          <w:color w:val="auto"/>
        </w:rPr>
      </w:pPr>
      <w:r>
        <w:rPr>
          <w:rFonts w:ascii="Calibri" w:cs="Calibri" w:eastAsia="Calibri" w:hAnsi="Calibri"/>
          <w:sz w:val="24"/>
          <w:szCs w:val="24"/>
          <w:b w:val="1"/>
          <w:bCs w:val="1"/>
          <w:color w:val="14AA40"/>
        </w:rPr>
        <w:t>NOTES TO CONSOLIDATED FINANCIAL STATEMENTS</w:t>
      </w:r>
      <w:r>
        <w:rPr>
          <w:sz w:val="20"/>
          <w:szCs w:val="20"/>
          <w:color w:val="auto"/>
        </w:rPr>
        <w:tab/>
      </w:r>
      <w:r>
        <w:rPr>
          <w:rFonts w:ascii="Calibri" w:cs="Calibri" w:eastAsia="Calibri" w:hAnsi="Calibri"/>
          <w:sz w:val="20"/>
          <w:szCs w:val="20"/>
          <w:color w:val="auto"/>
        </w:rPr>
        <w:t>(unaudited)</w:t>
      </w:r>
    </w:p>
    <w:p>
      <w:pPr>
        <w:spacing w:after="0" w:line="9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1: SUMMARY OF SIGNIFICANT ACCOUNTING POLICIES</w:t>
      </w:r>
    </w:p>
    <w:p>
      <w:pPr>
        <w:spacing w:after="0" w:line="12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b w:val="1"/>
          <w:bCs w:val="1"/>
          <w:color w:val="auto"/>
        </w:rPr>
        <w:t xml:space="preserve">BASIS OF PRESENTATION </w:t>
      </w:r>
      <w:r>
        <w:rPr>
          <w:rFonts w:ascii="Calibri" w:cs="Calibri" w:eastAsia="Calibri" w:hAnsi="Calibri"/>
          <w:sz w:val="17"/>
          <w:szCs w:val="17"/>
          <w:color w:val="auto"/>
        </w:rPr>
        <w:t>– The consolidated balance sheets as of December 31, 2023 and June 30, 2023, the consolidated statements of operatons and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comprehensive loss for the three and six months ended December 31, 2023 and 2022, the consolidated statements of cash fows for the six months ended December 31, 2023 and 2022, and the consolidated statements of stockholders' equity for the three and six months ended December 31, 2023 and 2022 have been prepared by the Company, without audit. In the opinion of management, all adjustments, which include only normal recurring adjustments, necessary to present fairly the fnancial positon, results of operatons, and cash fows as of December 31, 2023 and 2022 and for all periods presented, have been made.</w:t>
      </w:r>
    </w:p>
    <w:p>
      <w:pPr>
        <w:spacing w:after="0" w:line="106"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"H&amp;R Block," "the Company," "we," "our," and "us" are used interchangeably to refer to H&amp;R Block, Inc., to H&amp;R Block, Inc. and its subsidiaries, or to H&amp;R Block, Inc.'s operatng subsidiaries, as appropriate to the context.</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Certain informaton and footnote disclosures normally included in fnancial statements prepared in accordance with accountng principles generally accepted in the United States (GAAP) have been condensed or omited. These consolidated fnancial statements should be read in conjuncton with the fnancial statements and notes thereto included in our June 30, 2023 Annual Report on Form 10-K. All amounts presented herein as of June 30, 2023 or for the year then ended are derived from our Annual Report on Form 10-K.</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b w:val="1"/>
          <w:bCs w:val="1"/>
          <w:color w:val="auto"/>
        </w:rPr>
        <w:t xml:space="preserve">MANAGEMENT ESTIMATES </w:t>
      </w:r>
      <w:r>
        <w:rPr>
          <w:rFonts w:ascii="Calibri" w:cs="Calibri" w:eastAsia="Calibri" w:hAnsi="Calibri"/>
          <w:sz w:val="17"/>
          <w:szCs w:val="17"/>
          <w:color w:val="auto"/>
        </w:rPr>
        <w:t>– The preparaton of fnancial statements in conformity with GAAP requires management to make estmates and assumptons that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afect the reported amounts of assets and liabilites and disclosure of contngent assets and liabilites at the date of the fnancial statements and the reported amounts of revenues and expenses during the reportng periods. Signifcant estmates, assumptons and judgments are applied in the evaluaton of contngent losses arising from our discontnued mortgage business, contngent losses associated with pending claims and litgaton, reserves for uncertain tax positons, fair value of reportng units, and related maters. Estmates have been prepared based on the best informaton available as of each balance sheet date. As such, actual results could difer materially from those estmates.</w:t>
      </w:r>
    </w:p>
    <w:p>
      <w:pPr>
        <w:spacing w:after="0" w:line="103" w:lineRule="exact"/>
        <w:rPr>
          <w:sz w:val="20"/>
          <w:szCs w:val="20"/>
          <w:color w:val="auto"/>
        </w:rPr>
      </w:pPr>
    </w:p>
    <w:p>
      <w:pPr>
        <w:ind w:left="200"/>
        <w:spacing w:after="0"/>
        <w:rPr>
          <w:sz w:val="20"/>
          <w:szCs w:val="20"/>
          <w:color w:val="auto"/>
        </w:rPr>
      </w:pPr>
      <w:r>
        <w:rPr>
          <w:rFonts w:ascii="Calibri" w:cs="Calibri" w:eastAsia="Calibri" w:hAnsi="Calibri"/>
          <w:sz w:val="17"/>
          <w:szCs w:val="17"/>
          <w:b w:val="1"/>
          <w:bCs w:val="1"/>
          <w:color w:val="auto"/>
        </w:rPr>
        <w:t xml:space="preserve">SEASONALITY OF BUSINESS </w:t>
      </w:r>
      <w:r>
        <w:rPr>
          <w:rFonts w:ascii="Calibri" w:cs="Calibri" w:eastAsia="Calibri" w:hAnsi="Calibri"/>
          <w:sz w:val="17"/>
          <w:szCs w:val="17"/>
          <w:color w:val="auto"/>
        </w:rPr>
        <w:t>– Our operatng revenues are seasonal in nature with peak revenues typically occurring in the months of February through April.</w:t>
      </w:r>
    </w:p>
    <w:p>
      <w:pPr>
        <w:spacing w:after="0" w:line="238" w:lineRule="auto"/>
        <w:rPr>
          <w:sz w:val="20"/>
          <w:szCs w:val="20"/>
          <w:color w:val="auto"/>
        </w:rPr>
      </w:pPr>
      <w:r>
        <w:rPr>
          <w:rFonts w:ascii="Calibri" w:cs="Calibri" w:eastAsia="Calibri" w:hAnsi="Calibri"/>
          <w:sz w:val="17"/>
          <w:szCs w:val="17"/>
          <w:color w:val="auto"/>
        </w:rPr>
        <w:t>Therefore, results for interim periods are not indicatve of results to be expected for the full year.</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b w:val="1"/>
          <w:bCs w:val="1"/>
          <w:color w:val="auto"/>
        </w:rPr>
        <w:t xml:space="preserve">DISCONTINUED OPERATIONS </w:t>
      </w:r>
      <w:r>
        <w:rPr>
          <w:rFonts w:ascii="Calibri" w:cs="Calibri" w:eastAsia="Calibri" w:hAnsi="Calibri"/>
          <w:sz w:val="17"/>
          <w:szCs w:val="17"/>
          <w:color w:val="auto"/>
        </w:rPr>
        <w:t>– Our discontnued operatons include the results of operatons of Sand Canyon Corporaton, previously known as Opton One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Mortgage Corporaton (including its subsidiaries, collectvely, SCC), which exited its mortgage business in fscal year 2008. See </w:t>
      </w:r>
      <w:r>
        <w:rPr>
          <w:rFonts w:ascii="Calibri" w:cs="Calibri" w:eastAsia="Calibri" w:hAnsi="Calibri"/>
          <w:sz w:val="17"/>
          <w:szCs w:val="17"/>
          <w:u w:val="single" w:color="auto"/>
          <w:color w:val="0000FF"/>
        </w:rPr>
        <w:t>note 9</w:t>
      </w:r>
      <w:r>
        <w:rPr>
          <w:rFonts w:ascii="Calibri" w:cs="Calibri" w:eastAsia="Calibri" w:hAnsi="Calibri"/>
          <w:sz w:val="17"/>
          <w:szCs w:val="17"/>
          <w:color w:val="auto"/>
        </w:rPr>
        <w:t xml:space="preserve"> for additonal informaton on loss contngencies related to our discontnued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224"/>
        <w:spacing w:after="0"/>
        <w:tabs>
          <w:tab w:leader="none" w:pos="360" w:val="left"/>
        </w:tabs>
        <w:numPr>
          <w:ilvl w:val="0"/>
          <w:numId w:val="7"/>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2: REVENUE RECOGNITION</w:t>
      </w:r>
    </w:p>
    <w:p>
      <w:pPr>
        <w:spacing w:after="0" w:line="112"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The majority of our revenues are from our United States (U.S.) tax services business. The following table disaggregates our U.S. revenues by major service line, with revenues from our internatonal tax services businesses and from Wave included as separate lines: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gridSpan w:val="5"/>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77"/>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00" w:type="dxa"/>
            <w:vAlign w:val="bottom"/>
            <w:gridSpan w:val="5"/>
          </w:tcPr>
          <w:p>
            <w:pPr>
              <w:ind w:left="240"/>
              <w:spacing w:after="0" w:line="177" w:lineRule="exact"/>
              <w:rPr>
                <w:sz w:val="20"/>
                <w:szCs w:val="20"/>
                <w:color w:val="auto"/>
              </w:rPr>
            </w:pPr>
            <w:r>
              <w:rPr>
                <w:rFonts w:ascii="Calibri" w:cs="Calibri" w:eastAsia="Calibri" w:hAnsi="Calibri"/>
                <w:sz w:val="15"/>
                <w:szCs w:val="15"/>
                <w:color w:val="auto"/>
              </w:rPr>
              <w:t>Three months ended December 31,</w:t>
            </w:r>
          </w:p>
        </w:tc>
        <w:tc>
          <w:tcPr>
            <w:tcW w:w="360" w:type="dxa"/>
            <w:vAlign w:val="bottom"/>
          </w:tcPr>
          <w:p>
            <w:pPr>
              <w:spacing w:after="0"/>
              <w:rPr>
                <w:sz w:val="15"/>
                <w:szCs w:val="15"/>
                <w:color w:val="auto"/>
              </w:rPr>
            </w:pPr>
          </w:p>
        </w:tc>
        <w:tc>
          <w:tcPr>
            <w:tcW w:w="2380" w:type="dxa"/>
            <w:vAlign w:val="bottom"/>
            <w:gridSpan w:val="3"/>
          </w:tcPr>
          <w:p>
            <w:pPr>
              <w:jc w:val="right"/>
              <w:spacing w:after="0" w:line="177" w:lineRule="exact"/>
              <w:rPr>
                <w:sz w:val="20"/>
                <w:szCs w:val="20"/>
                <w:color w:val="auto"/>
              </w:rPr>
            </w:pPr>
            <w:r>
              <w:rPr>
                <w:rFonts w:ascii="Calibri" w:cs="Calibri" w:eastAsia="Calibri" w:hAnsi="Calibri"/>
                <w:sz w:val="15"/>
                <w:szCs w:val="15"/>
                <w:color w:val="auto"/>
              </w:rPr>
              <w:t>Six months ended December 31,</w:t>
            </w:r>
          </w:p>
        </w:tc>
        <w:tc>
          <w:tcPr>
            <w:tcW w:w="600" w:type="dxa"/>
            <w:vAlign w:val="bottom"/>
          </w:tcPr>
          <w:p>
            <w:pPr>
              <w:spacing w:after="0"/>
              <w:rPr>
                <w:sz w:val="15"/>
                <w:szCs w:val="15"/>
                <w:color w:val="auto"/>
              </w:rPr>
            </w:pPr>
          </w:p>
        </w:tc>
      </w:tr>
      <w:tr>
        <w:trPr>
          <w:trHeight w:val="22"/>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7"/>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7"/>
        </w:trPr>
        <w:tc>
          <w:tcPr>
            <w:tcW w:w="4400" w:type="dxa"/>
            <w:vAlign w:val="bottom"/>
          </w:tcPr>
          <w:p>
            <w:pPr>
              <w:ind w:left="20"/>
              <w:spacing w:after="0" w:line="177" w:lineRule="exact"/>
              <w:rPr>
                <w:sz w:val="20"/>
                <w:szCs w:val="20"/>
                <w:color w:val="auto"/>
              </w:rPr>
            </w:pPr>
            <w:r>
              <w:rPr>
                <w:rFonts w:ascii="Calibri" w:cs="Calibri" w:eastAsia="Calibri" w:hAnsi="Calibri"/>
                <w:sz w:val="15"/>
                <w:szCs w:val="15"/>
                <w:color w:val="auto"/>
              </w:rPr>
              <w:t>Revenues: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2"/>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6"/>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assisted tax preparaton</w:t>
            </w: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Calibri" w:cs="Calibri" w:eastAsia="Calibri" w:hAnsi="Calibri"/>
                <w:sz w:val="15"/>
                <w:szCs w:val="15"/>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48,342</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03"/>
              <w:spacing w:after="0"/>
              <w:rPr>
                <w:sz w:val="20"/>
                <w:szCs w:val="20"/>
                <w:color w:val="auto"/>
              </w:rPr>
            </w:pPr>
            <w:r>
              <w:rPr>
                <w:rFonts w:ascii="Calibri" w:cs="Calibri" w:eastAsia="Calibri" w:hAnsi="Calibri"/>
                <w:sz w:val="15"/>
                <w:szCs w:val="15"/>
                <w:color w:val="auto"/>
                <w:w w:val="7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41,216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3"/>
              <w:spacing w:after="0"/>
              <w:rPr>
                <w:sz w:val="20"/>
                <w:szCs w:val="20"/>
                <w:color w:val="auto"/>
              </w:rPr>
            </w:pPr>
            <w:r>
              <w:rPr>
                <w:rFonts w:ascii="Calibri" w:cs="Calibri" w:eastAsia="Calibri" w:hAnsi="Calibri"/>
                <w:sz w:val="15"/>
                <w:szCs w:val="15"/>
                <w:b w:val="1"/>
                <w:bCs w:val="1"/>
                <w:color w:val="auto"/>
                <w:w w:val="7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87,605</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63"/>
              <w:spacing w:after="0"/>
              <w:rPr>
                <w:sz w:val="20"/>
                <w:szCs w:val="20"/>
                <w:color w:val="auto"/>
              </w:rPr>
            </w:pPr>
            <w:r>
              <w:rPr>
                <w:rFonts w:ascii="Calibri" w:cs="Calibri" w:eastAsia="Calibri" w:hAnsi="Calibri"/>
                <w:sz w:val="15"/>
                <w:szCs w:val="15"/>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77,528</w:t>
            </w:r>
          </w:p>
        </w:tc>
      </w:tr>
      <w:tr>
        <w:trPr>
          <w:trHeight w:val="184"/>
        </w:trPr>
        <w:tc>
          <w:tcPr>
            <w:tcW w:w="4480" w:type="dxa"/>
            <w:vAlign w:val="bottom"/>
            <w:gridSpan w:val="2"/>
          </w:tcPr>
          <w:p>
            <w:pPr>
              <w:ind w:left="140"/>
              <w:spacing w:after="0"/>
              <w:rPr>
                <w:sz w:val="20"/>
                <w:szCs w:val="20"/>
                <w:color w:val="auto"/>
              </w:rPr>
            </w:pPr>
            <w:r>
              <w:rPr>
                <w:rFonts w:ascii="Calibri" w:cs="Calibri" w:eastAsia="Calibri" w:hAnsi="Calibri"/>
                <w:sz w:val="15"/>
                <w:szCs w:val="15"/>
                <w:color w:val="auto"/>
              </w:rPr>
              <w:t>U.S. royaltes</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alibri" w:cs="Calibri" w:eastAsia="Calibri" w:hAnsi="Calibri"/>
                <w:sz w:val="15"/>
                <w:szCs w:val="15"/>
                <w:b w:val="1"/>
                <w:bCs w:val="1"/>
                <w:color w:val="auto"/>
              </w:rPr>
              <w:t>5,454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4,946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11,155</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11,174</w:t>
            </w:r>
          </w:p>
        </w:tc>
      </w:tr>
      <w:tr>
        <w:trPr>
          <w:trHeight w:val="22"/>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6"/>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DIY tax preparaton</w:t>
            </w:r>
          </w:p>
        </w:tc>
        <w:tc>
          <w:tcPr>
            <w:tcW w:w="3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13,111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12,150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16,959</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15,308</w:t>
            </w:r>
          </w:p>
        </w:tc>
      </w:tr>
      <w:tr>
        <w:trPr>
          <w:trHeight w:val="184"/>
        </w:trPr>
        <w:tc>
          <w:tcPr>
            <w:tcW w:w="4480" w:type="dxa"/>
            <w:vAlign w:val="bottom"/>
            <w:gridSpan w:val="2"/>
          </w:tcPr>
          <w:p>
            <w:pPr>
              <w:ind w:left="140"/>
              <w:spacing w:after="0"/>
              <w:rPr>
                <w:sz w:val="20"/>
                <w:szCs w:val="20"/>
                <w:color w:val="auto"/>
              </w:rPr>
            </w:pPr>
            <w:r>
              <w:rPr>
                <w:rFonts w:ascii="Calibri" w:cs="Calibri" w:eastAsia="Calibri" w:hAnsi="Calibri"/>
                <w:sz w:val="15"/>
                <w:szCs w:val="15"/>
                <w:color w:val="auto"/>
              </w:rPr>
              <w:t>Refund Transfers</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alibri" w:cs="Calibri" w:eastAsia="Calibri" w:hAnsi="Calibri"/>
                <w:sz w:val="15"/>
                <w:szCs w:val="15"/>
                <w:b w:val="1"/>
                <w:bCs w:val="1"/>
                <w:color w:val="auto"/>
              </w:rPr>
              <w:t>813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1,542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1,955</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2,826</w:t>
            </w:r>
          </w:p>
        </w:tc>
      </w:tr>
      <w:tr>
        <w:trPr>
          <w:trHeight w:val="22"/>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6"/>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Peace of Mind® Extended Service Plan</w:t>
            </w:r>
          </w:p>
        </w:tc>
        <w:tc>
          <w:tcPr>
            <w:tcW w:w="3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17,440</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17,320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42,287</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42,090</w:t>
            </w:r>
          </w:p>
        </w:tc>
      </w:tr>
      <w:tr>
        <w:trPr>
          <w:trHeight w:val="184"/>
        </w:trPr>
        <w:tc>
          <w:tcPr>
            <w:tcW w:w="4480" w:type="dxa"/>
            <w:vAlign w:val="bottom"/>
            <w:gridSpan w:val="2"/>
          </w:tcPr>
          <w:p>
            <w:pPr>
              <w:ind w:left="140"/>
              <w:spacing w:after="0"/>
              <w:rPr>
                <w:sz w:val="20"/>
                <w:szCs w:val="20"/>
                <w:color w:val="auto"/>
              </w:rPr>
            </w:pPr>
            <w:r>
              <w:rPr>
                <w:rFonts w:ascii="Calibri" w:cs="Calibri" w:eastAsia="Calibri" w:hAnsi="Calibri"/>
                <w:sz w:val="15"/>
                <w:szCs w:val="15"/>
                <w:color w:val="auto"/>
              </w:rPr>
              <w:t>Tax Identty Shield®</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alibri" w:cs="Calibri" w:eastAsia="Calibri" w:hAnsi="Calibri"/>
                <w:sz w:val="15"/>
                <w:szCs w:val="15"/>
                <w:b w:val="1"/>
                <w:bCs w:val="1"/>
                <w:color w:val="auto"/>
              </w:rPr>
              <w:t>4,694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5,350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9,274</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10,517</w:t>
            </w:r>
          </w:p>
        </w:tc>
      </w:tr>
      <w:tr>
        <w:trPr>
          <w:trHeight w:val="22"/>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6"/>
        </w:trPr>
        <w:tc>
          <w:tcPr>
            <w:tcW w:w="4480" w:type="dxa"/>
            <w:vAlign w:val="bottom"/>
            <w:gridSpan w:val="2"/>
            <w:shd w:val="clear" w:color="auto" w:fill="CCEEFF"/>
          </w:tcPr>
          <w:p>
            <w:pPr>
              <w:ind w:left="140"/>
              <w:spacing w:after="0" w:line="206" w:lineRule="exact"/>
              <w:rPr>
                <w:sz w:val="20"/>
                <w:szCs w:val="20"/>
                <w:color w:val="auto"/>
              </w:rPr>
            </w:pPr>
            <w:r>
              <w:rPr>
                <w:rFonts w:ascii="Calibri" w:cs="Calibri" w:eastAsia="Calibri" w:hAnsi="Calibri"/>
                <w:sz w:val="15"/>
                <w:szCs w:val="15"/>
                <w:color w:val="auto"/>
              </w:rPr>
              <w:t>Emerald Card® and Spruce</w:t>
            </w:r>
            <w:r>
              <w:rPr>
                <w:rFonts w:ascii="Calibri" w:cs="Calibri" w:eastAsia="Calibri" w:hAnsi="Calibri"/>
                <w:sz w:val="20"/>
                <w:szCs w:val="20"/>
                <w:color w:val="auto"/>
                <w:vertAlign w:val="superscript"/>
              </w:rPr>
              <w:t>SM</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11,700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12,478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20,333</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24,090</w:t>
            </w:r>
          </w:p>
        </w:tc>
      </w:tr>
      <w:tr>
        <w:trPr>
          <w:trHeight w:val="206"/>
        </w:trPr>
        <w:tc>
          <w:tcPr>
            <w:tcW w:w="4480" w:type="dxa"/>
            <w:vAlign w:val="bottom"/>
            <w:gridSpan w:val="2"/>
          </w:tcPr>
          <w:p>
            <w:pPr>
              <w:ind w:left="140"/>
              <w:spacing w:after="0" w:line="206" w:lineRule="exact"/>
              <w:rPr>
                <w:sz w:val="20"/>
                <w:szCs w:val="20"/>
                <w:color w:val="auto"/>
              </w:rPr>
            </w:pPr>
            <w:r>
              <w:rPr>
                <w:rFonts w:ascii="Calibri" w:cs="Calibri" w:eastAsia="Calibri" w:hAnsi="Calibri"/>
                <w:sz w:val="15"/>
                <w:szCs w:val="15"/>
                <w:color w:val="auto"/>
              </w:rPr>
              <w:t>Interest and fee income on Emerald Advance</w:t>
            </w:r>
            <w:r>
              <w:rPr>
                <w:rFonts w:ascii="Calibri" w:cs="Calibri" w:eastAsia="Calibri" w:hAnsi="Calibri"/>
                <w:sz w:val="20"/>
                <w:szCs w:val="20"/>
                <w:color w:val="auto"/>
                <w:vertAlign w:val="superscript"/>
              </w:rPr>
              <w:t>SM</w:t>
            </w:r>
          </w:p>
        </w:tc>
        <w:tc>
          <w:tcPr>
            <w:tcW w:w="3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alibri" w:cs="Calibri" w:eastAsia="Calibri" w:hAnsi="Calibri"/>
                <w:sz w:val="15"/>
                <w:szCs w:val="15"/>
                <w:b w:val="1"/>
                <w:bCs w:val="1"/>
                <w:color w:val="auto"/>
              </w:rPr>
              <w:t>15,235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12,903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15,533</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13,517</w:t>
            </w:r>
          </w:p>
        </w:tc>
      </w:tr>
      <w:tr>
        <w:trPr>
          <w:trHeight w:val="186"/>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Internatonal</w:t>
            </w:r>
          </w:p>
        </w:tc>
        <w:tc>
          <w:tcPr>
            <w:tcW w:w="3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29,569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28,046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90,134</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86,880</w:t>
            </w:r>
          </w:p>
        </w:tc>
      </w:tr>
      <w:tr>
        <w:trPr>
          <w:trHeight w:val="184"/>
        </w:trPr>
        <w:tc>
          <w:tcPr>
            <w:tcW w:w="4480" w:type="dxa"/>
            <w:vAlign w:val="bottom"/>
            <w:gridSpan w:val="2"/>
          </w:tcPr>
          <w:p>
            <w:pPr>
              <w:ind w:left="140"/>
              <w:spacing w:after="0"/>
              <w:rPr>
                <w:sz w:val="20"/>
                <w:szCs w:val="20"/>
                <w:color w:val="auto"/>
              </w:rPr>
            </w:pPr>
            <w:r>
              <w:rPr>
                <w:rFonts w:ascii="Calibri" w:cs="Calibri" w:eastAsia="Calibri" w:hAnsi="Calibri"/>
                <w:sz w:val="15"/>
                <w:szCs w:val="15"/>
                <w:color w:val="auto"/>
              </w:rPr>
              <w:t>Wave</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alibri" w:cs="Calibri" w:eastAsia="Calibri" w:hAnsi="Calibri"/>
                <w:sz w:val="15"/>
                <w:szCs w:val="15"/>
                <w:b w:val="1"/>
                <w:bCs w:val="1"/>
                <w:color w:val="auto"/>
              </w:rPr>
              <w:t>23,133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21,941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47,076</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alibri" w:cs="Calibri" w:eastAsia="Calibri" w:hAnsi="Calibri"/>
                <w:sz w:val="15"/>
                <w:szCs w:val="15"/>
                <w:color w:val="auto"/>
              </w:rPr>
              <w:t>44,587</w:t>
            </w:r>
          </w:p>
        </w:tc>
      </w:tr>
      <w:tr>
        <w:trPr>
          <w:trHeight w:val="22"/>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6"/>
        </w:trPr>
        <w:tc>
          <w:tcPr>
            <w:tcW w:w="44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w:t>
            </w:r>
          </w:p>
        </w:tc>
        <w:tc>
          <w:tcPr>
            <w:tcW w:w="3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9,592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8,513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20,572</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17,873</w:t>
            </w:r>
          </w:p>
        </w:tc>
      </w:tr>
      <w:tr>
        <w:trPr>
          <w:trHeight w:val="177"/>
        </w:trPr>
        <w:tc>
          <w:tcPr>
            <w:tcW w:w="4480" w:type="dxa"/>
            <w:vAlign w:val="bottom"/>
            <w:gridSpan w:val="2"/>
          </w:tcPr>
          <w:p>
            <w:pPr>
              <w:ind w:left="220"/>
              <w:spacing w:after="0" w:line="173" w:lineRule="exact"/>
              <w:rPr>
                <w:sz w:val="20"/>
                <w:szCs w:val="20"/>
                <w:color w:val="auto"/>
              </w:rPr>
            </w:pPr>
            <w:r>
              <w:rPr>
                <w:rFonts w:ascii="Calibri" w:cs="Calibri" w:eastAsia="Calibri" w:hAnsi="Calibri"/>
                <w:sz w:val="15"/>
                <w:szCs w:val="15"/>
                <w:color w:val="auto"/>
              </w:rPr>
              <w:t>Total revenues</w:t>
            </w:r>
          </w:p>
        </w:tc>
        <w:tc>
          <w:tcPr>
            <w:tcW w:w="320" w:type="dxa"/>
            <w:vAlign w:val="bottom"/>
            <w:tcBorders>
              <w:top w:val="single" w:sz="8" w:color="auto"/>
            </w:tcBorders>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179,083</w:t>
            </w:r>
          </w:p>
        </w:tc>
        <w:tc>
          <w:tcPr>
            <w:tcW w:w="100" w:type="dxa"/>
            <w:vAlign w:val="bottom"/>
          </w:tcPr>
          <w:p>
            <w:pPr>
              <w:spacing w:after="0"/>
              <w:rPr>
                <w:sz w:val="15"/>
                <w:szCs w:val="15"/>
                <w:color w:val="auto"/>
              </w:rPr>
            </w:pPr>
          </w:p>
        </w:tc>
        <w:tc>
          <w:tcPr>
            <w:tcW w:w="560" w:type="dxa"/>
            <w:vAlign w:val="bottom"/>
            <w:tcBorders>
              <w:top w:val="single" w:sz="8" w:color="auto"/>
            </w:tcBorders>
          </w:tcPr>
          <w:p>
            <w:pPr>
              <w:jc w:val="right"/>
              <w:ind w:right="403"/>
              <w:spacing w:after="0" w:line="177" w:lineRule="exact"/>
              <w:rPr>
                <w:sz w:val="20"/>
                <w:szCs w:val="20"/>
                <w:color w:val="auto"/>
              </w:rPr>
            </w:pPr>
            <w:r>
              <w:rPr>
                <w:rFonts w:ascii="Calibri" w:cs="Calibri" w:eastAsia="Calibri" w:hAnsi="Calibri"/>
                <w:sz w:val="15"/>
                <w:szCs w:val="15"/>
                <w:color w:val="auto"/>
                <w:w w:val="78"/>
              </w:rPr>
              <w:t>$</w:t>
            </w:r>
          </w:p>
        </w:tc>
        <w:tc>
          <w:tcPr>
            <w:tcW w:w="10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166,405</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w w:val="78"/>
              </w:rPr>
              <w:t>$</w:t>
            </w:r>
          </w:p>
        </w:tc>
        <w:tc>
          <w:tcPr>
            <w:tcW w:w="12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362,883</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ind w:right="863"/>
              <w:spacing w:after="0" w:line="177" w:lineRule="exact"/>
              <w:rPr>
                <w:sz w:val="20"/>
                <w:szCs w:val="20"/>
                <w:color w:val="auto"/>
              </w:rPr>
            </w:pPr>
            <w:r>
              <w:rPr>
                <w:rFonts w:ascii="Calibri" w:cs="Calibri" w:eastAsia="Calibri" w:hAnsi="Calibri"/>
                <w:sz w:val="15"/>
                <w:szCs w:val="15"/>
                <w:color w:val="auto"/>
              </w:rPr>
              <w:t>$</w:t>
            </w:r>
          </w:p>
        </w:tc>
        <w:tc>
          <w:tcPr>
            <w:tcW w:w="6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346,390</w:t>
            </w:r>
          </w:p>
        </w:tc>
      </w:tr>
      <w:tr>
        <w:trPr>
          <w:trHeight w:val="59"/>
        </w:trPr>
        <w:tc>
          <w:tcPr>
            <w:tcW w:w="44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0"/>
        </w:trPr>
        <w:tc>
          <w:tcPr>
            <w:tcW w:w="44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r>
    </w:tbl>
    <w:p>
      <w:pPr>
        <w:spacing w:after="0" w:line="170"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Changes in the balances of deferred revenue and wages for our Peace of Mind® Extended Service Plan (POM)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86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7"/>
        </w:trPr>
        <w:tc>
          <w:tcPr>
            <w:tcW w:w="4860" w:type="dxa"/>
            <w:vAlign w:val="bottom"/>
            <w:gridSpan w:val="2"/>
          </w:tcPr>
          <w:p>
            <w:pPr>
              <w:ind w:left="20"/>
              <w:spacing w:after="0" w:line="177" w:lineRule="exact"/>
              <w:rPr>
                <w:sz w:val="20"/>
                <w:szCs w:val="20"/>
                <w:color w:val="auto"/>
              </w:rPr>
            </w:pPr>
            <w:r>
              <w:rPr>
                <w:rFonts w:ascii="Calibri" w:cs="Calibri" w:eastAsia="Calibri" w:hAnsi="Calibri"/>
                <w:sz w:val="15"/>
                <w:szCs w:val="15"/>
                <w:b w:val="1"/>
                <w:bCs w:val="1"/>
                <w:color w:val="auto"/>
              </w:rPr>
              <w:t>POM</w:t>
            </w: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100"/>
              <w:spacing w:after="0" w:line="177" w:lineRule="exact"/>
              <w:rPr>
                <w:sz w:val="20"/>
                <w:szCs w:val="20"/>
                <w:color w:val="auto"/>
              </w:rPr>
            </w:pPr>
            <w:r>
              <w:rPr>
                <w:rFonts w:ascii="Calibri" w:cs="Calibri" w:eastAsia="Calibri" w:hAnsi="Calibri"/>
                <w:sz w:val="15"/>
                <w:szCs w:val="15"/>
                <w:color w:val="auto"/>
              </w:rPr>
              <w:t>Deferred Revenue</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Deferred Wages</w:t>
            </w:r>
          </w:p>
        </w:tc>
      </w:tr>
      <w:tr>
        <w:trPr>
          <w:trHeight w:val="22"/>
        </w:trPr>
        <w:tc>
          <w:tcPr>
            <w:tcW w:w="4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7"/>
        </w:trPr>
        <w:tc>
          <w:tcPr>
            <w:tcW w:w="47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Six months ended December 31,</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2022</w:t>
            </w: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2022</w:t>
            </w:r>
          </w:p>
        </w:tc>
      </w:tr>
      <w:tr>
        <w:trPr>
          <w:trHeight w:val="22"/>
        </w:trPr>
        <w:tc>
          <w:tcPr>
            <w:tcW w:w="4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7"/>
        </w:trPr>
        <w:tc>
          <w:tcPr>
            <w:tcW w:w="4760" w:type="dxa"/>
            <w:vAlign w:val="bottom"/>
          </w:tcPr>
          <w:p>
            <w:pPr>
              <w:ind w:left="20"/>
              <w:spacing w:after="0" w:line="177" w:lineRule="exact"/>
              <w:rPr>
                <w:sz w:val="20"/>
                <w:szCs w:val="20"/>
                <w:color w:val="auto"/>
              </w:rPr>
            </w:pPr>
            <w:r>
              <w:rPr>
                <w:rFonts w:ascii="Calibri" w:cs="Calibri" w:eastAsia="Calibri" w:hAnsi="Calibri"/>
                <w:sz w:val="15"/>
                <w:szCs w:val="15"/>
                <w:color w:val="auto"/>
              </w:rPr>
              <w:t>Balance, beginning of the period</w:t>
            </w:r>
          </w:p>
        </w:tc>
        <w:tc>
          <w:tcPr>
            <w:tcW w:w="100" w:type="dxa"/>
            <w:vAlign w:val="bottom"/>
          </w:tcPr>
          <w:p>
            <w:pPr>
              <w:spacing w:after="0"/>
              <w:rPr>
                <w:sz w:val="15"/>
                <w:szCs w:val="15"/>
                <w:color w:val="auto"/>
              </w:rPr>
            </w:pPr>
          </w:p>
        </w:tc>
        <w:tc>
          <w:tcPr>
            <w:tcW w:w="520" w:type="dxa"/>
            <w:vAlign w:val="bottom"/>
          </w:tcPr>
          <w:p>
            <w:pPr>
              <w:jc w:val="right"/>
              <w:ind w:right="363"/>
              <w:spacing w:after="0" w:line="177" w:lineRule="exact"/>
              <w:rPr>
                <w:sz w:val="20"/>
                <w:szCs w:val="20"/>
                <w:color w:val="auto"/>
              </w:rPr>
            </w:pPr>
            <w:r>
              <w:rPr>
                <w:rFonts w:ascii="Calibri" w:cs="Calibri" w:eastAsia="Calibri" w:hAnsi="Calibri"/>
                <w:sz w:val="15"/>
                <w:szCs w:val="15"/>
                <w:b w:val="1"/>
                <w:bCs w:val="1"/>
                <w:color w:val="auto"/>
                <w:w w:val="78"/>
              </w:rPr>
              <w:t>$</w:t>
            </w:r>
          </w:p>
        </w:tc>
        <w:tc>
          <w:tcPr>
            <w:tcW w:w="10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167,257</w:t>
            </w:r>
          </w:p>
        </w:tc>
        <w:tc>
          <w:tcPr>
            <w:tcW w:w="80" w:type="dxa"/>
            <w:vAlign w:val="bottom"/>
          </w:tcPr>
          <w:p>
            <w:pPr>
              <w:spacing w:after="0"/>
              <w:rPr>
                <w:sz w:val="15"/>
                <w:szCs w:val="15"/>
                <w:color w:val="auto"/>
              </w:rPr>
            </w:pPr>
          </w:p>
        </w:tc>
        <w:tc>
          <w:tcPr>
            <w:tcW w:w="240" w:type="dxa"/>
            <w:vAlign w:val="bottom"/>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300" w:type="dxa"/>
            <w:vAlign w:val="bottom"/>
          </w:tcPr>
          <w:p>
            <w:pPr>
              <w:jc w:val="right"/>
              <w:spacing w:after="0" w:line="177" w:lineRule="exact"/>
              <w:rPr>
                <w:sz w:val="20"/>
                <w:szCs w:val="20"/>
                <w:color w:val="auto"/>
              </w:rPr>
            </w:pPr>
            <w:r>
              <w:rPr>
                <w:rFonts w:ascii="Calibri" w:cs="Calibri" w:eastAsia="Calibri" w:hAnsi="Calibri"/>
                <w:sz w:val="15"/>
                <w:szCs w:val="15"/>
                <w:color w:val="auto"/>
              </w:rPr>
              <w:t>173,486</w:t>
            </w:r>
          </w:p>
        </w:tc>
        <w:tc>
          <w:tcPr>
            <w:tcW w:w="80" w:type="dxa"/>
            <w:vAlign w:val="bottom"/>
          </w:tcPr>
          <w:p>
            <w:pPr>
              <w:spacing w:after="0"/>
              <w:rPr>
                <w:sz w:val="15"/>
                <w:szCs w:val="15"/>
                <w:color w:val="auto"/>
              </w:rPr>
            </w:pPr>
          </w:p>
        </w:tc>
        <w:tc>
          <w:tcPr>
            <w:tcW w:w="580" w:type="dxa"/>
            <w:vAlign w:val="bottom"/>
          </w:tcPr>
          <w:p>
            <w:pPr>
              <w:jc w:val="right"/>
              <w:ind w:right="403"/>
              <w:spacing w:after="0" w:line="177" w:lineRule="exact"/>
              <w:rPr>
                <w:sz w:val="20"/>
                <w:szCs w:val="20"/>
                <w:color w:val="auto"/>
              </w:rPr>
            </w:pPr>
            <w:r>
              <w:rPr>
                <w:rFonts w:ascii="Calibri" w:cs="Calibri" w:eastAsia="Calibri" w:hAnsi="Calibri"/>
                <w:sz w:val="15"/>
                <w:szCs w:val="15"/>
                <w:b w:val="1"/>
                <w:bCs w:val="1"/>
                <w:color w:val="auto"/>
              </w:rPr>
              <w:t>$</w:t>
            </w:r>
          </w:p>
        </w:tc>
        <w:tc>
          <w:tcPr>
            <w:tcW w:w="96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21,828</w:t>
            </w:r>
          </w:p>
        </w:tc>
        <w:tc>
          <w:tcPr>
            <w:tcW w:w="100" w:type="dxa"/>
            <w:vAlign w:val="bottom"/>
          </w:tcPr>
          <w:p>
            <w:pPr>
              <w:spacing w:after="0"/>
              <w:rPr>
                <w:sz w:val="15"/>
                <w:szCs w:val="15"/>
                <w:color w:val="auto"/>
              </w:rPr>
            </w:pPr>
          </w:p>
        </w:tc>
        <w:tc>
          <w:tcPr>
            <w:tcW w:w="300" w:type="dxa"/>
            <w:vAlign w:val="bottom"/>
          </w:tcPr>
          <w:p>
            <w:pPr>
              <w:jc w:val="right"/>
              <w:ind w:right="143"/>
              <w:spacing w:after="0" w:line="177" w:lineRule="exact"/>
              <w:rPr>
                <w:sz w:val="20"/>
                <w:szCs w:val="20"/>
                <w:color w:val="auto"/>
              </w:rPr>
            </w:pPr>
            <w:r>
              <w:rPr>
                <w:rFonts w:ascii="Calibri" w:cs="Calibri" w:eastAsia="Calibri" w:hAnsi="Calibri"/>
                <w:sz w:val="15"/>
                <w:szCs w:val="15"/>
                <w:color w:val="auto"/>
                <w:w w:val="78"/>
              </w:rPr>
              <w:t>$</w:t>
            </w: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19,495</w:t>
            </w:r>
          </w:p>
        </w:tc>
      </w:tr>
      <w:tr>
        <w:trPr>
          <w:trHeight w:val="22"/>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6"/>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Amounts deferred</w:t>
            </w:r>
          </w:p>
        </w:tc>
        <w:tc>
          <w:tcPr>
            <w:tcW w:w="5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3,601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3,262</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w:t>
            </w:r>
          </w:p>
        </w:tc>
      </w:tr>
      <w:tr>
        <w:trPr>
          <w:trHeight w:val="184"/>
        </w:trPr>
        <w:tc>
          <w:tcPr>
            <w:tcW w:w="4860" w:type="dxa"/>
            <w:vAlign w:val="bottom"/>
            <w:gridSpan w:val="2"/>
          </w:tcPr>
          <w:p>
            <w:pPr>
              <w:ind w:left="20"/>
              <w:spacing w:after="0"/>
              <w:rPr>
                <w:sz w:val="20"/>
                <w:szCs w:val="20"/>
                <w:color w:val="auto"/>
              </w:rPr>
            </w:pPr>
            <w:r>
              <w:rPr>
                <w:rFonts w:ascii="Calibri" w:cs="Calibri" w:eastAsia="Calibri" w:hAnsi="Calibri"/>
                <w:sz w:val="15"/>
                <w:szCs w:val="15"/>
                <w:color w:val="auto"/>
              </w:rPr>
              <w:t>Amounts recognized on previous deferrals</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b w:val="1"/>
                <w:bCs w:val="1"/>
                <w:color w:val="auto"/>
              </w:rPr>
              <w:t>(48,995)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alibri" w:cs="Calibri" w:eastAsia="Calibri" w:hAnsi="Calibri"/>
                <w:sz w:val="15"/>
                <w:szCs w:val="15"/>
                <w:color w:val="auto"/>
              </w:rPr>
              <w:t>(47,811)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b w:val="1"/>
                <w:bCs w:val="1"/>
                <w:color w:val="auto"/>
              </w:rPr>
              <w:t>(5,590)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color w:val="auto"/>
              </w:rPr>
              <w:t>(5,012)</w:t>
            </w: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9"/>
        </w:trPr>
        <w:tc>
          <w:tcPr>
            <w:tcW w:w="486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 end of the period</w:t>
            </w:r>
          </w:p>
        </w:tc>
        <w:tc>
          <w:tcPr>
            <w:tcW w:w="52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b w:val="1"/>
                <w:bCs w:val="1"/>
                <w:color w:val="auto"/>
                <w:w w:val="78"/>
              </w:rPr>
              <w:t>$</w:t>
            </w:r>
          </w:p>
        </w:tc>
        <w:tc>
          <w:tcPr>
            <w:tcW w:w="10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121,863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3"/>
              <w:spacing w:after="0" w:line="177" w:lineRule="exact"/>
              <w:rPr>
                <w:sz w:val="20"/>
                <w:szCs w:val="20"/>
                <w:color w:val="auto"/>
              </w:rPr>
            </w:pPr>
            <w:r>
              <w:rPr>
                <w:rFonts w:ascii="Calibri" w:cs="Calibri" w:eastAsia="Calibri" w:hAnsi="Calibri"/>
                <w:sz w:val="15"/>
                <w:szCs w:val="15"/>
                <w:color w:val="auto"/>
              </w:rPr>
              <w:t>$</w:t>
            </w:r>
          </w:p>
        </w:tc>
        <w:tc>
          <w:tcPr>
            <w:tcW w:w="13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128,937</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03"/>
              <w:spacing w:after="0" w:line="177" w:lineRule="exact"/>
              <w:rPr>
                <w:sz w:val="20"/>
                <w:szCs w:val="20"/>
                <w:color w:val="auto"/>
              </w:rPr>
            </w:pPr>
            <w:r>
              <w:rPr>
                <w:rFonts w:ascii="Calibri" w:cs="Calibri" w:eastAsia="Calibri" w:hAnsi="Calibri"/>
                <w:sz w:val="15"/>
                <w:szCs w:val="15"/>
                <w:b w:val="1"/>
                <w:bCs w:val="1"/>
                <w:color w:val="auto"/>
              </w:rPr>
              <w:t>$</w:t>
            </w:r>
          </w:p>
        </w:tc>
        <w:tc>
          <w:tcPr>
            <w:tcW w:w="9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16,246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3"/>
              <w:spacing w:after="0" w:line="177" w:lineRule="exact"/>
              <w:rPr>
                <w:sz w:val="20"/>
                <w:szCs w:val="20"/>
                <w:color w:val="auto"/>
              </w:rPr>
            </w:pPr>
            <w:r>
              <w:rPr>
                <w:rFonts w:ascii="Calibri" w:cs="Calibri" w:eastAsia="Calibri" w:hAnsi="Calibri"/>
                <w:sz w:val="15"/>
                <w:szCs w:val="15"/>
                <w:color w:val="auto"/>
                <w:w w:val="78"/>
              </w:rPr>
              <w:t>$</w:t>
            </w:r>
          </w:p>
        </w:tc>
        <w:tc>
          <w:tcPr>
            <w:tcW w:w="12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14,493</w:t>
            </w:r>
          </w:p>
        </w:tc>
      </w:tr>
      <w:tr>
        <w:trPr>
          <w:trHeight w:val="32"/>
        </w:trPr>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r>
    </w:tbl>
    <w:p>
      <w:pPr>
        <w:spacing w:after="0" w:line="172"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As of December 31, 2023, deferred revenue related to POM was $121.9 million. We expect that $89.9 million will be recognized over the next twelve months, while the remaining balance will be recognized over the following fve years.</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As of December 31, 2023 and 2022, Tax Identty Shield® (TIS) deferred revenue was $16.5 million and $16.8 million, respectvely. Deferred revenue related to TIS was $25.2 million and $25.8 million as of June 30, 2023 and 2022, respectvely. All deferred revenue related to TIS will be recognized by April 2024.</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3: EARNINGS PER SHARE AND STOCKHOLDERS' EQUITY</w:t>
      </w:r>
    </w:p>
    <w:p>
      <w:pPr>
        <w:spacing w:after="0" w:line="112"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b w:val="1"/>
          <w:bCs w:val="1"/>
          <w:color w:val="auto"/>
        </w:rPr>
        <w:t xml:space="preserve">EARNINGS PER SHARE </w:t>
      </w:r>
      <w:r>
        <w:rPr>
          <w:rFonts w:ascii="Calibri" w:cs="Calibri" w:eastAsia="Calibri" w:hAnsi="Calibri"/>
          <w:sz w:val="17"/>
          <w:szCs w:val="17"/>
          <w:color w:val="auto"/>
        </w:rPr>
        <w:t>– Basic and diluted earnings (loss) per share is computed using the two-class method. The two-class method is an earnings allocaton formula</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that determines net income per share for each class of common stock and partcipatng security according to dividends declared and partcipaton rights in undistributed earnings. Per share amounts are computed by dividing net income (loss) from contnuing operatons atributable to common shareholders by the weighted average shares outstanding during each period. Diluted earnings per share excludes the impact of shares of common stock issuable upon the lapse of certain restrictons or the exercise of optons to purchase 3.2 million shares for the three and six months ended December 31, 2023 and 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8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1"/>
          <w:szCs w:val="11"/>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color w:val="auto"/>
        </w:rPr>
        <w:t>shares for the three and six months ended December 31, 2022, as the efect would be antdilutve due to the net loss from contnuing operatons during the periods.</w:t>
      </w:r>
    </w:p>
    <w:p>
      <w:pPr>
        <w:spacing w:after="0" w:line="102"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The computatons of basic and diluted earnings (loss) per share from contnuing operatons are as follows:</w:t>
      </w:r>
    </w:p>
    <w:p>
      <w:pPr>
        <w:spacing w:after="0" w:line="125" w:lineRule="exact"/>
        <w:rPr>
          <w:sz w:val="20"/>
          <w:szCs w:val="20"/>
          <w:color w:val="auto"/>
        </w:rPr>
      </w:pPr>
    </w:p>
    <w:p>
      <w:pPr>
        <w:ind w:left="9240"/>
        <w:spacing w:after="0"/>
        <w:rPr>
          <w:sz w:val="20"/>
          <w:szCs w:val="20"/>
          <w:color w:val="auto"/>
        </w:rPr>
      </w:pPr>
      <w:r>
        <w:rPr>
          <w:rFonts w:ascii="Calibri" w:cs="Calibri" w:eastAsia="Calibri" w:hAnsi="Calibri"/>
          <w:sz w:val="13"/>
          <w:szCs w:val="13"/>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ind w:left="220"/>
              <w:spacing w:after="0"/>
              <w:rPr>
                <w:sz w:val="20"/>
                <w:szCs w:val="20"/>
                <w:color w:val="auto"/>
              </w:rPr>
            </w:pPr>
            <w:r>
              <w:rPr>
                <w:rFonts w:ascii="Calibri" w:cs="Calibri" w:eastAsia="Calibri" w:hAnsi="Calibri"/>
                <w:sz w:val="15"/>
                <w:szCs w:val="15"/>
                <w:color w:val="auto"/>
              </w:rPr>
              <w:t>Three months ended December 31,</w:t>
            </w:r>
          </w:p>
        </w:tc>
        <w:tc>
          <w:tcPr>
            <w:tcW w:w="360" w:type="dxa"/>
            <w:vAlign w:val="bottom"/>
          </w:tcPr>
          <w:p>
            <w:pPr>
              <w:spacing w:after="0"/>
              <w:rPr>
                <w:sz w:val="16"/>
                <w:szCs w:val="16"/>
                <w:color w:val="auto"/>
              </w:rPr>
            </w:pPr>
          </w:p>
        </w:tc>
        <w:tc>
          <w:tcPr>
            <w:tcW w:w="2900" w:type="dxa"/>
            <w:vAlign w:val="bottom"/>
            <w:gridSpan w:val="4"/>
          </w:tcPr>
          <w:p>
            <w:pPr>
              <w:jc w:val="right"/>
              <w:ind w:right="523"/>
              <w:spacing w:after="0"/>
              <w:rPr>
                <w:sz w:val="20"/>
                <w:szCs w:val="20"/>
                <w:color w:val="auto"/>
              </w:rPr>
            </w:pPr>
            <w:r>
              <w:rPr>
                <w:rFonts w:ascii="Calibri" w:cs="Calibri" w:eastAsia="Calibri" w:hAnsi="Calibri"/>
                <w:sz w:val="15"/>
                <w:szCs w:val="15"/>
                <w:color w:val="auto"/>
              </w:rPr>
              <w:t>Six months ended December 31,</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0" w:type="dxa"/>
            <w:vAlign w:val="bottom"/>
          </w:tcPr>
          <w:p>
            <w:pPr>
              <w:spacing w:after="0"/>
              <w:rPr>
                <w:sz w:val="1"/>
                <w:szCs w:val="1"/>
                <w:color w:val="auto"/>
              </w:rPr>
            </w:pPr>
          </w:p>
        </w:tc>
      </w:tr>
      <w:tr>
        <w:trPr>
          <w:trHeight w:val="22"/>
        </w:trPr>
        <w:tc>
          <w:tcPr>
            <w:tcW w:w="4640" w:type="dxa"/>
            <w:vAlign w:val="bottom"/>
            <w:vMerge w:val="restart"/>
          </w:tcPr>
          <w:p>
            <w:pPr>
              <w:ind w:left="20"/>
              <w:spacing w:after="0"/>
              <w:rPr>
                <w:sz w:val="20"/>
                <w:szCs w:val="20"/>
                <w:color w:val="auto"/>
              </w:rPr>
            </w:pPr>
            <w:r>
              <w:rPr>
                <w:rFonts w:ascii="Calibri" w:cs="Calibri" w:eastAsia="Calibri" w:hAnsi="Calibri"/>
                <w:sz w:val="15"/>
                <w:szCs w:val="15"/>
                <w:color w:val="auto"/>
              </w:rPr>
              <w:t>Net loss from contnuing operatons atributable to shareholders</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640" w:type="dxa"/>
            <w:vAlign w:val="bottom"/>
            <w:vMerge w:val="continue"/>
          </w:tcPr>
          <w:p>
            <w:pPr>
              <w:spacing w:after="0"/>
              <w:rPr>
                <w:sz w:val="15"/>
                <w:szCs w:val="15"/>
                <w:color w:val="auto"/>
              </w:rPr>
            </w:pPr>
          </w:p>
        </w:tc>
        <w:tc>
          <w:tcPr>
            <w:tcW w:w="300" w:type="dxa"/>
            <w:vAlign w:val="bottom"/>
          </w:tcPr>
          <w:p>
            <w:pPr>
              <w:jc w:val="right"/>
              <w:ind w:right="1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(189,116)</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(220,863)</w:t>
            </w:r>
          </w:p>
        </w:tc>
        <w:tc>
          <w:tcPr>
            <w:tcW w:w="80" w:type="dxa"/>
            <w:vAlign w:val="bottom"/>
          </w:tcPr>
          <w:p>
            <w:pPr>
              <w:spacing w:after="0"/>
              <w:rPr>
                <w:sz w:val="15"/>
                <w:szCs w:val="15"/>
                <w:color w:val="auto"/>
              </w:rPr>
            </w:pPr>
          </w:p>
        </w:tc>
        <w:tc>
          <w:tcPr>
            <w:tcW w:w="360" w:type="dxa"/>
            <w:vAlign w:val="bottom"/>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(351,989)</w:t>
            </w:r>
          </w:p>
        </w:tc>
        <w:tc>
          <w:tcPr>
            <w:tcW w:w="100" w:type="dxa"/>
            <w:vAlign w:val="bottom"/>
          </w:tcPr>
          <w:p>
            <w:pPr>
              <w:spacing w:after="0"/>
              <w:rPr>
                <w:sz w:val="15"/>
                <w:szCs w:val="15"/>
                <w:color w:val="auto"/>
              </w:rPr>
            </w:pPr>
          </w:p>
        </w:tc>
        <w:tc>
          <w:tcPr>
            <w:tcW w:w="520" w:type="dxa"/>
            <w:vAlign w:val="bottom"/>
          </w:tcPr>
          <w:p>
            <w:pPr>
              <w:jc w:val="right"/>
              <w:ind w:right="34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(388,230)</w:t>
            </w: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5"/>
                <w:szCs w:val="15"/>
                <w:color w:val="auto"/>
              </w:rPr>
              <w:t>Amounts allocated to partcipatng securites</w:t>
            </w:r>
          </w:p>
        </w:tc>
        <w:tc>
          <w:tcPr>
            <w:tcW w:w="3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(192)</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(192)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(369)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(371)</w:t>
            </w:r>
          </w:p>
        </w:tc>
        <w:tc>
          <w:tcPr>
            <w:tcW w:w="0" w:type="dxa"/>
            <w:vAlign w:val="bottom"/>
          </w:tcPr>
          <w:p>
            <w:pPr>
              <w:spacing w:after="0"/>
              <w:rPr>
                <w:sz w:val="1"/>
                <w:szCs w:val="1"/>
                <w:color w:val="auto"/>
              </w:rPr>
            </w:pPr>
          </w:p>
        </w:tc>
      </w:tr>
      <w:tr>
        <w:trPr>
          <w:trHeight w:val="130"/>
        </w:trPr>
        <w:tc>
          <w:tcPr>
            <w:tcW w:w="4640" w:type="dxa"/>
            <w:vAlign w:val="bottom"/>
          </w:tcPr>
          <w:p>
            <w:pPr>
              <w:ind w:left="20"/>
              <w:spacing w:after="0" w:line="131" w:lineRule="exact"/>
              <w:rPr>
                <w:sz w:val="20"/>
                <w:szCs w:val="20"/>
                <w:color w:val="auto"/>
              </w:rPr>
            </w:pPr>
            <w:r>
              <w:rPr>
                <w:rFonts w:ascii="Calibri" w:cs="Calibri" w:eastAsia="Calibri" w:hAnsi="Calibri"/>
                <w:sz w:val="14"/>
                <w:szCs w:val="14"/>
                <w:color w:val="auto"/>
              </w:rPr>
              <w:t>Net loss from contnuing operatons atributable to common</w:t>
            </w: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640" w:type="dxa"/>
            <w:vAlign w:val="bottom"/>
          </w:tcPr>
          <w:p>
            <w:pPr>
              <w:ind w:left="180"/>
              <w:spacing w:after="0"/>
              <w:rPr>
                <w:sz w:val="20"/>
                <w:szCs w:val="20"/>
                <w:color w:val="auto"/>
              </w:rPr>
            </w:pPr>
            <w:r>
              <w:rPr>
                <w:rFonts w:ascii="Calibri" w:cs="Calibri" w:eastAsia="Calibri" w:hAnsi="Calibri"/>
                <w:sz w:val="15"/>
                <w:szCs w:val="15"/>
                <w:color w:val="auto"/>
              </w:rPr>
              <w:t>shareholders</w:t>
            </w:r>
          </w:p>
        </w:tc>
        <w:tc>
          <w:tcPr>
            <w:tcW w:w="300" w:type="dxa"/>
            <w:vAlign w:val="bottom"/>
          </w:tcPr>
          <w:p>
            <w:pPr>
              <w:jc w:val="right"/>
              <w:ind w:right="123"/>
              <w:spacing w:after="0"/>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(189,308)</w:t>
            </w:r>
          </w:p>
        </w:tc>
        <w:tc>
          <w:tcPr>
            <w:tcW w:w="80" w:type="dxa"/>
            <w:vAlign w:val="bottom"/>
          </w:tcPr>
          <w:p>
            <w:pPr>
              <w:spacing w:after="0"/>
              <w:rPr>
                <w:sz w:val="16"/>
                <w:szCs w:val="16"/>
                <w:color w:val="auto"/>
              </w:rPr>
            </w:pPr>
          </w:p>
        </w:tc>
        <w:tc>
          <w:tcPr>
            <w:tcW w:w="540" w:type="dxa"/>
            <w:vAlign w:val="bottom"/>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rPr>
                <w:sz w:val="20"/>
                <w:szCs w:val="20"/>
                <w:color w:val="auto"/>
              </w:rPr>
            </w:pPr>
            <w:r>
              <w:rPr>
                <w:rFonts w:ascii="Calibri" w:cs="Calibri" w:eastAsia="Calibri" w:hAnsi="Calibri"/>
                <w:sz w:val="15"/>
                <w:szCs w:val="15"/>
                <w:color w:val="auto"/>
              </w:rPr>
              <w:t>(221,055)</w:t>
            </w:r>
          </w:p>
        </w:tc>
        <w:tc>
          <w:tcPr>
            <w:tcW w:w="80" w:type="dxa"/>
            <w:vAlign w:val="bottom"/>
          </w:tcPr>
          <w:p>
            <w:pPr>
              <w:spacing w:after="0"/>
              <w:rPr>
                <w:sz w:val="16"/>
                <w:szCs w:val="16"/>
                <w:color w:val="auto"/>
              </w:rPr>
            </w:pPr>
          </w:p>
        </w:tc>
        <w:tc>
          <w:tcPr>
            <w:tcW w:w="360" w:type="dxa"/>
            <w:vAlign w:val="bottom"/>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(352,358)</w:t>
            </w:r>
          </w:p>
        </w:tc>
        <w:tc>
          <w:tcPr>
            <w:tcW w:w="100" w:type="dxa"/>
            <w:vAlign w:val="bottom"/>
          </w:tcPr>
          <w:p>
            <w:pPr>
              <w:spacing w:after="0"/>
              <w:rPr>
                <w:sz w:val="16"/>
                <w:szCs w:val="16"/>
                <w:color w:val="auto"/>
              </w:rPr>
            </w:pPr>
          </w:p>
        </w:tc>
        <w:tc>
          <w:tcPr>
            <w:tcW w:w="520" w:type="dxa"/>
            <w:vAlign w:val="bottom"/>
          </w:tcPr>
          <w:p>
            <w:pPr>
              <w:jc w:val="right"/>
              <w:ind w:right="343"/>
              <w:spacing w:after="0"/>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rPr>
                <w:sz w:val="20"/>
                <w:szCs w:val="20"/>
                <w:color w:val="auto"/>
              </w:rPr>
            </w:pPr>
            <w:r>
              <w:rPr>
                <w:rFonts w:ascii="Calibri" w:cs="Calibri" w:eastAsia="Calibri" w:hAnsi="Calibri"/>
                <w:sz w:val="15"/>
                <w:szCs w:val="15"/>
                <w:color w:val="auto"/>
              </w:rPr>
              <w:t>(388,601)</w:t>
            </w:r>
          </w:p>
        </w:tc>
        <w:tc>
          <w:tcPr>
            <w:tcW w:w="0" w:type="dxa"/>
            <w:vAlign w:val="bottom"/>
          </w:tcPr>
          <w:p>
            <w:pPr>
              <w:spacing w:after="0"/>
              <w:rPr>
                <w:sz w:val="1"/>
                <w:szCs w:val="1"/>
                <w:color w:val="auto"/>
              </w:rPr>
            </w:pPr>
          </w:p>
        </w:tc>
      </w:tr>
      <w:tr>
        <w:trPr>
          <w:trHeight w:val="26"/>
        </w:trPr>
        <w:tc>
          <w:tcPr>
            <w:tcW w:w="4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40" w:type="dxa"/>
            <w:vAlign w:val="bottom"/>
          </w:tcPr>
          <w:p>
            <w:pPr>
              <w:ind w:left="20"/>
              <w:spacing w:after="0"/>
              <w:rPr>
                <w:sz w:val="20"/>
                <w:szCs w:val="20"/>
                <w:color w:val="auto"/>
              </w:rPr>
            </w:pPr>
            <w:r>
              <w:rPr>
                <w:rFonts w:ascii="Calibri" w:cs="Calibri" w:eastAsia="Calibri" w:hAnsi="Calibri"/>
                <w:sz w:val="15"/>
                <w:szCs w:val="15"/>
                <w:color w:val="auto"/>
              </w:rPr>
              <w:t>Basic weighted average common shares</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142,340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154,119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144,307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156,701</w:t>
            </w:r>
          </w:p>
        </w:tc>
        <w:tc>
          <w:tcPr>
            <w:tcW w:w="0" w:type="dxa"/>
            <w:vAlign w:val="bottom"/>
          </w:tcPr>
          <w:p>
            <w:pPr>
              <w:spacing w:after="0"/>
              <w:rPr>
                <w:sz w:val="1"/>
                <w:szCs w:val="1"/>
                <w:color w:val="auto"/>
              </w:rPr>
            </w:pPr>
          </w:p>
        </w:tc>
      </w:tr>
      <w:tr>
        <w:trPr>
          <w:trHeight w:val="22"/>
        </w:trPr>
        <w:tc>
          <w:tcPr>
            <w:tcW w:w="4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5"/>
                <w:szCs w:val="15"/>
                <w:color w:val="auto"/>
              </w:rPr>
              <w:t>Potental dilutve shares</w:t>
            </w:r>
          </w:p>
        </w:tc>
        <w:tc>
          <w:tcPr>
            <w:tcW w:w="3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5"/>
                <w:szCs w:val="15"/>
                <w:b w:val="1"/>
                <w:bCs w:val="1"/>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77"/>
        </w:trPr>
        <w:tc>
          <w:tcPr>
            <w:tcW w:w="4640" w:type="dxa"/>
            <w:vAlign w:val="bottom"/>
          </w:tcPr>
          <w:p>
            <w:pPr>
              <w:ind w:left="20"/>
              <w:spacing w:after="0" w:line="173" w:lineRule="exact"/>
              <w:rPr>
                <w:sz w:val="20"/>
                <w:szCs w:val="20"/>
                <w:color w:val="auto"/>
              </w:rPr>
            </w:pPr>
            <w:r>
              <w:rPr>
                <w:rFonts w:ascii="Calibri" w:cs="Calibri" w:eastAsia="Calibri" w:hAnsi="Calibri"/>
                <w:sz w:val="15"/>
                <w:szCs w:val="15"/>
                <w:color w:val="auto"/>
              </w:rPr>
              <w:t>Dilutve weighted average common shares</w:t>
            </w: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142,340</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154,119</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144,307</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156,701</w:t>
            </w:r>
          </w:p>
        </w:tc>
        <w:tc>
          <w:tcPr>
            <w:tcW w:w="0" w:type="dxa"/>
            <w:vAlign w:val="bottom"/>
          </w:tcPr>
          <w:p>
            <w:pPr>
              <w:spacing w:after="0"/>
              <w:rPr>
                <w:sz w:val="1"/>
                <w:szCs w:val="1"/>
                <w:color w:val="auto"/>
              </w:rPr>
            </w:pPr>
          </w:p>
        </w:tc>
      </w:tr>
      <w:tr>
        <w:trPr>
          <w:trHeight w:val="22"/>
        </w:trPr>
        <w:tc>
          <w:tcPr>
            <w:tcW w:w="4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640" w:type="dxa"/>
            <w:vAlign w:val="bottom"/>
          </w:tcPr>
          <w:p>
            <w:pPr>
              <w:ind w:left="20"/>
              <w:spacing w:after="0" w:line="151" w:lineRule="exact"/>
              <w:rPr>
                <w:sz w:val="20"/>
                <w:szCs w:val="20"/>
                <w:color w:val="auto"/>
              </w:rPr>
            </w:pPr>
            <w:r>
              <w:rPr>
                <w:rFonts w:ascii="Calibri" w:cs="Calibri" w:eastAsia="Calibri" w:hAnsi="Calibri"/>
                <w:sz w:val="15"/>
                <w:szCs w:val="15"/>
                <w:color w:val="auto"/>
              </w:rPr>
              <w:t>Loss per share from contnuing operatons atributable to common</w:t>
            </w: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640" w:type="dxa"/>
            <w:vAlign w:val="bottom"/>
          </w:tcPr>
          <w:p>
            <w:pPr>
              <w:ind w:left="180"/>
              <w:spacing w:after="0"/>
              <w:rPr>
                <w:sz w:val="20"/>
                <w:szCs w:val="20"/>
                <w:color w:val="auto"/>
              </w:rPr>
            </w:pPr>
            <w:r>
              <w:rPr>
                <w:rFonts w:ascii="Calibri" w:cs="Calibri" w:eastAsia="Calibri" w:hAnsi="Calibri"/>
                <w:sz w:val="15"/>
                <w:szCs w:val="15"/>
                <w:color w:val="auto"/>
              </w:rPr>
              <w:t>shareholders: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64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5"/>
                <w:szCs w:val="15"/>
                <w:color w:val="auto"/>
              </w:rPr>
              <w:t>Basic</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(1.33)</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3"/>
              <w:spacing w:after="0"/>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Calibri" w:cs="Calibri" w:eastAsia="Calibri" w:hAnsi="Calibri"/>
                <w:sz w:val="15"/>
                <w:szCs w:val="15"/>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(2.44)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43"/>
              <w:spacing w:after="0"/>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(2.48)</w:t>
            </w:r>
          </w:p>
        </w:tc>
        <w:tc>
          <w:tcPr>
            <w:tcW w:w="0" w:type="dxa"/>
            <w:vAlign w:val="bottom"/>
          </w:tcPr>
          <w:p>
            <w:pPr>
              <w:spacing w:after="0"/>
              <w:rPr>
                <w:sz w:val="1"/>
                <w:szCs w:val="1"/>
                <w:color w:val="auto"/>
              </w:rPr>
            </w:pPr>
          </w:p>
        </w:tc>
      </w:tr>
      <w:tr>
        <w:trPr>
          <w:trHeight w:val="184"/>
        </w:trPr>
        <w:tc>
          <w:tcPr>
            <w:tcW w:w="4640" w:type="dxa"/>
            <w:vAlign w:val="bottom"/>
          </w:tcPr>
          <w:p>
            <w:pPr>
              <w:ind w:left="140"/>
              <w:spacing w:after="0"/>
              <w:rPr>
                <w:sz w:val="20"/>
                <w:szCs w:val="20"/>
                <w:color w:val="auto"/>
              </w:rPr>
            </w:pPr>
            <w:r>
              <w:rPr>
                <w:rFonts w:ascii="Calibri" w:cs="Calibri" w:eastAsia="Calibri" w:hAnsi="Calibri"/>
                <w:sz w:val="15"/>
                <w:szCs w:val="15"/>
                <w:color w:val="auto"/>
              </w:rPr>
              <w:t>Diluted</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(1.33)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(1.43)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5"/>
                <w:szCs w:val="15"/>
                <w:b w:val="1"/>
                <w:bCs w:val="1"/>
                <w:color w:val="auto"/>
              </w:rPr>
              <w:t>(2.44)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(2.48)</w:t>
            </w:r>
          </w:p>
        </w:tc>
        <w:tc>
          <w:tcPr>
            <w:tcW w:w="0" w:type="dxa"/>
            <w:vAlign w:val="bottom"/>
          </w:tcPr>
          <w:p>
            <w:pPr>
              <w:spacing w:after="0"/>
              <w:rPr>
                <w:sz w:val="1"/>
                <w:szCs w:val="1"/>
                <w:color w:val="auto"/>
              </w:rPr>
            </w:pPr>
          </w:p>
        </w:tc>
      </w:tr>
      <w:tr>
        <w:trPr>
          <w:trHeight w:val="54"/>
        </w:trPr>
        <w:tc>
          <w:tcPr>
            <w:tcW w:w="46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The decrease in the weighted average shares outstanding is due to share repurchases completed in the current and prior fscal years.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STOCK-BASED COMPENSATION </w:t>
      </w:r>
      <w:r>
        <w:rPr>
          <w:rFonts w:ascii="Calibri" w:cs="Calibri" w:eastAsia="Calibri" w:hAnsi="Calibri"/>
          <w:sz w:val="17"/>
          <w:szCs w:val="17"/>
          <w:color w:val="auto"/>
        </w:rPr>
        <w:t>– We granted 1.7 million and 1.0 million shares, including adjustments for performance achievement and dividend equivalents,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under our stock-based compensaton plans during the six months ended December 31, 2023 and 2022, respectvely. Stock-based compensaton expense of our contnuing operatons totaled $9.9 million and $17.5 million for the three and six months ended December 31, 2023, respectvely, and $10.2 million and $17.9 million for the three and six months ended December 31, 2022, respectvely. As of December 31, 2023, unrecognized compensaton cost for nonvested shares and units totaled $59.2 million.</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4: RECEIVABLES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Receivables, net of their related allowance, consist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alibri" w:cs="Calibri" w:eastAsia="Calibri" w:hAnsi="Calibri"/>
                <w:sz w:val="14"/>
                <w:szCs w:val="14"/>
                <w:color w:val="auto"/>
              </w:rPr>
              <w:t>(in 000s)</w:t>
            </w:r>
          </w:p>
        </w:tc>
        <w:tc>
          <w:tcPr>
            <w:tcW w:w="0" w:type="dxa"/>
            <w:vAlign w:val="bottom"/>
          </w:tcPr>
          <w:p>
            <w:pPr>
              <w:spacing w:after="0"/>
              <w:rPr>
                <w:sz w:val="1"/>
                <w:szCs w:val="1"/>
                <w:color w:val="auto"/>
              </w:rPr>
            </w:pPr>
          </w:p>
        </w:tc>
      </w:tr>
      <w:tr>
        <w:trPr>
          <w:trHeight w:val="43"/>
        </w:trPr>
        <w:tc>
          <w:tcPr>
            <w:tcW w:w="458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458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500" w:type="dxa"/>
            <w:vAlign w:val="bottom"/>
          </w:tcPr>
          <w:p>
            <w:pPr>
              <w:spacing w:after="0"/>
              <w:rPr>
                <w:sz w:val="15"/>
                <w:szCs w:val="15"/>
                <w:color w:val="auto"/>
              </w:rPr>
            </w:pPr>
          </w:p>
        </w:tc>
        <w:tc>
          <w:tcPr>
            <w:tcW w:w="1940" w:type="dxa"/>
            <w:vAlign w:val="bottom"/>
            <w:gridSpan w:val="3"/>
          </w:tcPr>
          <w:p>
            <w:pPr>
              <w:jc w:val="right"/>
              <w:ind w:right="103"/>
              <w:spacing w:after="0" w:line="177" w:lineRule="exact"/>
              <w:rPr>
                <w:sz w:val="20"/>
                <w:szCs w:val="20"/>
                <w:color w:val="auto"/>
              </w:rPr>
            </w:pPr>
            <w:r>
              <w:rPr>
                <w:rFonts w:ascii="Calibri" w:cs="Calibri" w:eastAsia="Calibri" w:hAnsi="Calibri"/>
                <w:sz w:val="15"/>
                <w:szCs w:val="15"/>
                <w:b w:val="1"/>
                <w:bCs w:val="1"/>
                <w:color w:val="auto"/>
              </w:rPr>
              <w:t>December 31, 2023</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gridSpan w:val="3"/>
          </w:tcPr>
          <w:p>
            <w:pPr>
              <w:jc w:val="right"/>
              <w:ind w:right="183"/>
              <w:spacing w:after="0" w:line="177" w:lineRule="exact"/>
              <w:rPr>
                <w:sz w:val="20"/>
                <w:szCs w:val="20"/>
                <w:color w:val="auto"/>
              </w:rPr>
            </w:pPr>
            <w:r>
              <w:rPr>
                <w:rFonts w:ascii="Calibri" w:cs="Calibri" w:eastAsia="Calibri" w:hAnsi="Calibri"/>
                <w:sz w:val="15"/>
                <w:szCs w:val="15"/>
                <w:color w:val="auto"/>
              </w:rPr>
              <w:t>June 30, 2023</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400"/>
              <w:spacing w:after="0" w:line="177" w:lineRule="exact"/>
              <w:rPr>
                <w:sz w:val="20"/>
                <w:szCs w:val="20"/>
                <w:color w:val="auto"/>
              </w:rPr>
            </w:pPr>
            <w:r>
              <w:rPr>
                <w:rFonts w:ascii="Calibri" w:cs="Calibri" w:eastAsia="Calibri" w:hAnsi="Calibri"/>
                <w:sz w:val="15"/>
                <w:szCs w:val="15"/>
                <w:color w:val="auto"/>
              </w:rPr>
              <w:t>Short-term</w:t>
            </w:r>
          </w:p>
        </w:tc>
        <w:tc>
          <w:tcPr>
            <w:tcW w:w="7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Long-term</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400"/>
              <w:spacing w:after="0" w:line="177" w:lineRule="exact"/>
              <w:rPr>
                <w:sz w:val="20"/>
                <w:szCs w:val="20"/>
                <w:color w:val="auto"/>
              </w:rPr>
            </w:pPr>
            <w:r>
              <w:rPr>
                <w:rFonts w:ascii="Calibri" w:cs="Calibri" w:eastAsia="Calibri" w:hAnsi="Calibri"/>
                <w:sz w:val="15"/>
                <w:szCs w:val="15"/>
                <w:color w:val="auto"/>
              </w:rPr>
              <w:t>Short-term</w:t>
            </w:r>
          </w:p>
        </w:tc>
        <w:tc>
          <w:tcPr>
            <w:tcW w:w="6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Long-term</w:t>
            </w:r>
          </w:p>
        </w:tc>
        <w:tc>
          <w:tcPr>
            <w:tcW w:w="0" w:type="dxa"/>
            <w:vAlign w:val="bottom"/>
          </w:tcPr>
          <w:p>
            <w:pPr>
              <w:spacing w:after="0"/>
              <w:rPr>
                <w:sz w:val="1"/>
                <w:szCs w:val="1"/>
                <w:color w:val="auto"/>
              </w:rPr>
            </w:pPr>
          </w:p>
        </w:tc>
      </w:tr>
      <w:tr>
        <w:trPr>
          <w:trHeight w:val="22"/>
        </w:trPr>
        <w:tc>
          <w:tcPr>
            <w:tcW w:w="4580" w:type="dxa"/>
            <w:vAlign w:val="bottom"/>
            <w:gridSpan w:val="2"/>
            <w:vMerge w:val="restart"/>
          </w:tcPr>
          <w:p>
            <w:pPr>
              <w:ind w:left="20"/>
              <w:spacing w:after="0"/>
              <w:rPr>
                <w:sz w:val="20"/>
                <w:szCs w:val="20"/>
                <w:color w:val="auto"/>
              </w:rPr>
            </w:pPr>
            <w:r>
              <w:rPr>
                <w:rFonts w:ascii="Calibri" w:cs="Calibri" w:eastAsia="Calibri" w:hAnsi="Calibri"/>
                <w:sz w:val="15"/>
                <w:szCs w:val="15"/>
                <w:color w:val="auto"/>
              </w:rPr>
              <w:t>Loans to franchisees</w:t>
            </w: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580" w:type="dxa"/>
            <w:vAlign w:val="bottom"/>
            <w:gridSpan w:val="2"/>
            <w:vMerge w:val="continue"/>
          </w:tcPr>
          <w:p>
            <w:pPr>
              <w:spacing w:after="0"/>
              <w:rPr>
                <w:sz w:val="15"/>
                <w:szCs w:val="15"/>
                <w:color w:val="auto"/>
              </w:rPr>
            </w:pPr>
          </w:p>
        </w:tc>
        <w:tc>
          <w:tcPr>
            <w:tcW w:w="500" w:type="dxa"/>
            <w:vAlign w:val="bottom"/>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1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19,743</w:t>
            </w:r>
          </w:p>
        </w:tc>
        <w:tc>
          <w:tcPr>
            <w:tcW w:w="80" w:type="dxa"/>
            <w:vAlign w:val="bottom"/>
          </w:tcPr>
          <w:p>
            <w:pPr>
              <w:spacing w:after="0"/>
              <w:rPr>
                <w:sz w:val="15"/>
                <w:szCs w:val="15"/>
                <w:color w:val="auto"/>
              </w:rPr>
            </w:pPr>
          </w:p>
        </w:tc>
        <w:tc>
          <w:tcPr>
            <w:tcW w:w="760" w:type="dxa"/>
            <w:vAlign w:val="bottom"/>
          </w:tcPr>
          <w:p>
            <w:pPr>
              <w:jc w:val="right"/>
              <w:ind w:right="583"/>
              <w:spacing w:after="0" w:line="177" w:lineRule="exact"/>
              <w:rPr>
                <w:sz w:val="20"/>
                <w:szCs w:val="20"/>
                <w:color w:val="auto"/>
              </w:rPr>
            </w:pPr>
            <w:r>
              <w:rPr>
                <w:rFonts w:ascii="Calibri" w:cs="Calibri" w:eastAsia="Calibri" w:hAnsi="Calibri"/>
                <w:sz w:val="15"/>
                <w:szCs w:val="15"/>
                <w:b w:val="1"/>
                <w:bCs w:val="1"/>
                <w:color w:val="auto"/>
              </w:rPr>
              <w:t>$</w:t>
            </w:r>
          </w:p>
        </w:tc>
        <w:tc>
          <w:tcPr>
            <w:tcW w:w="8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20,303</w:t>
            </w:r>
          </w:p>
        </w:tc>
        <w:tc>
          <w:tcPr>
            <w:tcW w:w="100" w:type="dxa"/>
            <w:vAlign w:val="bottom"/>
          </w:tcPr>
          <w:p>
            <w:pPr>
              <w:spacing w:after="0"/>
              <w:rPr>
                <w:sz w:val="15"/>
                <w:szCs w:val="15"/>
                <w:color w:val="auto"/>
              </w:rPr>
            </w:pPr>
          </w:p>
        </w:tc>
        <w:tc>
          <w:tcPr>
            <w:tcW w:w="500" w:type="dxa"/>
            <w:vAlign w:val="bottom"/>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Pr>
          <w:p>
            <w:pPr>
              <w:jc w:val="right"/>
              <w:spacing w:after="0" w:line="177" w:lineRule="exact"/>
              <w:rPr>
                <w:sz w:val="20"/>
                <w:szCs w:val="20"/>
                <w:color w:val="auto"/>
              </w:rPr>
            </w:pPr>
            <w:r>
              <w:rPr>
                <w:rFonts w:ascii="Calibri" w:cs="Calibri" w:eastAsia="Calibri" w:hAnsi="Calibri"/>
                <w:sz w:val="15"/>
                <w:szCs w:val="15"/>
                <w:color w:val="auto"/>
              </w:rPr>
              <w:t>6,344</w:t>
            </w:r>
          </w:p>
        </w:tc>
        <w:tc>
          <w:tcPr>
            <w:tcW w:w="80" w:type="dxa"/>
            <w:vAlign w:val="bottom"/>
          </w:tcPr>
          <w:p>
            <w:pPr>
              <w:spacing w:after="0"/>
              <w:rPr>
                <w:sz w:val="15"/>
                <w:szCs w:val="15"/>
                <w:color w:val="auto"/>
              </w:rPr>
            </w:pPr>
          </w:p>
        </w:tc>
        <w:tc>
          <w:tcPr>
            <w:tcW w:w="660" w:type="dxa"/>
            <w:vAlign w:val="bottom"/>
          </w:tcPr>
          <w:p>
            <w:pPr>
              <w:jc w:val="right"/>
              <w:ind w:right="48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line="177" w:lineRule="exact"/>
              <w:rPr>
                <w:sz w:val="20"/>
                <w:szCs w:val="20"/>
                <w:color w:val="auto"/>
              </w:rPr>
            </w:pPr>
            <w:r>
              <w:rPr>
                <w:rFonts w:ascii="Calibri" w:cs="Calibri" w:eastAsia="Calibri" w:hAnsi="Calibri"/>
                <w:sz w:val="15"/>
                <w:szCs w:val="15"/>
                <w:color w:val="auto"/>
              </w:rPr>
              <w:t>19,206</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Receivables for U.S. assisted and DIY tax preparaton and related fees</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6,901</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6,925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11,061</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6,824</w:t>
            </w:r>
          </w:p>
        </w:tc>
        <w:tc>
          <w:tcPr>
            <w:tcW w:w="0" w:type="dxa"/>
            <w:vAlign w:val="bottom"/>
          </w:tcPr>
          <w:p>
            <w:pPr>
              <w:spacing w:after="0"/>
              <w:rPr>
                <w:sz w:val="1"/>
                <w:szCs w:val="1"/>
                <w:color w:val="auto"/>
              </w:rPr>
            </w:pP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H&amp;R Block's Instant Refund® receivables</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3,460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b w:val="1"/>
                <w:bCs w:val="1"/>
                <w:color w:val="auto"/>
              </w:rPr>
              <w:t>305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8,499</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414</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Emerald Advance</w:t>
            </w:r>
            <w:r>
              <w:rPr>
                <w:rFonts w:ascii="Calibri" w:cs="Calibri" w:eastAsia="Calibri" w:hAnsi="Calibri"/>
                <w:sz w:val="20"/>
                <w:szCs w:val="20"/>
                <w:color w:val="auto"/>
                <w:vertAlign w:val="superscript"/>
              </w:rPr>
              <w:t>SM</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347,025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9,410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10,834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7,089</w:t>
            </w:r>
          </w:p>
        </w:tc>
        <w:tc>
          <w:tcPr>
            <w:tcW w:w="0" w:type="dxa"/>
            <w:vAlign w:val="bottom"/>
          </w:tcPr>
          <w:p>
            <w:pPr>
              <w:spacing w:after="0"/>
              <w:rPr>
                <w:sz w:val="1"/>
                <w:szCs w:val="1"/>
                <w:color w:val="auto"/>
              </w:rPr>
            </w:pP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Sofware receivables from retailers</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2,669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Calibri" w:cs="Calibri" w:eastAsia="Calibri" w:hAnsi="Calibri"/>
                <w:sz w:val="15"/>
                <w:szCs w:val="15"/>
                <w:b w:val="1"/>
                <w:bCs w:val="1"/>
                <w:color w:val="auto"/>
              </w:rPr>
              <w:t>—</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1,650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Royaltes and other receivables from franchisees</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5,553</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5"/>
                <w:szCs w:val="15"/>
                <w:b w:val="1"/>
                <w:bCs w:val="1"/>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3,416</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Wave payment processing receivables</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1,758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Calibri" w:cs="Calibri" w:eastAsia="Calibri" w:hAnsi="Calibri"/>
                <w:sz w:val="15"/>
                <w:szCs w:val="15"/>
                <w:b w:val="1"/>
                <w:bCs w:val="1"/>
                <w:color w:val="auto"/>
              </w:rPr>
              <w:t>—</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964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w:t>
            </w: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10,344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1,631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17,219</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1,108</w:t>
            </w:r>
          </w:p>
        </w:tc>
        <w:tc>
          <w:tcPr>
            <w:tcW w:w="0" w:type="dxa"/>
            <w:vAlign w:val="bottom"/>
          </w:tcPr>
          <w:p>
            <w:pPr>
              <w:spacing w:after="0"/>
              <w:rPr>
                <w:sz w:val="1"/>
                <w:szCs w:val="1"/>
                <w:color w:val="auto"/>
              </w:rPr>
            </w:pPr>
          </w:p>
        </w:tc>
      </w:tr>
      <w:tr>
        <w:trPr>
          <w:trHeight w:val="177"/>
        </w:trPr>
        <w:tc>
          <w:tcPr>
            <w:tcW w:w="45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Total</w:t>
            </w: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397,453</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583"/>
              <w:spacing w:after="0" w:line="177" w:lineRule="exact"/>
              <w:rPr>
                <w:sz w:val="20"/>
                <w:szCs w:val="20"/>
                <w:color w:val="auto"/>
              </w:rPr>
            </w:pPr>
            <w:r>
              <w:rPr>
                <w:rFonts w:ascii="Calibri" w:cs="Calibri" w:eastAsia="Calibri" w:hAnsi="Calibri"/>
                <w:sz w:val="15"/>
                <w:szCs w:val="15"/>
                <w:b w:val="1"/>
                <w:bCs w:val="1"/>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38,574</w:t>
            </w:r>
          </w:p>
        </w:tc>
        <w:tc>
          <w:tcPr>
            <w:tcW w:w="100" w:type="dxa"/>
            <w:vAlign w:val="bottom"/>
          </w:tcPr>
          <w:p>
            <w:pPr>
              <w:spacing w:after="0"/>
              <w:rPr>
                <w:sz w:val="15"/>
                <w:szCs w:val="15"/>
                <w:color w:val="auto"/>
              </w:rPr>
            </w:pP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59,987</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48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34,641</w:t>
            </w:r>
          </w:p>
        </w:tc>
        <w:tc>
          <w:tcPr>
            <w:tcW w:w="0" w:type="dxa"/>
            <w:vAlign w:val="bottom"/>
          </w:tcPr>
          <w:p>
            <w:pPr>
              <w:spacing w:after="0"/>
              <w:rPr>
                <w:sz w:val="1"/>
                <w:szCs w:val="1"/>
                <w:color w:val="auto"/>
              </w:rPr>
            </w:pPr>
          </w:p>
        </w:tc>
      </w:tr>
      <w:tr>
        <w:trPr>
          <w:trHeight w:val="59"/>
        </w:trPr>
        <w:tc>
          <w:tcPr>
            <w:tcW w:w="44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hanging="224"/>
        <w:spacing w:after="0"/>
        <w:tabs>
          <w:tab w:leader="none" w:pos="360" w:val="left"/>
        </w:tabs>
        <w:numPr>
          <w:ilvl w:val="0"/>
          <w:numId w:val="8"/>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Balances presented above as short-term are included in receivables, while the long-term portons are included in other noncurrent assets in the consolidated balance sheets.</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b w:val="1"/>
          <w:bCs w:val="1"/>
          <w:color w:val="auto"/>
        </w:rPr>
        <w:t xml:space="preserve">LOANS TO FRANCHISEES </w:t>
      </w:r>
      <w:r>
        <w:rPr>
          <w:rFonts w:ascii="Calibri" w:cs="Calibri" w:eastAsia="Calibri" w:hAnsi="Calibri"/>
          <w:sz w:val="17"/>
          <w:szCs w:val="17"/>
          <w:color w:val="auto"/>
        </w:rPr>
        <w:t>– Franchisee loan balances consist of term loans made primarily to fnance the purchase of franchises and revolving lines of credit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primarily for the purpose of funding working capital needs. As of December 31, 2023 and June 30, 2023, loans with a principal balance more than 90 days past due, or on non-accrual status, are not material.</w:t>
      </w:r>
    </w:p>
    <w:p>
      <w:pPr>
        <w:spacing w:after="0" w:line="105"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b w:val="1"/>
          <w:bCs w:val="1"/>
          <w:color w:val="auto"/>
        </w:rPr>
        <w:t>H&amp;R BLOCK'S INSTANT REFUND</w:t>
      </w:r>
      <w:r>
        <w:rPr>
          <w:rFonts w:ascii="Calibri" w:cs="Calibri" w:eastAsia="Calibri" w:hAnsi="Calibri"/>
          <w:sz w:val="17"/>
          <w:szCs w:val="17"/>
          <w:color w:val="auto"/>
        </w:rPr>
        <w:t>® – H&amp;R Block's Instant Refund® amounts are generally received from the Canada Revenue Agency within 60 days of fling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client's return, with the remaining balance collectble from the client.</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review the credit quality of our Instant Refund receivables based on pools, which are segregated by the tax return year of originaton, with older years being deemed more unlikely to be repaid. We establish an allowance for credit losses at an amount that we believe refects the receivable at net realizable value. In December of each year, we charge-of the receivables and the related allowance to an amount we believe represents the net realizable value.</w:t>
      </w:r>
    </w:p>
    <w:p>
      <w:pPr>
        <w:spacing w:after="0" w:line="105"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Balances and amounts on non-accrual status, classifed as impaired, or more than 60 days past due, by tax return year of originaton, as of December 31, 2023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6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177"/>
        </w:trPr>
        <w:tc>
          <w:tcPr>
            <w:tcW w:w="630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Tax return year of originaton</w:t>
            </w:r>
          </w:p>
        </w:tc>
        <w:tc>
          <w:tcPr>
            <w:tcW w:w="88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Calibri" w:cs="Calibri" w:eastAsia="Calibri" w:hAnsi="Calibri"/>
                <w:sz w:val="15"/>
                <w:szCs w:val="15"/>
                <w:color w:val="auto"/>
              </w:rPr>
              <w:t>Balance</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right"/>
              <w:spacing w:after="0" w:line="177" w:lineRule="exact"/>
              <w:rPr>
                <w:sz w:val="20"/>
                <w:szCs w:val="20"/>
                <w:color w:val="auto"/>
              </w:rPr>
            </w:pPr>
            <w:r>
              <w:rPr>
                <w:rFonts w:ascii="Calibri" w:cs="Calibri" w:eastAsia="Calibri" w:hAnsi="Calibri"/>
                <w:sz w:val="15"/>
                <w:szCs w:val="15"/>
                <w:color w:val="auto"/>
              </w:rPr>
              <w:t>More Than 60 Days Past Due</w:t>
            </w:r>
          </w:p>
        </w:tc>
      </w:tr>
      <w:tr>
        <w:trPr>
          <w:trHeight w:val="22"/>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7"/>
        </w:trPr>
        <w:tc>
          <w:tcPr>
            <w:tcW w:w="620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2022</w:t>
            </w:r>
          </w:p>
        </w:tc>
        <w:tc>
          <w:tcPr>
            <w:tcW w:w="100" w:type="dxa"/>
            <w:vAlign w:val="bottom"/>
          </w:tcPr>
          <w:p>
            <w:pPr>
              <w:spacing w:after="0"/>
              <w:rPr>
                <w:sz w:val="15"/>
                <w:szCs w:val="15"/>
                <w:color w:val="auto"/>
              </w:rPr>
            </w:pPr>
          </w:p>
        </w:tc>
        <w:tc>
          <w:tcPr>
            <w:tcW w:w="880" w:type="dxa"/>
            <w:vAlign w:val="bottom"/>
            <w:tcBorders>
              <w:top w:val="single" w:sz="8" w:color="auto"/>
            </w:tcBorders>
          </w:tcPr>
          <w:p>
            <w:pPr>
              <w:jc w:val="right"/>
              <w:ind w:right="703"/>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3,593</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b w:val="1"/>
                <w:bCs w:val="1"/>
                <w:color w:val="auto"/>
              </w:rPr>
              <w:t>$</w:t>
            </w:r>
          </w:p>
        </w:tc>
        <w:tc>
          <w:tcPr>
            <w:tcW w:w="21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3,471</w:t>
            </w:r>
          </w:p>
        </w:tc>
      </w:tr>
      <w:tr>
        <w:trPr>
          <w:trHeight w:val="22"/>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6"/>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2021 and prior</w:t>
            </w:r>
          </w:p>
        </w:tc>
        <w:tc>
          <w:tcPr>
            <w:tcW w:w="8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172</w:t>
            </w:r>
          </w:p>
        </w:tc>
      </w:tr>
      <w:tr>
        <w:trPr>
          <w:trHeight w:val="177"/>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3,765</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b w:val="1"/>
                <w:bCs w:val="1"/>
                <w:color w:val="auto"/>
              </w:rPr>
              <w:t>$</w:t>
            </w:r>
          </w:p>
        </w:tc>
        <w:tc>
          <w:tcPr>
            <w:tcW w:w="21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3,643</w:t>
            </w:r>
          </w:p>
        </w:tc>
      </w:tr>
      <w:tr>
        <w:trPr>
          <w:trHeight w:val="22"/>
        </w:trPr>
        <w:tc>
          <w:tcPr>
            <w:tcW w:w="6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86"/>
        </w:trPr>
        <w:tc>
          <w:tcPr>
            <w:tcW w:w="630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Allowance</w:t>
            </w:r>
          </w:p>
        </w:tc>
        <w:tc>
          <w:tcPr>
            <w:tcW w:w="8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5"/>
                <w:szCs w:val="15"/>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spacing w:after="0"/>
              <w:rPr>
                <w:sz w:val="16"/>
                <w:szCs w:val="16"/>
                <w:color w:val="auto"/>
              </w:rPr>
            </w:pPr>
          </w:p>
        </w:tc>
      </w:tr>
      <w:tr>
        <w:trPr>
          <w:trHeight w:val="177"/>
        </w:trPr>
        <w:tc>
          <w:tcPr>
            <w:tcW w:w="630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balance</w:t>
            </w:r>
          </w:p>
        </w:tc>
        <w:tc>
          <w:tcPr>
            <w:tcW w:w="880" w:type="dxa"/>
            <w:vAlign w:val="bottom"/>
            <w:tcBorders>
              <w:top w:val="single" w:sz="8" w:color="auto"/>
            </w:tcBorders>
          </w:tcPr>
          <w:p>
            <w:pPr>
              <w:jc w:val="right"/>
              <w:ind w:right="703"/>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3,765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59"/>
        </w:trPr>
        <w:tc>
          <w:tcPr>
            <w:tcW w:w="6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r>
      <w:tr>
        <w:trPr>
          <w:trHeight w:val="20"/>
        </w:trPr>
        <w:tc>
          <w:tcPr>
            <w:tcW w:w="6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2180" w:type="dxa"/>
            <w:vAlign w:val="bottom"/>
            <w:tcBorders>
              <w:top w:val="single" w:sz="8" w:color="CCEEFF"/>
            </w:tcBorders>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ind w:firstLine="232"/>
        <w:spacing w:after="0" w:line="216" w:lineRule="auto"/>
        <w:rPr>
          <w:sz w:val="20"/>
          <w:szCs w:val="20"/>
          <w:color w:val="auto"/>
        </w:rPr>
      </w:pPr>
      <w:r>
        <w:rPr>
          <w:rFonts w:ascii="Calibri" w:cs="Calibri" w:eastAsia="Calibri" w:hAnsi="Calibri"/>
          <w:sz w:val="17"/>
          <w:szCs w:val="17"/>
          <w:b w:val="1"/>
          <w:bCs w:val="1"/>
          <w:color w:val="auto"/>
        </w:rPr>
        <w:t>EMERALD ADVANCE</w:t>
      </w:r>
      <w:r>
        <w:rPr>
          <w:rFonts w:ascii="Calibri" w:cs="Calibri" w:eastAsia="Calibri" w:hAnsi="Calibri"/>
          <w:sz w:val="22"/>
          <w:szCs w:val="22"/>
          <w:b w:val="1"/>
          <w:bCs w:val="1"/>
          <w:color w:val="auto"/>
          <w:vertAlign w:val="superscript"/>
        </w:rPr>
        <w:t>SM</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Historically, Emerald Advance</w:t>
      </w:r>
      <w:r>
        <w:rPr>
          <w:rFonts w:ascii="Calibri" w:cs="Calibri" w:eastAsia="Calibri" w:hAnsi="Calibri"/>
          <w:sz w:val="22"/>
          <w:szCs w:val="22"/>
          <w:color w:val="auto"/>
          <w:vertAlign w:val="superscript"/>
        </w:rPr>
        <w:t>SM</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lines of credit (EA LOCs) have been ofered to clients in our ofces from mid-November through mid-January. If the borrower met certain criteria as agreed in the loan terms, the line of credit could be utlized year-round (Revolving Loan). In fscal year 2024, EAs are being ofered as term loans (EA TLs), and we discontnued EA LOCs, including the Revolving Loans. See </w:t>
      </w:r>
      <w:r>
        <w:rPr>
          <w:rFonts w:ascii="Calibri" w:cs="Calibri" w:eastAsia="Calibri" w:hAnsi="Calibri"/>
          <w:sz w:val="17"/>
          <w:szCs w:val="17"/>
          <w:u w:val="single" w:color="auto"/>
          <w:color w:val="0000FF"/>
        </w:rPr>
        <w:t>note 8</w:t>
      </w:r>
      <w:r>
        <w:rPr>
          <w:rFonts w:ascii="Calibri" w:cs="Calibri" w:eastAsia="Calibri" w:hAnsi="Calibri"/>
          <w:sz w:val="17"/>
          <w:szCs w:val="17"/>
          <w:color w:val="auto"/>
        </w:rPr>
        <w:t xml:space="preserve"> for discussion of the new EA TL.</w:t>
      </w:r>
    </w:p>
    <w:p>
      <w:pPr>
        <w:spacing w:after="0" w:line="107"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We review the credit quality of our purchased partcipaton interests in EA receivables based on pools, which are segregated by the fscal year of originaton, with older years being deemed more unlikely to be repaid. We establish an allowance for credit losses at an amount that we believe refects the receivable at net realizable value. Typically, in December of each year, we charge-of the receivables and the related allowance for EA LOCs, excluding Revolving Loans, to an amount we believe represents the net realizable value. However, due to the discontnuaton of EA LOCs, we charged-of the receivables and the related allowance of EA LOCs and Revolving Loans during the quarter ended September 30, 2023 to an amount that we believe represents net realizable value.</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Balances and amounts on non-accrual status, classifed as impaired, or more than 60 days past due, by fscal year of originaton, as of December 31, 2023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678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7"/>
        </w:trPr>
        <w:tc>
          <w:tcPr>
            <w:tcW w:w="678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Fiscal year of originaton</w:t>
            </w:r>
          </w:p>
        </w:tc>
        <w:tc>
          <w:tcPr>
            <w:tcW w:w="860" w:type="dxa"/>
            <w:vAlign w:val="bottom"/>
          </w:tcPr>
          <w:p>
            <w:pPr>
              <w:spacing w:after="0"/>
              <w:rPr>
                <w:sz w:val="15"/>
                <w:szCs w:val="15"/>
                <w:color w:val="auto"/>
              </w:rPr>
            </w:pPr>
          </w:p>
        </w:tc>
        <w:tc>
          <w:tcPr>
            <w:tcW w:w="1340" w:type="dxa"/>
            <w:vAlign w:val="bottom"/>
          </w:tcPr>
          <w:p>
            <w:pPr>
              <w:jc w:val="right"/>
              <w:spacing w:after="0" w:line="177" w:lineRule="exact"/>
              <w:rPr>
                <w:sz w:val="20"/>
                <w:szCs w:val="20"/>
                <w:color w:val="auto"/>
              </w:rPr>
            </w:pPr>
            <w:r>
              <w:rPr>
                <w:rFonts w:ascii="Calibri" w:cs="Calibri" w:eastAsia="Calibri" w:hAnsi="Calibri"/>
                <w:sz w:val="15"/>
                <w:szCs w:val="15"/>
                <w:color w:val="auto"/>
              </w:rPr>
              <w:t>Balance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Calibri" w:cs="Calibri" w:eastAsia="Calibri" w:hAnsi="Calibri"/>
                <w:sz w:val="15"/>
                <w:szCs w:val="15"/>
                <w:color w:val="auto"/>
              </w:rPr>
              <w:t>Non-Accrual</w:t>
            </w:r>
          </w:p>
        </w:tc>
      </w:tr>
      <w:tr>
        <w:trPr>
          <w:trHeight w:val="22"/>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77"/>
        </w:trPr>
        <w:tc>
          <w:tcPr>
            <w:tcW w:w="66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2024 – Term loans</w:t>
            </w:r>
          </w:p>
        </w:tc>
        <w:tc>
          <w:tcPr>
            <w:tcW w:w="100" w:type="dxa"/>
            <w:vAlign w:val="bottom"/>
          </w:tcPr>
          <w:p>
            <w:pPr>
              <w:spacing w:after="0"/>
              <w:rPr>
                <w:sz w:val="15"/>
                <w:szCs w:val="15"/>
                <w:color w:val="auto"/>
              </w:rPr>
            </w:pPr>
          </w:p>
        </w:tc>
        <w:tc>
          <w:tcPr>
            <w:tcW w:w="860" w:type="dxa"/>
            <w:vAlign w:val="bottom"/>
            <w:tcBorders>
              <w:top w:val="single" w:sz="8" w:color="auto"/>
            </w:tcBorders>
          </w:tcPr>
          <w:p>
            <w:pPr>
              <w:jc w:val="right"/>
              <w:ind w:right="703"/>
              <w:spacing w:after="0" w:line="177" w:lineRule="exact"/>
              <w:rPr>
                <w:sz w:val="20"/>
                <w:szCs w:val="20"/>
                <w:color w:val="auto"/>
              </w:rPr>
            </w:pPr>
            <w:r>
              <w:rPr>
                <w:rFonts w:ascii="Calibri" w:cs="Calibri" w:eastAsia="Calibri" w:hAnsi="Calibri"/>
                <w:sz w:val="15"/>
                <w:szCs w:val="15"/>
                <w:b w:val="1"/>
                <w:bCs w:val="1"/>
                <w:color w:val="auto"/>
                <w:w w:val="78"/>
              </w:rPr>
              <w:t>$</w:t>
            </w:r>
          </w:p>
        </w:tc>
        <w:tc>
          <w:tcPr>
            <w:tcW w:w="13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358,084</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ind w:right="563"/>
              <w:spacing w:after="0" w:line="177" w:lineRule="exact"/>
              <w:rPr>
                <w:sz w:val="20"/>
                <w:szCs w:val="20"/>
                <w:color w:val="auto"/>
              </w:rPr>
            </w:pPr>
            <w:r>
              <w:rPr>
                <w:rFonts w:ascii="Calibri" w:cs="Calibri" w:eastAsia="Calibri" w:hAnsi="Calibri"/>
                <w:sz w:val="15"/>
                <w:szCs w:val="15"/>
                <w:b w:val="1"/>
                <w:bCs w:val="1"/>
                <w:color w:val="auto"/>
              </w:rPr>
              <w:t>$</w:t>
            </w: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r>
      <w:tr>
        <w:trPr>
          <w:trHeight w:val="22"/>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6"/>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2023 and prior – Lines of credit and Revolving Loans</w:t>
            </w:r>
          </w:p>
        </w:tc>
        <w:tc>
          <w:tcPr>
            <w:tcW w:w="8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15,908</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15,908</w:t>
            </w:r>
          </w:p>
        </w:tc>
      </w:tr>
      <w:tr>
        <w:trPr>
          <w:trHeight w:val="177"/>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373,992</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ind w:right="563"/>
              <w:spacing w:after="0" w:line="177" w:lineRule="exact"/>
              <w:rPr>
                <w:sz w:val="20"/>
                <w:szCs w:val="20"/>
                <w:color w:val="auto"/>
              </w:rPr>
            </w:pPr>
            <w:r>
              <w:rPr>
                <w:rFonts w:ascii="Calibri" w:cs="Calibri" w:eastAsia="Calibri" w:hAnsi="Calibri"/>
                <w:sz w:val="15"/>
                <w:szCs w:val="15"/>
                <w:b w:val="1"/>
                <w:bCs w:val="1"/>
                <w:color w:val="auto"/>
              </w:rPr>
              <w:t>$</w:t>
            </w: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15,908</w:t>
            </w:r>
          </w:p>
        </w:tc>
      </w:tr>
      <w:tr>
        <w:trPr>
          <w:trHeight w:val="22"/>
        </w:trPr>
        <w:tc>
          <w:tcPr>
            <w:tcW w:w="6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678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Allowance</w:t>
            </w:r>
          </w:p>
        </w:tc>
        <w:tc>
          <w:tcPr>
            <w:tcW w:w="8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line="164" w:lineRule="exact"/>
              <w:rPr>
                <w:sz w:val="20"/>
                <w:szCs w:val="20"/>
                <w:color w:val="auto"/>
              </w:rPr>
            </w:pPr>
            <w:r>
              <w:rPr>
                <w:rFonts w:ascii="Calibri" w:cs="Calibri" w:eastAsia="Calibri" w:hAnsi="Calibri"/>
                <w:sz w:val="15"/>
                <w:szCs w:val="15"/>
                <w:b w:val="1"/>
                <w:bCs w:val="1"/>
                <w:color w:val="auto"/>
              </w:rPr>
              <w:t>(17,557)</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177"/>
        </w:trPr>
        <w:tc>
          <w:tcPr>
            <w:tcW w:w="67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balance</w:t>
            </w:r>
          </w:p>
        </w:tc>
        <w:tc>
          <w:tcPr>
            <w:tcW w:w="860" w:type="dxa"/>
            <w:vAlign w:val="bottom"/>
            <w:tcBorders>
              <w:top w:val="single" w:sz="8" w:color="auto"/>
            </w:tcBorders>
          </w:tcPr>
          <w:p>
            <w:pPr>
              <w:jc w:val="right"/>
              <w:ind w:right="703"/>
              <w:spacing w:after="0" w:line="177" w:lineRule="exact"/>
              <w:rPr>
                <w:sz w:val="20"/>
                <w:szCs w:val="20"/>
                <w:color w:val="auto"/>
              </w:rPr>
            </w:pPr>
            <w:r>
              <w:rPr>
                <w:rFonts w:ascii="Calibri" w:cs="Calibri" w:eastAsia="Calibri" w:hAnsi="Calibri"/>
                <w:sz w:val="15"/>
                <w:szCs w:val="15"/>
                <w:b w:val="1"/>
                <w:bCs w:val="1"/>
                <w:color w:val="auto"/>
                <w:w w:val="78"/>
              </w:rPr>
              <w:t>$</w:t>
            </w:r>
          </w:p>
        </w:tc>
        <w:tc>
          <w:tcPr>
            <w:tcW w:w="13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356,435</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59"/>
        </w:trPr>
        <w:tc>
          <w:tcPr>
            <w:tcW w:w="66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r>
      <w:tr>
        <w:trPr>
          <w:trHeight w:val="20"/>
        </w:trPr>
        <w:tc>
          <w:tcPr>
            <w:tcW w:w="66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42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680"/>
        <w:spacing w:after="0"/>
        <w:tabs>
          <w:tab w:leader="none" w:pos="110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1"/>
          <w:szCs w:val="11"/>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193"/>
        <w:spacing w:after="0" w:line="237" w:lineRule="auto"/>
        <w:rPr>
          <w:sz w:val="20"/>
          <w:szCs w:val="20"/>
          <w:color w:val="auto"/>
        </w:rPr>
      </w:pPr>
      <w:r>
        <w:rPr>
          <w:rFonts w:ascii="Calibri" w:cs="Calibri" w:eastAsia="Calibri" w:hAnsi="Calibri"/>
          <w:sz w:val="17"/>
          <w:szCs w:val="17"/>
          <w:b w:val="1"/>
          <w:bCs w:val="1"/>
          <w:color w:val="auto"/>
        </w:rPr>
        <w:t xml:space="preserve">ALLOWANCE FOR CREDIT LOSSES </w:t>
      </w:r>
      <w:r>
        <w:rPr>
          <w:rFonts w:ascii="Calibri" w:cs="Calibri" w:eastAsia="Calibri" w:hAnsi="Calibri"/>
          <w:sz w:val="17"/>
          <w:szCs w:val="17"/>
          <w:color w:val="auto"/>
        </w:rPr>
        <w:t>– Actvity in the allowance for credit losses for our EA and all other short-term and long-term receivables for the six months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ended December 31, 2023 and 2022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7"/>
        </w:trPr>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20" w:type="dxa"/>
            <w:vAlign w:val="bottom"/>
            <w:gridSpan w:val="2"/>
          </w:tcPr>
          <w:p>
            <w:pPr>
              <w:ind w:left="900"/>
              <w:spacing w:after="0" w:line="177" w:lineRule="exact"/>
              <w:rPr>
                <w:sz w:val="20"/>
                <w:szCs w:val="20"/>
                <w:color w:val="auto"/>
              </w:rPr>
            </w:pPr>
            <w:r>
              <w:rPr>
                <w:rFonts w:ascii="Calibri" w:cs="Calibri" w:eastAsia="Calibri" w:hAnsi="Calibri"/>
                <w:sz w:val="15"/>
                <w:szCs w:val="15"/>
                <w:color w:val="auto"/>
              </w:rPr>
              <w:t>EAs</w:t>
            </w:r>
          </w:p>
        </w:tc>
        <w:tc>
          <w:tcPr>
            <w:tcW w:w="660" w:type="dxa"/>
            <w:vAlign w:val="bottom"/>
          </w:tcPr>
          <w:p>
            <w:pPr>
              <w:spacing w:after="0"/>
              <w:rPr>
                <w:sz w:val="15"/>
                <w:szCs w:val="15"/>
                <w:color w:val="auto"/>
              </w:rPr>
            </w:pPr>
          </w:p>
        </w:tc>
        <w:tc>
          <w:tcPr>
            <w:tcW w:w="1240" w:type="dxa"/>
            <w:vAlign w:val="bottom"/>
            <w:gridSpan w:val="2"/>
          </w:tcPr>
          <w:p>
            <w:pPr>
              <w:ind w:left="580"/>
              <w:spacing w:after="0" w:line="177" w:lineRule="exact"/>
              <w:rPr>
                <w:sz w:val="20"/>
                <w:szCs w:val="20"/>
                <w:color w:val="auto"/>
              </w:rPr>
            </w:pPr>
            <w:r>
              <w:rPr>
                <w:rFonts w:ascii="Calibri" w:cs="Calibri" w:eastAsia="Calibri" w:hAnsi="Calibri"/>
                <w:sz w:val="15"/>
                <w:szCs w:val="15"/>
                <w:color w:val="auto"/>
              </w:rPr>
              <w:t>All Other</w:t>
            </w:r>
          </w:p>
        </w:tc>
        <w:tc>
          <w:tcPr>
            <w:tcW w:w="68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Calibri" w:cs="Calibri" w:eastAsia="Calibri" w:hAnsi="Calibri"/>
                <w:sz w:val="15"/>
                <w:szCs w:val="15"/>
                <w:color w:val="auto"/>
              </w:rPr>
              <w:t>Total</w:t>
            </w:r>
          </w:p>
        </w:tc>
      </w:tr>
      <w:tr>
        <w:trPr>
          <w:trHeight w:val="22"/>
        </w:trPr>
        <w:tc>
          <w:tcPr>
            <w:tcW w:w="5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7"/>
        </w:trPr>
        <w:tc>
          <w:tcPr>
            <w:tcW w:w="5560" w:type="dxa"/>
            <w:vAlign w:val="bottom"/>
          </w:tcPr>
          <w:p>
            <w:pPr>
              <w:ind w:left="20"/>
              <w:spacing w:after="0" w:line="177" w:lineRule="exact"/>
              <w:rPr>
                <w:sz w:val="20"/>
                <w:szCs w:val="20"/>
                <w:color w:val="auto"/>
              </w:rPr>
            </w:pPr>
            <w:r>
              <w:rPr>
                <w:rFonts w:ascii="Calibri" w:cs="Calibri" w:eastAsia="Calibri" w:hAnsi="Calibri"/>
                <w:sz w:val="15"/>
                <w:szCs w:val="15"/>
                <w:color w:val="auto"/>
              </w:rPr>
              <w:t>Balances as of July 1, 2023</w:t>
            </w:r>
          </w:p>
        </w:tc>
        <w:tc>
          <w:tcPr>
            <w:tcW w:w="80" w:type="dxa"/>
            <w:vAlign w:val="bottom"/>
          </w:tcPr>
          <w:p>
            <w:pPr>
              <w:spacing w:after="0"/>
              <w:rPr>
                <w:sz w:val="15"/>
                <w:szCs w:val="15"/>
                <w:color w:val="auto"/>
              </w:rPr>
            </w:pPr>
          </w:p>
        </w:tc>
        <w:tc>
          <w:tcPr>
            <w:tcW w:w="680" w:type="dxa"/>
            <w:vAlign w:val="bottom"/>
          </w:tcPr>
          <w:p>
            <w:pPr>
              <w:jc w:val="right"/>
              <w:ind w:right="50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Pr>
          <w:p>
            <w:pPr>
              <w:jc w:val="center"/>
              <w:ind w:left="503"/>
              <w:spacing w:after="0" w:line="177" w:lineRule="exact"/>
              <w:rPr>
                <w:sz w:val="20"/>
                <w:szCs w:val="20"/>
                <w:color w:val="auto"/>
              </w:rPr>
            </w:pPr>
            <w:r>
              <w:rPr>
                <w:rFonts w:ascii="Calibri" w:cs="Calibri" w:eastAsia="Calibri" w:hAnsi="Calibri"/>
                <w:sz w:val="15"/>
                <w:szCs w:val="15"/>
                <w:b w:val="1"/>
                <w:bCs w:val="1"/>
                <w:color w:val="auto"/>
              </w:rPr>
              <w:t>27,386</w:t>
            </w:r>
          </w:p>
        </w:tc>
        <w:tc>
          <w:tcPr>
            <w:tcW w:w="80" w:type="dxa"/>
            <w:vAlign w:val="bottom"/>
          </w:tcPr>
          <w:p>
            <w:pPr>
              <w:spacing w:after="0"/>
              <w:rPr>
                <w:sz w:val="15"/>
                <w:szCs w:val="15"/>
                <w:color w:val="auto"/>
              </w:rPr>
            </w:pPr>
          </w:p>
        </w:tc>
        <w:tc>
          <w:tcPr>
            <w:tcW w:w="660" w:type="dxa"/>
            <w:vAlign w:val="bottom"/>
          </w:tcPr>
          <w:p>
            <w:pPr>
              <w:jc w:val="right"/>
              <w:ind w:right="48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35,108</w:t>
            </w:r>
          </w:p>
        </w:tc>
        <w:tc>
          <w:tcPr>
            <w:tcW w:w="100" w:type="dxa"/>
            <w:vAlign w:val="bottom"/>
          </w:tcPr>
          <w:p>
            <w:pPr>
              <w:spacing w:after="0"/>
              <w:rPr>
                <w:sz w:val="15"/>
                <w:szCs w:val="15"/>
                <w:color w:val="auto"/>
              </w:rPr>
            </w:pPr>
          </w:p>
        </w:tc>
        <w:tc>
          <w:tcPr>
            <w:tcW w:w="680" w:type="dxa"/>
            <w:vAlign w:val="bottom"/>
          </w:tcPr>
          <w:p>
            <w:pPr>
              <w:jc w:val="right"/>
              <w:ind w:right="503"/>
              <w:spacing w:after="0" w:line="177" w:lineRule="exact"/>
              <w:rPr>
                <w:sz w:val="20"/>
                <w:szCs w:val="20"/>
                <w:color w:val="auto"/>
              </w:rPr>
            </w:pPr>
            <w:r>
              <w:rPr>
                <w:rFonts w:ascii="Calibri" w:cs="Calibri" w:eastAsia="Calibri" w:hAnsi="Calibri"/>
                <w:sz w:val="15"/>
                <w:szCs w:val="15"/>
                <w:b w:val="1"/>
                <w:bCs w:val="1"/>
                <w:color w:val="auto"/>
              </w:rPr>
              <w:t>$</w:t>
            </w:r>
          </w:p>
        </w:tc>
        <w:tc>
          <w:tcPr>
            <w:tcW w:w="1120" w:type="dxa"/>
            <w:vAlign w:val="bottom"/>
          </w:tcPr>
          <w:p>
            <w:pPr>
              <w:jc w:val="center"/>
              <w:ind w:left="504"/>
              <w:spacing w:after="0" w:line="177" w:lineRule="exact"/>
              <w:rPr>
                <w:sz w:val="20"/>
                <w:szCs w:val="20"/>
                <w:color w:val="auto"/>
              </w:rPr>
            </w:pPr>
            <w:r>
              <w:rPr>
                <w:rFonts w:ascii="Calibri" w:cs="Calibri" w:eastAsia="Calibri" w:hAnsi="Calibri"/>
                <w:sz w:val="15"/>
                <w:szCs w:val="15"/>
                <w:b w:val="1"/>
                <w:bCs w:val="1"/>
                <w:color w:val="auto"/>
              </w:rPr>
              <w:t>62,494</w:t>
            </w:r>
          </w:p>
        </w:tc>
      </w:tr>
      <w:tr>
        <w:trPr>
          <w:trHeight w:val="22"/>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6"/>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Provision for credit losses</w:t>
            </w:r>
          </w:p>
        </w:tc>
        <w:tc>
          <w:tcPr>
            <w:tcW w:w="6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left="503"/>
              <w:spacing w:after="0"/>
              <w:rPr>
                <w:sz w:val="20"/>
                <w:szCs w:val="20"/>
                <w:color w:val="auto"/>
              </w:rPr>
            </w:pPr>
            <w:r>
              <w:rPr>
                <w:rFonts w:ascii="Calibri" w:cs="Calibri" w:eastAsia="Calibri" w:hAnsi="Calibri"/>
                <w:sz w:val="15"/>
                <w:szCs w:val="15"/>
                <w:b w:val="1"/>
                <w:bCs w:val="1"/>
                <w:color w:val="auto"/>
              </w:rPr>
              <w:t>17,885</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3,651</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ind w:left="504"/>
              <w:spacing w:after="0"/>
              <w:rPr>
                <w:sz w:val="20"/>
                <w:szCs w:val="20"/>
                <w:color w:val="auto"/>
              </w:rPr>
            </w:pPr>
            <w:r>
              <w:rPr>
                <w:rFonts w:ascii="Calibri" w:cs="Calibri" w:eastAsia="Calibri" w:hAnsi="Calibri"/>
                <w:sz w:val="15"/>
                <w:szCs w:val="15"/>
                <w:b w:val="1"/>
                <w:bCs w:val="1"/>
                <w:color w:val="auto"/>
              </w:rPr>
              <w:t>21,536</w:t>
            </w:r>
          </w:p>
        </w:tc>
      </w:tr>
      <w:tr>
        <w:trPr>
          <w:trHeight w:val="184"/>
        </w:trPr>
        <w:tc>
          <w:tcPr>
            <w:tcW w:w="5640" w:type="dxa"/>
            <w:vAlign w:val="bottom"/>
            <w:gridSpan w:val="2"/>
          </w:tcPr>
          <w:p>
            <w:pPr>
              <w:ind w:left="20"/>
              <w:spacing w:after="0"/>
              <w:rPr>
                <w:sz w:val="20"/>
                <w:szCs w:val="20"/>
                <w:color w:val="auto"/>
              </w:rPr>
            </w:pPr>
            <w:r>
              <w:rPr>
                <w:rFonts w:ascii="Calibri" w:cs="Calibri" w:eastAsia="Calibri" w:hAnsi="Calibri"/>
                <w:sz w:val="15"/>
                <w:szCs w:val="15"/>
                <w:color w:val="auto"/>
              </w:rPr>
              <w:t>Charge-ofs, recoveries and other</w:t>
            </w:r>
          </w:p>
        </w:tc>
        <w:tc>
          <w:tcPr>
            <w:tcW w:w="680" w:type="dxa"/>
            <w:vAlign w:val="bottom"/>
          </w:tcPr>
          <w:p>
            <w:pPr>
              <w:spacing w:after="0"/>
              <w:rPr>
                <w:sz w:val="16"/>
                <w:szCs w:val="16"/>
                <w:color w:val="auto"/>
              </w:rPr>
            </w:pPr>
          </w:p>
        </w:tc>
        <w:tc>
          <w:tcPr>
            <w:tcW w:w="1140" w:type="dxa"/>
            <w:vAlign w:val="bottom"/>
          </w:tcPr>
          <w:p>
            <w:pPr>
              <w:jc w:val="center"/>
              <w:ind w:left="463"/>
              <w:spacing w:after="0"/>
              <w:rPr>
                <w:sz w:val="20"/>
                <w:szCs w:val="20"/>
                <w:color w:val="auto"/>
              </w:rPr>
            </w:pPr>
            <w:r>
              <w:rPr>
                <w:rFonts w:ascii="Calibri" w:cs="Calibri" w:eastAsia="Calibri" w:hAnsi="Calibri"/>
                <w:sz w:val="15"/>
                <w:szCs w:val="15"/>
                <w:b w:val="1"/>
                <w:bCs w:val="1"/>
                <w:color w:val="auto"/>
              </w:rPr>
              <w:t>(27,714)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alibri" w:cs="Calibri" w:eastAsia="Calibri" w:hAnsi="Calibri"/>
                <w:sz w:val="15"/>
                <w:szCs w:val="15"/>
                <w:b w:val="1"/>
                <w:bCs w:val="1"/>
                <w:color w:val="auto"/>
              </w:rPr>
              <w:t>(37,613)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center"/>
              <w:ind w:left="484"/>
              <w:spacing w:after="0"/>
              <w:rPr>
                <w:sz w:val="20"/>
                <w:szCs w:val="20"/>
                <w:color w:val="auto"/>
              </w:rPr>
            </w:pPr>
            <w:r>
              <w:rPr>
                <w:rFonts w:ascii="Calibri" w:cs="Calibri" w:eastAsia="Calibri" w:hAnsi="Calibri"/>
                <w:sz w:val="15"/>
                <w:szCs w:val="15"/>
                <w:b w:val="1"/>
                <w:bCs w:val="1"/>
                <w:color w:val="auto"/>
              </w:rPr>
              <w:t>(65,327)</w:t>
            </w:r>
          </w:p>
        </w:tc>
      </w:tr>
      <w:tr>
        <w:trPr>
          <w:trHeight w:val="22"/>
        </w:trPr>
        <w:tc>
          <w:tcPr>
            <w:tcW w:w="5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9"/>
        </w:trPr>
        <w:tc>
          <w:tcPr>
            <w:tcW w:w="564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Balances as of December 31, 2023</w:t>
            </w:r>
          </w:p>
        </w:tc>
        <w:tc>
          <w:tcPr>
            <w:tcW w:w="680" w:type="dxa"/>
            <w:vAlign w:val="bottom"/>
            <w:tcBorders>
              <w:bottom w:val="single" w:sz="8" w:color="CCEEFF"/>
            </w:tcBorders>
            <w:shd w:val="clear" w:color="auto" w:fill="CCEEFF"/>
          </w:tcPr>
          <w:p>
            <w:pPr>
              <w:jc w:val="right"/>
              <w:ind w:right="50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center"/>
              <w:ind w:left="503"/>
              <w:spacing w:after="0" w:line="177" w:lineRule="exact"/>
              <w:rPr>
                <w:sz w:val="20"/>
                <w:szCs w:val="20"/>
                <w:color w:val="auto"/>
              </w:rPr>
            </w:pPr>
            <w:r>
              <w:rPr>
                <w:rFonts w:ascii="Calibri" w:cs="Calibri" w:eastAsia="Calibri" w:hAnsi="Calibri"/>
                <w:sz w:val="15"/>
                <w:szCs w:val="15"/>
                <w:b w:val="1"/>
                <w:bCs w:val="1"/>
                <w:color w:val="auto"/>
              </w:rPr>
              <w:t>17,557</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3"/>
              <w:spacing w:after="0" w:line="177" w:lineRule="exact"/>
              <w:rPr>
                <w:sz w:val="20"/>
                <w:szCs w:val="20"/>
                <w:color w:val="auto"/>
              </w:rPr>
            </w:pPr>
            <w:r>
              <w:rPr>
                <w:rFonts w:ascii="Calibri" w:cs="Calibri" w:eastAsia="Calibri" w:hAnsi="Calibri"/>
                <w:sz w:val="15"/>
                <w:szCs w:val="15"/>
                <w:b w:val="1"/>
                <w:bCs w:val="1"/>
                <w:color w:val="auto"/>
              </w:rPr>
              <w:t>$</w:t>
            </w:r>
          </w:p>
        </w:tc>
        <w:tc>
          <w:tcPr>
            <w:tcW w:w="11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1,146</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03"/>
              <w:spacing w:after="0" w:line="177" w:lineRule="exact"/>
              <w:rPr>
                <w:sz w:val="20"/>
                <w:szCs w:val="20"/>
                <w:color w:val="auto"/>
              </w:rPr>
            </w:pPr>
            <w:r>
              <w:rPr>
                <w:rFonts w:ascii="Calibri" w:cs="Calibri" w:eastAsia="Calibri" w:hAnsi="Calibri"/>
                <w:sz w:val="15"/>
                <w:szCs w:val="15"/>
                <w:b w:val="1"/>
                <w:bCs w:val="1"/>
                <w:color w:val="auto"/>
              </w:rPr>
              <w:t>$</w:t>
            </w:r>
          </w:p>
        </w:tc>
        <w:tc>
          <w:tcPr>
            <w:tcW w:w="1120" w:type="dxa"/>
            <w:vAlign w:val="bottom"/>
            <w:tcBorders>
              <w:bottom w:val="single" w:sz="8" w:color="CCEEFF"/>
            </w:tcBorders>
            <w:shd w:val="clear" w:color="auto" w:fill="CCEEFF"/>
          </w:tcPr>
          <w:p>
            <w:pPr>
              <w:jc w:val="center"/>
              <w:ind w:left="504"/>
              <w:spacing w:after="0" w:line="177" w:lineRule="exact"/>
              <w:rPr>
                <w:sz w:val="20"/>
                <w:szCs w:val="20"/>
                <w:color w:val="auto"/>
              </w:rPr>
            </w:pPr>
            <w:r>
              <w:rPr>
                <w:rFonts w:ascii="Calibri" w:cs="Calibri" w:eastAsia="Calibri" w:hAnsi="Calibri"/>
                <w:sz w:val="15"/>
                <w:szCs w:val="15"/>
                <w:b w:val="1"/>
                <w:bCs w:val="1"/>
                <w:color w:val="auto"/>
              </w:rPr>
              <w:t>18,703</w:t>
            </w:r>
          </w:p>
        </w:tc>
      </w:tr>
      <w:tr>
        <w:trPr>
          <w:trHeight w:val="177"/>
        </w:trPr>
        <w:tc>
          <w:tcPr>
            <w:tcW w:w="564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July 1, 2022</w:t>
            </w:r>
          </w:p>
        </w:tc>
        <w:tc>
          <w:tcPr>
            <w:tcW w:w="680" w:type="dxa"/>
            <w:vAlign w:val="bottom"/>
            <w:tcBorders>
              <w:top w:val="single" w:sz="8" w:color="auto"/>
            </w:tcBorders>
          </w:tcPr>
          <w:p>
            <w:pPr>
              <w:jc w:val="right"/>
              <w:ind w:right="503"/>
              <w:spacing w:after="0" w:line="177" w:lineRule="exact"/>
              <w:rPr>
                <w:sz w:val="20"/>
                <w:szCs w:val="20"/>
                <w:color w:val="auto"/>
              </w:rPr>
            </w:pPr>
            <w:r>
              <w:rPr>
                <w:rFonts w:ascii="Calibri" w:cs="Calibri" w:eastAsia="Calibri" w:hAnsi="Calibri"/>
                <w:sz w:val="15"/>
                <w:szCs w:val="15"/>
                <w:color w:val="auto"/>
              </w:rPr>
              <w:t>$</w:t>
            </w:r>
          </w:p>
        </w:tc>
        <w:tc>
          <w:tcPr>
            <w:tcW w:w="1140" w:type="dxa"/>
            <w:vAlign w:val="bottom"/>
            <w:tcBorders>
              <w:top w:val="single" w:sz="8" w:color="auto"/>
            </w:tcBorders>
          </w:tcPr>
          <w:p>
            <w:pPr>
              <w:jc w:val="center"/>
              <w:ind w:left="503"/>
              <w:spacing w:after="0" w:line="177" w:lineRule="exact"/>
              <w:rPr>
                <w:sz w:val="20"/>
                <w:szCs w:val="20"/>
                <w:color w:val="auto"/>
              </w:rPr>
            </w:pPr>
            <w:r>
              <w:rPr>
                <w:rFonts w:ascii="Calibri" w:cs="Calibri" w:eastAsia="Calibri" w:hAnsi="Calibri"/>
                <w:sz w:val="15"/>
                <w:szCs w:val="15"/>
                <w:color w:val="auto"/>
              </w:rPr>
              <w:t>26,141</w:t>
            </w:r>
          </w:p>
        </w:tc>
        <w:tc>
          <w:tcPr>
            <w:tcW w:w="80" w:type="dxa"/>
            <w:vAlign w:val="bottom"/>
          </w:tcPr>
          <w:p>
            <w:pPr>
              <w:spacing w:after="0"/>
              <w:rPr>
                <w:sz w:val="15"/>
                <w:szCs w:val="15"/>
                <w:color w:val="auto"/>
              </w:rPr>
            </w:pPr>
          </w:p>
        </w:tc>
        <w:tc>
          <w:tcPr>
            <w:tcW w:w="660" w:type="dxa"/>
            <w:vAlign w:val="bottom"/>
            <w:tcBorders>
              <w:top w:val="single" w:sz="8" w:color="auto"/>
            </w:tcBorders>
          </w:tcPr>
          <w:p>
            <w:pPr>
              <w:jc w:val="right"/>
              <w:ind w:right="483"/>
              <w:spacing w:after="0" w:line="177" w:lineRule="exact"/>
              <w:rPr>
                <w:sz w:val="20"/>
                <w:szCs w:val="20"/>
                <w:color w:val="auto"/>
              </w:rPr>
            </w:pPr>
            <w:r>
              <w:rPr>
                <w:rFonts w:ascii="Calibri" w:cs="Calibri" w:eastAsia="Calibri" w:hAnsi="Calibri"/>
                <w:sz w:val="15"/>
                <w:szCs w:val="15"/>
                <w:color w:val="auto"/>
              </w:rPr>
              <w:t>$</w:t>
            </w:r>
          </w:p>
        </w:tc>
        <w:tc>
          <w:tcPr>
            <w:tcW w:w="11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51,126</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ind w:right="503"/>
              <w:spacing w:after="0" w:line="177" w:lineRule="exact"/>
              <w:rPr>
                <w:sz w:val="20"/>
                <w:szCs w:val="20"/>
                <w:color w:val="auto"/>
              </w:rPr>
            </w:pPr>
            <w:r>
              <w:rPr>
                <w:rFonts w:ascii="Calibri" w:cs="Calibri" w:eastAsia="Calibri" w:hAnsi="Calibri"/>
                <w:sz w:val="15"/>
                <w:szCs w:val="15"/>
                <w:color w:val="auto"/>
              </w:rPr>
              <w:t>$</w:t>
            </w:r>
          </w:p>
        </w:tc>
        <w:tc>
          <w:tcPr>
            <w:tcW w:w="1120" w:type="dxa"/>
            <w:vAlign w:val="bottom"/>
            <w:tcBorders>
              <w:top w:val="single" w:sz="8" w:color="auto"/>
            </w:tcBorders>
          </w:tcPr>
          <w:p>
            <w:pPr>
              <w:jc w:val="center"/>
              <w:ind w:left="504"/>
              <w:spacing w:after="0" w:line="177" w:lineRule="exact"/>
              <w:rPr>
                <w:sz w:val="20"/>
                <w:szCs w:val="20"/>
                <w:color w:val="auto"/>
              </w:rPr>
            </w:pPr>
            <w:r>
              <w:rPr>
                <w:rFonts w:ascii="Calibri" w:cs="Calibri" w:eastAsia="Calibri" w:hAnsi="Calibri"/>
                <w:sz w:val="15"/>
                <w:szCs w:val="15"/>
                <w:color w:val="auto"/>
              </w:rPr>
              <w:t>77,267</w:t>
            </w:r>
          </w:p>
        </w:tc>
      </w:tr>
      <w:tr>
        <w:trPr>
          <w:trHeight w:val="22"/>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6"/>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Provision for credit losses</w:t>
            </w:r>
          </w:p>
        </w:tc>
        <w:tc>
          <w:tcPr>
            <w:tcW w:w="6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left="503"/>
              <w:spacing w:after="0"/>
              <w:rPr>
                <w:sz w:val="20"/>
                <w:szCs w:val="20"/>
                <w:color w:val="auto"/>
              </w:rPr>
            </w:pPr>
            <w:r>
              <w:rPr>
                <w:rFonts w:ascii="Calibri" w:cs="Calibri" w:eastAsia="Calibri" w:hAnsi="Calibri"/>
                <w:sz w:val="15"/>
                <w:szCs w:val="15"/>
                <w:color w:val="auto"/>
              </w:rPr>
              <w:t>15,081</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1,500</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ind w:left="504"/>
              <w:spacing w:after="0"/>
              <w:rPr>
                <w:sz w:val="20"/>
                <w:szCs w:val="20"/>
                <w:color w:val="auto"/>
              </w:rPr>
            </w:pPr>
            <w:r>
              <w:rPr>
                <w:rFonts w:ascii="Calibri" w:cs="Calibri" w:eastAsia="Calibri" w:hAnsi="Calibri"/>
                <w:sz w:val="15"/>
                <w:szCs w:val="15"/>
                <w:color w:val="auto"/>
              </w:rPr>
              <w:t>16,581</w:t>
            </w:r>
          </w:p>
        </w:tc>
      </w:tr>
      <w:tr>
        <w:trPr>
          <w:trHeight w:val="184"/>
        </w:trPr>
        <w:tc>
          <w:tcPr>
            <w:tcW w:w="5640" w:type="dxa"/>
            <w:vAlign w:val="bottom"/>
            <w:gridSpan w:val="2"/>
          </w:tcPr>
          <w:p>
            <w:pPr>
              <w:ind w:left="20"/>
              <w:spacing w:after="0"/>
              <w:rPr>
                <w:sz w:val="20"/>
                <w:szCs w:val="20"/>
                <w:color w:val="auto"/>
              </w:rPr>
            </w:pPr>
            <w:r>
              <w:rPr>
                <w:rFonts w:ascii="Calibri" w:cs="Calibri" w:eastAsia="Calibri" w:hAnsi="Calibri"/>
                <w:sz w:val="15"/>
                <w:szCs w:val="15"/>
                <w:color w:val="auto"/>
              </w:rPr>
              <w:t>Charge-ofs, recoveries and other</w:t>
            </w:r>
          </w:p>
        </w:tc>
        <w:tc>
          <w:tcPr>
            <w:tcW w:w="680" w:type="dxa"/>
            <w:vAlign w:val="bottom"/>
          </w:tcPr>
          <w:p>
            <w:pPr>
              <w:spacing w:after="0"/>
              <w:rPr>
                <w:sz w:val="16"/>
                <w:szCs w:val="16"/>
                <w:color w:val="auto"/>
              </w:rPr>
            </w:pPr>
          </w:p>
        </w:tc>
        <w:tc>
          <w:tcPr>
            <w:tcW w:w="1140" w:type="dxa"/>
            <w:vAlign w:val="bottom"/>
          </w:tcPr>
          <w:p>
            <w:pPr>
              <w:jc w:val="center"/>
              <w:ind w:left="463"/>
              <w:spacing w:after="0"/>
              <w:rPr>
                <w:sz w:val="20"/>
                <w:szCs w:val="20"/>
                <w:color w:val="auto"/>
              </w:rPr>
            </w:pPr>
            <w:r>
              <w:rPr>
                <w:rFonts w:ascii="Calibri" w:cs="Calibri" w:eastAsia="Calibri" w:hAnsi="Calibri"/>
                <w:sz w:val="15"/>
                <w:szCs w:val="15"/>
                <w:color w:val="auto"/>
              </w:rPr>
              <w:t>(14,814)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alibri" w:cs="Calibri" w:eastAsia="Calibri" w:hAnsi="Calibri"/>
                <w:sz w:val="15"/>
                <w:szCs w:val="15"/>
                <w:color w:val="auto"/>
              </w:rPr>
              <w:t>(51,429)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center"/>
              <w:ind w:left="484"/>
              <w:spacing w:after="0"/>
              <w:rPr>
                <w:sz w:val="20"/>
                <w:szCs w:val="20"/>
                <w:color w:val="auto"/>
              </w:rPr>
            </w:pPr>
            <w:r>
              <w:rPr>
                <w:rFonts w:ascii="Calibri" w:cs="Calibri" w:eastAsia="Calibri" w:hAnsi="Calibri"/>
                <w:sz w:val="15"/>
                <w:szCs w:val="15"/>
                <w:color w:val="auto"/>
              </w:rPr>
              <w:t>(66,243)</w:t>
            </w:r>
          </w:p>
        </w:tc>
      </w:tr>
      <w:tr>
        <w:trPr>
          <w:trHeight w:val="22"/>
        </w:trPr>
        <w:tc>
          <w:tcPr>
            <w:tcW w:w="5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9"/>
        </w:trPr>
        <w:tc>
          <w:tcPr>
            <w:tcW w:w="564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Balances as of December 31, 2022</w:t>
            </w:r>
          </w:p>
        </w:tc>
        <w:tc>
          <w:tcPr>
            <w:tcW w:w="680" w:type="dxa"/>
            <w:vAlign w:val="bottom"/>
            <w:tcBorders>
              <w:bottom w:val="single" w:sz="8" w:color="CCEEFF"/>
            </w:tcBorders>
            <w:shd w:val="clear" w:color="auto" w:fill="CCEEFF"/>
          </w:tcPr>
          <w:p>
            <w:pPr>
              <w:jc w:val="right"/>
              <w:ind w:right="503"/>
              <w:spacing w:after="0" w:line="177" w:lineRule="exact"/>
              <w:rPr>
                <w:sz w:val="20"/>
                <w:szCs w:val="20"/>
                <w:color w:val="auto"/>
              </w:rPr>
            </w:pPr>
            <w:r>
              <w:rPr>
                <w:rFonts w:ascii="Calibri" w:cs="Calibri" w:eastAsia="Calibri" w:hAnsi="Calibri"/>
                <w:sz w:val="15"/>
                <w:szCs w:val="15"/>
                <w:color w:val="auto"/>
              </w:rPr>
              <w:t>$</w:t>
            </w:r>
          </w:p>
        </w:tc>
        <w:tc>
          <w:tcPr>
            <w:tcW w:w="1140" w:type="dxa"/>
            <w:vAlign w:val="bottom"/>
            <w:tcBorders>
              <w:bottom w:val="single" w:sz="8" w:color="CCEEFF"/>
            </w:tcBorders>
            <w:shd w:val="clear" w:color="auto" w:fill="CCEEFF"/>
          </w:tcPr>
          <w:p>
            <w:pPr>
              <w:jc w:val="center"/>
              <w:ind w:left="503"/>
              <w:spacing w:after="0" w:line="177" w:lineRule="exact"/>
              <w:rPr>
                <w:sz w:val="20"/>
                <w:szCs w:val="20"/>
                <w:color w:val="auto"/>
              </w:rPr>
            </w:pPr>
            <w:r>
              <w:rPr>
                <w:rFonts w:ascii="Calibri" w:cs="Calibri" w:eastAsia="Calibri" w:hAnsi="Calibri"/>
                <w:sz w:val="15"/>
                <w:szCs w:val="15"/>
                <w:color w:val="auto"/>
              </w:rPr>
              <w:t>26,408</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3"/>
              <w:spacing w:after="0" w:line="177" w:lineRule="exact"/>
              <w:rPr>
                <w:sz w:val="20"/>
                <w:szCs w:val="20"/>
                <w:color w:val="auto"/>
              </w:rPr>
            </w:pPr>
            <w:r>
              <w:rPr>
                <w:rFonts w:ascii="Calibri" w:cs="Calibri" w:eastAsia="Calibri" w:hAnsi="Calibri"/>
                <w:sz w:val="15"/>
                <w:szCs w:val="15"/>
                <w:color w:val="auto"/>
              </w:rPr>
              <w:t>$</w:t>
            </w:r>
          </w:p>
        </w:tc>
        <w:tc>
          <w:tcPr>
            <w:tcW w:w="11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1,197</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03"/>
              <w:spacing w:after="0" w:line="177" w:lineRule="exact"/>
              <w:rPr>
                <w:sz w:val="20"/>
                <w:szCs w:val="20"/>
                <w:color w:val="auto"/>
              </w:rPr>
            </w:pPr>
            <w:r>
              <w:rPr>
                <w:rFonts w:ascii="Calibri" w:cs="Calibri" w:eastAsia="Calibri" w:hAnsi="Calibri"/>
                <w:sz w:val="15"/>
                <w:szCs w:val="15"/>
                <w:color w:val="auto"/>
              </w:rPr>
              <w:t>$</w:t>
            </w:r>
          </w:p>
        </w:tc>
        <w:tc>
          <w:tcPr>
            <w:tcW w:w="1120" w:type="dxa"/>
            <w:vAlign w:val="bottom"/>
            <w:tcBorders>
              <w:bottom w:val="single" w:sz="8" w:color="CCEEFF"/>
            </w:tcBorders>
            <w:shd w:val="clear" w:color="auto" w:fill="CCEEFF"/>
          </w:tcPr>
          <w:p>
            <w:pPr>
              <w:jc w:val="center"/>
              <w:ind w:left="504"/>
              <w:spacing w:after="0" w:line="177" w:lineRule="exact"/>
              <w:rPr>
                <w:sz w:val="20"/>
                <w:szCs w:val="20"/>
                <w:color w:val="auto"/>
              </w:rPr>
            </w:pPr>
            <w:r>
              <w:rPr>
                <w:rFonts w:ascii="Calibri" w:cs="Calibri" w:eastAsia="Calibri" w:hAnsi="Calibri"/>
                <w:sz w:val="15"/>
                <w:szCs w:val="15"/>
                <w:color w:val="auto"/>
              </w:rPr>
              <w:t>27,605</w:t>
            </w:r>
          </w:p>
        </w:tc>
      </w:tr>
      <w:tr>
        <w:trPr>
          <w:trHeight w:val="32"/>
        </w:trPr>
        <w:tc>
          <w:tcPr>
            <w:tcW w:w="5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159"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Gross charge-ofs of EAs were $27.7 million for the six months ended December 31, 2023, of which $15.4 million related to EA LOCs originated in fscal year 2023 and $12.3 million related to Revolving Loans.</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5: GOODWILL AND INTANGIBLE ASSETS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Changes in the carrying amount of goodwill for the six months ended December 31, 2023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7"/>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gridSpan w:val="2"/>
          </w:tcPr>
          <w:p>
            <w:pPr>
              <w:ind w:left="680"/>
              <w:spacing w:after="0" w:line="177" w:lineRule="exact"/>
              <w:rPr>
                <w:sz w:val="20"/>
                <w:szCs w:val="20"/>
                <w:color w:val="auto"/>
              </w:rPr>
            </w:pPr>
            <w:r>
              <w:rPr>
                <w:rFonts w:ascii="Calibri" w:cs="Calibri" w:eastAsia="Calibri" w:hAnsi="Calibri"/>
                <w:sz w:val="15"/>
                <w:szCs w:val="15"/>
                <w:color w:val="auto"/>
              </w:rPr>
              <w:t>Goodwill</w:t>
            </w:r>
          </w:p>
        </w:tc>
        <w:tc>
          <w:tcPr>
            <w:tcW w:w="2160" w:type="dxa"/>
            <w:vAlign w:val="bottom"/>
            <w:gridSpan w:val="3"/>
          </w:tcPr>
          <w:p>
            <w:pPr>
              <w:ind w:left="20"/>
              <w:spacing w:after="0" w:line="177" w:lineRule="exact"/>
              <w:rPr>
                <w:sz w:val="20"/>
                <w:szCs w:val="20"/>
                <w:color w:val="auto"/>
              </w:rPr>
            </w:pPr>
            <w:r>
              <w:rPr>
                <w:rFonts w:ascii="Calibri" w:cs="Calibri" w:eastAsia="Calibri" w:hAnsi="Calibri"/>
                <w:sz w:val="15"/>
                <w:szCs w:val="15"/>
                <w:color w:val="auto"/>
              </w:rPr>
              <w:t>Accumulated Impairment Losses</w:t>
            </w:r>
          </w:p>
        </w:tc>
        <w:tc>
          <w:tcPr>
            <w:tcW w:w="80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color w:val="auto"/>
              </w:rPr>
              <w:t>Net</w:t>
            </w:r>
          </w:p>
        </w:tc>
      </w:tr>
      <w:tr>
        <w:trPr>
          <w:trHeight w:val="22"/>
        </w:trPr>
        <w:tc>
          <w:tcPr>
            <w:tcW w:w="4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4780" w:type="dxa"/>
            <w:vAlign w:val="bottom"/>
          </w:tcPr>
          <w:p>
            <w:pPr>
              <w:ind w:left="20"/>
              <w:spacing w:after="0" w:line="177" w:lineRule="exact"/>
              <w:rPr>
                <w:sz w:val="20"/>
                <w:szCs w:val="20"/>
                <w:color w:val="auto"/>
              </w:rPr>
            </w:pPr>
            <w:r>
              <w:rPr>
                <w:rFonts w:ascii="Calibri" w:cs="Calibri" w:eastAsia="Calibri" w:hAnsi="Calibri"/>
                <w:sz w:val="15"/>
                <w:szCs w:val="15"/>
                <w:color w:val="auto"/>
              </w:rPr>
              <w:t>Balances as of July 1, 2023</w:t>
            </w:r>
          </w:p>
        </w:tc>
        <w:tc>
          <w:tcPr>
            <w:tcW w:w="100" w:type="dxa"/>
            <w:vAlign w:val="bottom"/>
          </w:tcPr>
          <w:p>
            <w:pPr>
              <w:spacing w:after="0"/>
              <w:rPr>
                <w:sz w:val="15"/>
                <w:szCs w:val="15"/>
                <w:color w:val="auto"/>
              </w:rPr>
            </w:pPr>
          </w:p>
        </w:tc>
        <w:tc>
          <w:tcPr>
            <w:tcW w:w="780" w:type="dxa"/>
            <w:vAlign w:val="bottom"/>
          </w:tcPr>
          <w:p>
            <w:pPr>
              <w:jc w:val="right"/>
              <w:ind w:right="603"/>
              <w:spacing w:after="0" w:line="177" w:lineRule="exact"/>
              <w:rPr>
                <w:sz w:val="20"/>
                <w:szCs w:val="20"/>
                <w:color w:val="auto"/>
              </w:rPr>
            </w:pPr>
            <w:r>
              <w:rPr>
                <w:rFonts w:ascii="Calibri" w:cs="Calibri" w:eastAsia="Calibri" w:hAnsi="Calibri"/>
                <w:sz w:val="15"/>
                <w:szCs w:val="15"/>
                <w:b w:val="1"/>
                <w:bCs w:val="1"/>
                <w:color w:val="auto"/>
              </w:rPr>
              <w:t>$</w:t>
            </w:r>
          </w:p>
        </w:tc>
        <w:tc>
          <w:tcPr>
            <w:tcW w:w="126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913,750</w:t>
            </w:r>
          </w:p>
        </w:tc>
        <w:tc>
          <w:tcPr>
            <w:tcW w:w="80" w:type="dxa"/>
            <w:vAlign w:val="bottom"/>
          </w:tcPr>
          <w:p>
            <w:pPr>
              <w:spacing w:after="0"/>
              <w:rPr>
                <w:sz w:val="15"/>
                <w:szCs w:val="15"/>
                <w:color w:val="auto"/>
              </w:rPr>
            </w:pPr>
          </w:p>
        </w:tc>
        <w:tc>
          <w:tcPr>
            <w:tcW w:w="780" w:type="dxa"/>
            <w:vAlign w:val="bottom"/>
          </w:tcPr>
          <w:p>
            <w:pPr>
              <w:ind w:left="20"/>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(138,297)</w:t>
            </w:r>
          </w:p>
        </w:tc>
        <w:tc>
          <w:tcPr>
            <w:tcW w:w="80" w:type="dxa"/>
            <w:vAlign w:val="bottom"/>
          </w:tcPr>
          <w:p>
            <w:pPr>
              <w:spacing w:after="0"/>
              <w:rPr>
                <w:sz w:val="15"/>
                <w:szCs w:val="15"/>
                <w:color w:val="auto"/>
              </w:rPr>
            </w:pPr>
          </w:p>
        </w:tc>
        <w:tc>
          <w:tcPr>
            <w:tcW w:w="800" w:type="dxa"/>
            <w:vAlign w:val="bottom"/>
          </w:tcPr>
          <w:p>
            <w:pPr>
              <w:jc w:val="right"/>
              <w:ind w:right="6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775,453</w:t>
            </w:r>
          </w:p>
        </w:tc>
      </w:tr>
      <w:tr>
        <w:trPr>
          <w:trHeight w:val="22"/>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6"/>
        </w:trPr>
        <w:tc>
          <w:tcPr>
            <w:tcW w:w="4880" w:type="dxa"/>
            <w:vAlign w:val="bottom"/>
            <w:gridSpan w:val="2"/>
            <w:shd w:val="clear" w:color="auto" w:fill="CCEEFF"/>
          </w:tcPr>
          <w:p>
            <w:pPr>
              <w:ind w:left="20"/>
              <w:spacing w:after="0" w:line="206" w:lineRule="exact"/>
              <w:rPr>
                <w:sz w:val="20"/>
                <w:szCs w:val="20"/>
                <w:color w:val="auto"/>
              </w:rPr>
            </w:pPr>
            <w:r>
              <w:rPr>
                <w:rFonts w:ascii="Calibri" w:cs="Calibri" w:eastAsia="Calibri" w:hAnsi="Calibri"/>
                <w:sz w:val="15"/>
                <w:szCs w:val="15"/>
                <w:color w:val="auto"/>
              </w:rPr>
              <w:t>Acquisitons</w:t>
            </w:r>
            <w:r>
              <w:rPr>
                <w:rFonts w:ascii="Calibri" w:cs="Calibri" w:eastAsia="Calibri" w:hAnsi="Calibri"/>
                <w:sz w:val="20"/>
                <w:szCs w:val="20"/>
                <w:color w:val="auto"/>
                <w:vertAlign w:val="superscript"/>
              </w:rPr>
              <w:t>(1)</w:t>
            </w: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13,514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100"/>
              <w:spacing w:after="0"/>
              <w:rPr>
                <w:sz w:val="20"/>
                <w:szCs w:val="20"/>
                <w:color w:val="auto"/>
              </w:rPr>
            </w:pPr>
            <w:r>
              <w:rPr>
                <w:rFonts w:ascii="Calibri" w:cs="Calibri" w:eastAsia="Calibri" w:hAnsi="Calibri"/>
                <w:sz w:val="15"/>
                <w:szCs w:val="15"/>
                <w:b w:val="1"/>
                <w:bCs w:val="1"/>
                <w:color w:val="auto"/>
              </w:rPr>
              <w:t>—</w:t>
            </w: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13,514</w:t>
            </w:r>
          </w:p>
        </w:tc>
      </w:tr>
      <w:tr>
        <w:trPr>
          <w:trHeight w:val="184"/>
        </w:trPr>
        <w:tc>
          <w:tcPr>
            <w:tcW w:w="4880" w:type="dxa"/>
            <w:vAlign w:val="bottom"/>
            <w:gridSpan w:val="2"/>
          </w:tcPr>
          <w:p>
            <w:pPr>
              <w:ind w:left="20"/>
              <w:spacing w:after="0"/>
              <w:rPr>
                <w:sz w:val="20"/>
                <w:szCs w:val="20"/>
                <w:color w:val="auto"/>
              </w:rPr>
            </w:pPr>
            <w:r>
              <w:rPr>
                <w:rFonts w:ascii="Calibri" w:cs="Calibri" w:eastAsia="Calibri" w:hAnsi="Calibri"/>
                <w:sz w:val="15"/>
                <w:szCs w:val="15"/>
                <w:color w:val="auto"/>
              </w:rPr>
              <w:t>Disposals and foreign currency changes, net</w:t>
            </w:r>
          </w:p>
        </w:tc>
        <w:tc>
          <w:tcPr>
            <w:tcW w:w="7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alibri" w:cs="Calibri" w:eastAsia="Calibri" w:hAnsi="Calibri"/>
                <w:sz w:val="15"/>
                <w:szCs w:val="15"/>
                <w:b w:val="1"/>
                <w:bCs w:val="1"/>
                <w:color w:val="auto"/>
              </w:rPr>
              <w:t>101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gridSpan w:val="2"/>
          </w:tcPr>
          <w:p>
            <w:pPr>
              <w:ind w:left="1100"/>
              <w:spacing w:after="0"/>
              <w:rPr>
                <w:sz w:val="20"/>
                <w:szCs w:val="20"/>
                <w:color w:val="auto"/>
              </w:rPr>
            </w:pPr>
            <w:r>
              <w:rPr>
                <w:rFonts w:ascii="Calibri" w:cs="Calibri" w:eastAsia="Calibri" w:hAnsi="Calibri"/>
                <w:sz w:val="15"/>
                <w:szCs w:val="15"/>
                <w:b w:val="1"/>
                <w:bCs w:val="1"/>
                <w:color w:val="auto"/>
              </w:rPr>
              <w:t>—</w:t>
            </w:r>
          </w:p>
        </w:tc>
        <w:tc>
          <w:tcPr>
            <w:tcW w:w="8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101</w:t>
            </w:r>
          </w:p>
        </w:tc>
      </w:tr>
      <w:tr>
        <w:trPr>
          <w:trHeight w:val="22"/>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6"/>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Impairments</w:t>
            </w:r>
          </w:p>
        </w:tc>
        <w:tc>
          <w:tcPr>
            <w:tcW w:w="7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Calibri" w:cs="Calibri" w:eastAsia="Calibri" w:hAnsi="Calibri"/>
                <w:sz w:val="15"/>
                <w:szCs w:val="15"/>
                <w:b w:val="1"/>
                <w:bCs w:val="1"/>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ind w:left="1100"/>
              <w:spacing w:after="0"/>
              <w:rPr>
                <w:sz w:val="20"/>
                <w:szCs w:val="20"/>
                <w:color w:val="auto"/>
              </w:rPr>
            </w:pPr>
            <w:r>
              <w:rPr>
                <w:rFonts w:ascii="Calibri" w:cs="Calibri" w:eastAsia="Calibri" w:hAnsi="Calibri"/>
                <w:sz w:val="15"/>
                <w:szCs w:val="15"/>
                <w:b w:val="1"/>
                <w:bCs w:val="1"/>
                <w:color w:val="auto"/>
              </w:rPr>
              <w:t>—</w:t>
            </w:r>
          </w:p>
        </w:tc>
        <w:tc>
          <w:tcPr>
            <w:tcW w:w="8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w:t>
            </w:r>
          </w:p>
        </w:tc>
      </w:tr>
      <w:tr>
        <w:trPr>
          <w:trHeight w:val="177"/>
        </w:trPr>
        <w:tc>
          <w:tcPr>
            <w:tcW w:w="48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Balances as of December 31, 2023</w:t>
            </w:r>
          </w:p>
        </w:tc>
        <w:tc>
          <w:tcPr>
            <w:tcW w:w="780" w:type="dxa"/>
            <w:vAlign w:val="bottom"/>
            <w:tcBorders>
              <w:top w:val="single" w:sz="8" w:color="auto"/>
            </w:tcBorders>
          </w:tcPr>
          <w:p>
            <w:pPr>
              <w:jc w:val="right"/>
              <w:ind w:right="603"/>
              <w:spacing w:after="0" w:line="177" w:lineRule="exact"/>
              <w:rPr>
                <w:sz w:val="20"/>
                <w:szCs w:val="20"/>
                <w:color w:val="auto"/>
              </w:rPr>
            </w:pPr>
            <w:r>
              <w:rPr>
                <w:rFonts w:ascii="Calibri" w:cs="Calibri" w:eastAsia="Calibri" w:hAnsi="Calibri"/>
                <w:sz w:val="15"/>
                <w:szCs w:val="15"/>
                <w:b w:val="1"/>
                <w:bCs w:val="1"/>
                <w:color w:val="auto"/>
              </w:rPr>
              <w:t>$</w:t>
            </w:r>
          </w:p>
        </w:tc>
        <w:tc>
          <w:tcPr>
            <w:tcW w:w="12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927,365</w:t>
            </w:r>
          </w:p>
        </w:tc>
        <w:tc>
          <w:tcPr>
            <w:tcW w:w="80" w:type="dxa"/>
            <w:vAlign w:val="bottom"/>
          </w:tcPr>
          <w:p>
            <w:pPr>
              <w:spacing w:after="0"/>
              <w:rPr>
                <w:sz w:val="15"/>
                <w:szCs w:val="15"/>
                <w:color w:val="auto"/>
              </w:rPr>
            </w:pPr>
          </w:p>
        </w:tc>
        <w:tc>
          <w:tcPr>
            <w:tcW w:w="78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b w:val="1"/>
                <w:bCs w:val="1"/>
                <w:color w:val="auto"/>
              </w:rPr>
              <w:t>$</w:t>
            </w:r>
          </w:p>
        </w:tc>
        <w:tc>
          <w:tcPr>
            <w:tcW w:w="1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(138,297)</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62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789,068</w:t>
            </w:r>
          </w:p>
        </w:tc>
      </w:tr>
      <w:tr>
        <w:trPr>
          <w:trHeight w:val="59"/>
        </w:trPr>
        <w:tc>
          <w:tcPr>
            <w:tcW w:w="4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0"/>
        </w:trPr>
        <w:tc>
          <w:tcPr>
            <w:tcW w:w="47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220" w:hanging="217"/>
        <w:spacing w:after="0"/>
        <w:tabs>
          <w:tab w:leader="none" w:pos="220" w:val="left"/>
        </w:tabs>
        <w:numPr>
          <w:ilvl w:val="0"/>
          <w:numId w:val="9"/>
        </w:numPr>
        <w:rPr>
          <w:rFonts w:ascii="Calibri" w:cs="Calibri" w:eastAsia="Calibri" w:hAnsi="Calibri"/>
          <w:sz w:val="18"/>
          <w:szCs w:val="18"/>
          <w:color w:val="auto"/>
          <w:vertAlign w:val="superscript"/>
        </w:rPr>
      </w:pPr>
      <w:r>
        <w:rPr>
          <w:rFonts w:ascii="Calibri" w:cs="Calibri" w:eastAsia="Calibri" w:hAnsi="Calibri"/>
          <w:sz w:val="14"/>
          <w:szCs w:val="14"/>
          <w:color w:val="auto"/>
        </w:rPr>
        <w:t>All goodwill added during the period is expected to be tax-deductble for federal income tax reportng.</w:t>
      </w:r>
    </w:p>
    <w:p>
      <w:pPr>
        <w:spacing w:after="0" w:line="113" w:lineRule="exact"/>
        <w:rPr>
          <w:sz w:val="20"/>
          <w:szCs w:val="20"/>
          <w:color w:val="auto"/>
        </w:rPr>
      </w:pPr>
    </w:p>
    <w:p>
      <w:pPr>
        <w:ind w:firstLine="193"/>
        <w:spacing w:after="0" w:line="237" w:lineRule="auto"/>
        <w:rPr>
          <w:sz w:val="20"/>
          <w:szCs w:val="20"/>
          <w:color w:val="auto"/>
        </w:rPr>
      </w:pPr>
      <w:r>
        <w:rPr>
          <w:rFonts w:ascii="Calibri" w:cs="Calibri" w:eastAsia="Calibri" w:hAnsi="Calibri"/>
          <w:sz w:val="17"/>
          <w:szCs w:val="17"/>
          <w:color w:val="auto"/>
        </w:rPr>
        <w:t>We test goodwill for impairment annually as of February 1, or more frequently if events occur or circumstances change which would, more likely than not, reduce the fair value of a reportng unit below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hanging="259"/>
        <w:spacing w:after="0"/>
        <w:tabs>
          <w:tab w:leader="none" w:pos="360" w:val="left"/>
        </w:tabs>
        <w:numPr>
          <w:ilvl w:val="0"/>
          <w:numId w:val="10"/>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Components of intangible assets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43"/>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gridSpan w:val="2"/>
          </w:tcPr>
          <w:p>
            <w:pPr>
              <w:jc w:val="right"/>
              <w:ind w:right="100"/>
              <w:spacing w:after="0" w:line="143" w:lineRule="exact"/>
              <w:rPr>
                <w:sz w:val="20"/>
                <w:szCs w:val="20"/>
                <w:color w:val="auto"/>
              </w:rPr>
            </w:pPr>
            <w:r>
              <w:rPr>
                <w:rFonts w:ascii="Calibri" w:cs="Calibri" w:eastAsia="Calibri" w:hAnsi="Calibri"/>
                <w:sz w:val="15"/>
                <w:szCs w:val="15"/>
                <w:color w:val="auto"/>
              </w:rPr>
              <w:t>Accumulated</w:t>
            </w: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4"/>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Calibri" w:cs="Calibri" w:eastAsia="Calibri" w:hAnsi="Calibri"/>
                <w:sz w:val="15"/>
                <w:szCs w:val="15"/>
                <w:color w:val="auto"/>
              </w:rPr>
              <w:t>Gross Carrying Amount</w:t>
            </w:r>
          </w:p>
        </w:tc>
        <w:tc>
          <w:tcPr>
            <w:tcW w:w="50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Amortzaton</w:t>
            </w: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Net</w:t>
            </w:r>
          </w:p>
        </w:tc>
      </w:tr>
      <w:tr>
        <w:trPr>
          <w:trHeight w:val="26"/>
        </w:trPr>
        <w:tc>
          <w:tcPr>
            <w:tcW w:w="5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7"/>
        </w:trPr>
        <w:tc>
          <w:tcPr>
            <w:tcW w:w="5760" w:type="dxa"/>
            <w:vAlign w:val="bottom"/>
          </w:tcPr>
          <w:p>
            <w:pPr>
              <w:ind w:left="20"/>
              <w:spacing w:after="0" w:line="177" w:lineRule="exact"/>
              <w:rPr>
                <w:sz w:val="20"/>
                <w:szCs w:val="20"/>
                <w:color w:val="auto"/>
              </w:rPr>
            </w:pPr>
            <w:r>
              <w:rPr>
                <w:rFonts w:ascii="Calibri" w:cs="Calibri" w:eastAsia="Calibri" w:hAnsi="Calibri"/>
                <w:sz w:val="15"/>
                <w:szCs w:val="15"/>
                <w:color w:val="auto"/>
              </w:rPr>
              <w:t>As of December 31, 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Reacquired franchise rights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b w:val="1"/>
                <w:bCs w:val="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400,059</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23"/>
              <w:spacing w:after="0"/>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(220,263)</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43"/>
              <w:spacing w:after="0"/>
              <w:rPr>
                <w:sz w:val="20"/>
                <w:szCs w:val="20"/>
                <w:color w:val="auto"/>
              </w:rPr>
            </w:pPr>
            <w:r>
              <w:rPr>
                <w:rFonts w:ascii="Calibri" w:cs="Calibri" w:eastAsia="Calibri" w:hAnsi="Calibri"/>
                <w:sz w:val="15"/>
                <w:szCs w:val="15"/>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179,796</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Customer relatonships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b w:val="1"/>
                <w:bCs w:val="1"/>
                <w:color w:val="auto"/>
              </w:rPr>
              <w:t>372,328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(312,360)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59,968</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Internally-developed sofware</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133,388</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(126,427)</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6,961</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Noncompete agreements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b w:val="1"/>
                <w:bCs w:val="1"/>
                <w:color w:val="auto"/>
              </w:rPr>
              <w:t>43,536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(40,623)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2,913</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Franchise agreements</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19,201</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(19,201)</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Purchased technology</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b w:val="1"/>
                <w:bCs w:val="1"/>
                <w:color w:val="auto"/>
              </w:rPr>
              <w:t>122,700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(100,298)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b w:val="1"/>
                <w:bCs w:val="1"/>
                <w:color w:val="auto"/>
              </w:rPr>
              <w:t>22,402</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Trade name</w:t>
            </w:r>
          </w:p>
        </w:tc>
        <w:tc>
          <w:tcPr>
            <w:tcW w:w="1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5,800</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(2,610)</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3,190</w:t>
            </w:r>
          </w:p>
        </w:tc>
      </w:tr>
      <w:tr>
        <w:trPr>
          <w:trHeight w:val="177"/>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rPr>
              <w:t>$</w:t>
            </w:r>
          </w:p>
        </w:tc>
        <w:tc>
          <w:tcPr>
            <w:tcW w:w="15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1,097,012</w:t>
            </w:r>
          </w:p>
        </w:tc>
        <w:tc>
          <w:tcPr>
            <w:tcW w:w="80" w:type="dxa"/>
            <w:vAlign w:val="bottom"/>
          </w:tcPr>
          <w:p>
            <w:pPr>
              <w:spacing w:after="0"/>
              <w:rPr>
                <w:sz w:val="15"/>
                <w:szCs w:val="15"/>
                <w:color w:val="auto"/>
              </w:rPr>
            </w:pPr>
          </w:p>
        </w:tc>
        <w:tc>
          <w:tcPr>
            <w:tcW w:w="500" w:type="dxa"/>
            <w:vAlign w:val="bottom"/>
            <w:tcBorders>
              <w:top w:val="single" w:sz="8" w:color="auto"/>
            </w:tcBorders>
          </w:tcPr>
          <w:p>
            <w:pPr>
              <w:jc w:val="right"/>
              <w:ind w:right="32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(821,782)</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right"/>
              <w:ind w:right="443"/>
              <w:spacing w:after="0" w:line="177" w:lineRule="exact"/>
              <w:rPr>
                <w:sz w:val="20"/>
                <w:szCs w:val="20"/>
                <w:color w:val="auto"/>
              </w:rPr>
            </w:pPr>
            <w:r>
              <w:rPr>
                <w:rFonts w:ascii="Calibri" w:cs="Calibri" w:eastAsia="Calibri" w:hAnsi="Calibri"/>
                <w:sz w:val="15"/>
                <w:szCs w:val="15"/>
                <w:b w:val="1"/>
                <w:bCs w:val="1"/>
                <w:color w:val="auto"/>
              </w:rPr>
              <w:t>$</w:t>
            </w:r>
          </w:p>
        </w:tc>
        <w:tc>
          <w:tcPr>
            <w:tcW w:w="11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275,230</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6"/>
        </w:trPr>
        <w:tc>
          <w:tcPr>
            <w:tcW w:w="586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As of June 30, 2023:</w:t>
            </w:r>
          </w:p>
        </w:tc>
        <w:tc>
          <w:tcPr>
            <w:tcW w:w="1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Reacquired franchise rights</w:t>
            </w:r>
          </w:p>
        </w:tc>
        <w:tc>
          <w:tcPr>
            <w:tcW w:w="180" w:type="dxa"/>
            <w:vAlign w:val="bottom"/>
          </w:tcPr>
          <w:p>
            <w:pPr>
              <w:jc w:val="right"/>
              <w:ind w:right="3"/>
              <w:spacing w:after="0"/>
              <w:rPr>
                <w:sz w:val="20"/>
                <w:szCs w:val="20"/>
                <w:color w:val="auto"/>
              </w:rPr>
            </w:pPr>
            <w:r>
              <w:rPr>
                <w:rFonts w:ascii="Calibri" w:cs="Calibri" w:eastAsia="Calibri" w:hAnsi="Calibri"/>
                <w:sz w:val="15"/>
                <w:szCs w:val="15"/>
                <w:color w:val="auto"/>
              </w:rPr>
              <w:t>$</w:t>
            </w:r>
          </w:p>
        </w:tc>
        <w:tc>
          <w:tcPr>
            <w:tcW w:w="1560" w:type="dxa"/>
            <w:vAlign w:val="bottom"/>
          </w:tcPr>
          <w:p>
            <w:pPr>
              <w:jc w:val="right"/>
              <w:spacing w:after="0"/>
              <w:rPr>
                <w:sz w:val="20"/>
                <w:szCs w:val="20"/>
                <w:color w:val="auto"/>
              </w:rPr>
            </w:pPr>
            <w:r>
              <w:rPr>
                <w:rFonts w:ascii="Calibri" w:cs="Calibri" w:eastAsia="Calibri" w:hAnsi="Calibri"/>
                <w:sz w:val="15"/>
                <w:szCs w:val="15"/>
                <w:color w:val="auto"/>
              </w:rPr>
              <w:t>392,452</w:t>
            </w:r>
          </w:p>
        </w:tc>
        <w:tc>
          <w:tcPr>
            <w:tcW w:w="80" w:type="dxa"/>
            <w:vAlign w:val="bottom"/>
          </w:tcPr>
          <w:p>
            <w:pPr>
              <w:spacing w:after="0"/>
              <w:rPr>
                <w:sz w:val="16"/>
                <w:szCs w:val="16"/>
                <w:color w:val="auto"/>
              </w:rPr>
            </w:pPr>
          </w:p>
        </w:tc>
        <w:tc>
          <w:tcPr>
            <w:tcW w:w="500" w:type="dxa"/>
            <w:vAlign w:val="bottom"/>
          </w:tcPr>
          <w:p>
            <w:pPr>
              <w:jc w:val="right"/>
              <w:ind w:right="323"/>
              <w:spacing w:after="0"/>
              <w:rPr>
                <w:sz w:val="20"/>
                <w:szCs w:val="20"/>
                <w:color w:val="auto"/>
              </w:rPr>
            </w:pPr>
            <w:r>
              <w:rPr>
                <w:rFonts w:ascii="Calibri" w:cs="Calibri" w:eastAsia="Calibri" w:hAnsi="Calibri"/>
                <w:sz w:val="15"/>
                <w:szCs w:val="15"/>
                <w:color w:val="auto"/>
              </w:rPr>
              <w:t>$</w:t>
            </w:r>
          </w:p>
        </w:tc>
        <w:tc>
          <w:tcPr>
            <w:tcW w:w="1240" w:type="dxa"/>
            <w:vAlign w:val="bottom"/>
          </w:tcPr>
          <w:p>
            <w:pPr>
              <w:jc w:val="right"/>
              <w:spacing w:after="0"/>
              <w:rPr>
                <w:sz w:val="20"/>
                <w:szCs w:val="20"/>
                <w:color w:val="auto"/>
              </w:rPr>
            </w:pPr>
            <w:r>
              <w:rPr>
                <w:rFonts w:ascii="Calibri" w:cs="Calibri" w:eastAsia="Calibri" w:hAnsi="Calibri"/>
                <w:sz w:val="15"/>
                <w:szCs w:val="15"/>
                <w:color w:val="auto"/>
              </w:rPr>
              <w:t>(212,495)</w:t>
            </w:r>
          </w:p>
        </w:tc>
        <w:tc>
          <w:tcPr>
            <w:tcW w:w="100" w:type="dxa"/>
            <w:vAlign w:val="bottom"/>
          </w:tcPr>
          <w:p>
            <w:pPr>
              <w:spacing w:after="0"/>
              <w:rPr>
                <w:sz w:val="16"/>
                <w:szCs w:val="16"/>
                <w:color w:val="auto"/>
              </w:rPr>
            </w:pPr>
          </w:p>
        </w:tc>
        <w:tc>
          <w:tcPr>
            <w:tcW w:w="620" w:type="dxa"/>
            <w:vAlign w:val="bottom"/>
          </w:tcPr>
          <w:p>
            <w:pPr>
              <w:jc w:val="right"/>
              <w:ind w:right="443"/>
              <w:spacing w:after="0"/>
              <w:rPr>
                <w:sz w:val="20"/>
                <w:szCs w:val="20"/>
                <w:color w:val="auto"/>
              </w:rPr>
            </w:pPr>
            <w:r>
              <w:rPr>
                <w:rFonts w:ascii="Calibri" w:cs="Calibri" w:eastAsia="Calibri" w:hAnsi="Calibri"/>
                <w:sz w:val="15"/>
                <w:szCs w:val="15"/>
                <w:color w:val="auto"/>
              </w:rPr>
              <w:t>$</w:t>
            </w:r>
          </w:p>
        </w:tc>
        <w:tc>
          <w:tcPr>
            <w:tcW w:w="1100" w:type="dxa"/>
            <w:vAlign w:val="bottom"/>
          </w:tcPr>
          <w:p>
            <w:pPr>
              <w:jc w:val="right"/>
              <w:spacing w:after="0"/>
              <w:rPr>
                <w:sz w:val="20"/>
                <w:szCs w:val="20"/>
                <w:color w:val="auto"/>
              </w:rPr>
            </w:pPr>
            <w:r>
              <w:rPr>
                <w:rFonts w:ascii="Calibri" w:cs="Calibri" w:eastAsia="Calibri" w:hAnsi="Calibri"/>
                <w:sz w:val="15"/>
                <w:szCs w:val="15"/>
                <w:color w:val="auto"/>
              </w:rPr>
              <w:t>179,957</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Customer relatonships</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351,695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(301,062)</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50,633</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Internally-developed sofware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color w:val="auto"/>
              </w:rPr>
              <w:t>133,380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(120,054)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13,326</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Noncompete agreements</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42,596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(39,617)</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2,979</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Franchise agreements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color w:val="auto"/>
              </w:rPr>
              <w:t>19,201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(18,668)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533</w:t>
            </w:r>
          </w:p>
        </w:tc>
      </w:tr>
      <w:tr>
        <w:trPr>
          <w:trHeight w:val="22"/>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6"/>
        </w:trPr>
        <w:tc>
          <w:tcPr>
            <w:tcW w:w="58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Purchased technology</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122,700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(96,565)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26,135</w:t>
            </w:r>
          </w:p>
        </w:tc>
      </w:tr>
      <w:tr>
        <w:trPr>
          <w:trHeight w:val="184"/>
        </w:trPr>
        <w:tc>
          <w:tcPr>
            <w:tcW w:w="5860" w:type="dxa"/>
            <w:vAlign w:val="bottom"/>
            <w:gridSpan w:val="2"/>
          </w:tcPr>
          <w:p>
            <w:pPr>
              <w:ind w:left="140"/>
              <w:spacing w:after="0"/>
              <w:rPr>
                <w:sz w:val="20"/>
                <w:szCs w:val="20"/>
                <w:color w:val="auto"/>
              </w:rPr>
            </w:pPr>
            <w:r>
              <w:rPr>
                <w:rFonts w:ascii="Calibri" w:cs="Calibri" w:eastAsia="Calibri" w:hAnsi="Calibri"/>
                <w:sz w:val="15"/>
                <w:szCs w:val="15"/>
                <w:color w:val="auto"/>
              </w:rPr>
              <w:t>Trade name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Calibri" w:cs="Calibri" w:eastAsia="Calibri" w:hAnsi="Calibri"/>
                <w:sz w:val="15"/>
                <w:szCs w:val="15"/>
                <w:color w:val="auto"/>
              </w:rPr>
              <w:t>5,800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color w:val="auto"/>
              </w:rPr>
              <w:t>(2,320)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alibri" w:cs="Calibri" w:eastAsia="Calibri" w:hAnsi="Calibri"/>
                <w:sz w:val="15"/>
                <w:szCs w:val="15"/>
                <w:color w:val="auto"/>
              </w:rPr>
              <w:t>3,480</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5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
              <w:spacing w:after="0" w:line="177" w:lineRule="exact"/>
              <w:rPr>
                <w:sz w:val="20"/>
                <w:szCs w:val="20"/>
                <w:color w:val="auto"/>
              </w:rPr>
            </w:pPr>
            <w:r>
              <w:rPr>
                <w:rFonts w:ascii="Calibri" w:cs="Calibri" w:eastAsia="Calibri" w:hAnsi="Calibri"/>
                <w:sz w:val="15"/>
                <w:szCs w:val="15"/>
                <w:color w:val="auto"/>
              </w:rPr>
              <w:t>$</w:t>
            </w:r>
          </w:p>
        </w:tc>
        <w:tc>
          <w:tcPr>
            <w:tcW w:w="15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1,067,824</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3"/>
              <w:spacing w:after="0" w:line="177" w:lineRule="exact"/>
              <w:rPr>
                <w:sz w:val="20"/>
                <w:szCs w:val="20"/>
                <w:color w:val="auto"/>
              </w:rPr>
            </w:pPr>
            <w:r>
              <w:rPr>
                <w:rFonts w:ascii="Calibri" w:cs="Calibri" w:eastAsia="Calibri" w:hAnsi="Calibri"/>
                <w:sz w:val="15"/>
                <w:szCs w:val="15"/>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(790,781)</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43"/>
              <w:spacing w:after="0" w:line="177" w:lineRule="exact"/>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277,043</w:t>
            </w:r>
          </w:p>
        </w:tc>
      </w:tr>
      <w:tr>
        <w:trPr>
          <w:trHeight w:val="32"/>
        </w:trPr>
        <w:tc>
          <w:tcPr>
            <w:tcW w:w="5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159" w:lineRule="exact"/>
        <w:rPr>
          <w:sz w:val="20"/>
          <w:szCs w:val="20"/>
          <w:color w:val="auto"/>
        </w:rPr>
      </w:pPr>
    </w:p>
    <w:p>
      <w:pPr>
        <w:jc w:val="both"/>
        <w:ind w:firstLine="193"/>
        <w:spacing w:after="0" w:line="237" w:lineRule="auto"/>
        <w:rPr>
          <w:sz w:val="20"/>
          <w:szCs w:val="20"/>
          <w:color w:val="auto"/>
        </w:rPr>
      </w:pPr>
      <w:r>
        <w:rPr>
          <w:rFonts w:ascii="Calibri" w:cs="Calibri" w:eastAsia="Calibri" w:hAnsi="Calibri"/>
          <w:sz w:val="17"/>
          <w:szCs w:val="17"/>
          <w:color w:val="auto"/>
        </w:rPr>
        <w:t>We made payments to acquire businesses totaling $27.2 million and $39.8 million during the six months ended December 31, 2023 and 2022, respectvely. The amounts and weighted-average lives of intangible assets acquired during the six months ended December 31, 2023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Calibri" w:cs="Calibri" w:eastAsia="Calibri" w:hAnsi="Calibri"/>
                <w:sz w:val="14"/>
                <w:szCs w:val="14"/>
                <w:color w:val="auto"/>
              </w:rPr>
              <w:t>(dollars in 000s)</w:t>
            </w:r>
          </w:p>
        </w:tc>
      </w:tr>
      <w:tr>
        <w:trPr>
          <w:trHeight w:val="43"/>
        </w:trPr>
        <w:tc>
          <w:tcPr>
            <w:tcW w:w="5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177"/>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40" w:type="dxa"/>
            <w:vAlign w:val="bottom"/>
          </w:tcPr>
          <w:p>
            <w:pPr>
              <w:jc w:val="right"/>
              <w:spacing w:after="0" w:line="177" w:lineRule="exact"/>
              <w:rPr>
                <w:sz w:val="20"/>
                <w:szCs w:val="20"/>
                <w:color w:val="auto"/>
              </w:rPr>
            </w:pPr>
            <w:r>
              <w:rPr>
                <w:rFonts w:ascii="Calibri" w:cs="Calibri" w:eastAsia="Calibri" w:hAnsi="Calibri"/>
                <w:sz w:val="15"/>
                <w:szCs w:val="15"/>
                <w:color w:val="auto"/>
              </w:rPr>
              <w:t>Amount</w:t>
            </w:r>
          </w:p>
        </w:tc>
        <w:tc>
          <w:tcPr>
            <w:tcW w:w="80" w:type="dxa"/>
            <w:vAlign w:val="bottom"/>
          </w:tcPr>
          <w:p>
            <w:pPr>
              <w:spacing w:after="0"/>
              <w:rPr>
                <w:sz w:val="15"/>
                <w:szCs w:val="15"/>
                <w:color w:val="auto"/>
              </w:rPr>
            </w:pPr>
          </w:p>
        </w:tc>
        <w:tc>
          <w:tcPr>
            <w:tcW w:w="3000" w:type="dxa"/>
            <w:vAlign w:val="bottom"/>
          </w:tcPr>
          <w:p>
            <w:pPr>
              <w:jc w:val="right"/>
              <w:spacing w:after="0" w:line="177" w:lineRule="exact"/>
              <w:rPr>
                <w:sz w:val="20"/>
                <w:szCs w:val="20"/>
                <w:color w:val="auto"/>
              </w:rPr>
            </w:pPr>
            <w:r>
              <w:rPr>
                <w:rFonts w:ascii="Calibri" w:cs="Calibri" w:eastAsia="Calibri" w:hAnsi="Calibri"/>
                <w:sz w:val="15"/>
                <w:szCs w:val="15"/>
                <w:color w:val="auto"/>
              </w:rPr>
              <w:t>Weighted-Average Life (in years)</w:t>
            </w:r>
          </w:p>
        </w:tc>
      </w:tr>
      <w:tr>
        <w:trPr>
          <w:trHeight w:val="22"/>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177"/>
        </w:trPr>
        <w:tc>
          <w:tcPr>
            <w:tcW w:w="562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Customer relatonships</w:t>
            </w:r>
          </w:p>
        </w:tc>
        <w:tc>
          <w:tcPr>
            <w:tcW w:w="80" w:type="dxa"/>
            <w:vAlign w:val="bottom"/>
          </w:tcPr>
          <w:p>
            <w:pPr>
              <w:spacing w:after="0"/>
              <w:rPr>
                <w:sz w:val="15"/>
                <w:szCs w:val="15"/>
                <w:color w:val="auto"/>
              </w:rPr>
            </w:pPr>
          </w:p>
        </w:tc>
        <w:tc>
          <w:tcPr>
            <w:tcW w:w="1020" w:type="dxa"/>
            <w:vAlign w:val="bottom"/>
            <w:tcBorders>
              <w:top w:val="single" w:sz="8" w:color="auto"/>
            </w:tcBorders>
          </w:tcPr>
          <w:p>
            <w:pPr>
              <w:jc w:val="right"/>
              <w:ind w:right="843"/>
              <w:spacing w:after="0" w:line="177" w:lineRule="exact"/>
              <w:rPr>
                <w:sz w:val="20"/>
                <w:szCs w:val="20"/>
                <w:color w:val="auto"/>
              </w:rPr>
            </w:pPr>
            <w:r>
              <w:rPr>
                <w:rFonts w:ascii="Calibri" w:cs="Calibri" w:eastAsia="Calibri" w:hAnsi="Calibri"/>
                <w:sz w:val="15"/>
                <w:szCs w:val="15"/>
                <w:b w:val="1"/>
                <w:bCs w:val="1"/>
                <w:color w:val="auto"/>
              </w:rPr>
              <w:t>$</w:t>
            </w:r>
          </w:p>
        </w:tc>
        <w:tc>
          <w:tcPr>
            <w:tcW w:w="14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20,933</w:t>
            </w:r>
          </w:p>
        </w:tc>
        <w:tc>
          <w:tcPr>
            <w:tcW w:w="80" w:type="dxa"/>
            <w:vAlign w:val="bottom"/>
          </w:tcPr>
          <w:p>
            <w:pPr>
              <w:spacing w:after="0"/>
              <w:rPr>
                <w:sz w:val="15"/>
                <w:szCs w:val="15"/>
                <w:color w:val="auto"/>
              </w:rPr>
            </w:pPr>
          </w:p>
        </w:tc>
        <w:tc>
          <w:tcPr>
            <w:tcW w:w="3000" w:type="dxa"/>
            <w:vAlign w:val="bottom"/>
            <w:tcBorders>
              <w:top w:val="single" w:sz="8" w:color="auto"/>
            </w:tcBorders>
          </w:tcPr>
          <w:p>
            <w:pPr>
              <w:jc w:val="right"/>
              <w:ind w:right="1386"/>
              <w:spacing w:after="0" w:line="177" w:lineRule="exact"/>
              <w:rPr>
                <w:sz w:val="20"/>
                <w:szCs w:val="20"/>
                <w:color w:val="auto"/>
              </w:rPr>
            </w:pPr>
            <w:r>
              <w:rPr>
                <w:rFonts w:ascii="Calibri" w:cs="Calibri" w:eastAsia="Calibri" w:hAnsi="Calibri"/>
                <w:sz w:val="15"/>
                <w:szCs w:val="15"/>
                <w:b w:val="1"/>
                <w:bCs w:val="1"/>
                <w:color w:val="auto"/>
              </w:rPr>
              <w:t>5</w:t>
            </w:r>
          </w:p>
        </w:tc>
      </w:tr>
      <w:tr>
        <w:trPr>
          <w:trHeight w:val="22"/>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86"/>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Reacquired franchise rights</w:t>
            </w:r>
          </w:p>
        </w:tc>
        <w:tc>
          <w:tcPr>
            <w:tcW w:w="10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7,604</w:t>
            </w:r>
          </w:p>
        </w:tc>
        <w:tc>
          <w:tcPr>
            <w:tcW w:w="3080" w:type="dxa"/>
            <w:vAlign w:val="bottom"/>
            <w:tcBorders>
              <w:bottom w:val="single" w:sz="8" w:color="CCEEFF"/>
            </w:tcBorders>
            <w:gridSpan w:val="2"/>
            <w:shd w:val="clear" w:color="auto" w:fill="CCEEFF"/>
          </w:tcPr>
          <w:p>
            <w:pPr>
              <w:jc w:val="right"/>
              <w:ind w:right="1386"/>
              <w:spacing w:after="0"/>
              <w:rPr>
                <w:sz w:val="20"/>
                <w:szCs w:val="20"/>
                <w:color w:val="auto"/>
              </w:rPr>
            </w:pPr>
            <w:r>
              <w:rPr>
                <w:rFonts w:ascii="Calibri" w:cs="Calibri" w:eastAsia="Calibri" w:hAnsi="Calibri"/>
                <w:sz w:val="15"/>
                <w:szCs w:val="15"/>
                <w:b w:val="1"/>
                <w:bCs w:val="1"/>
                <w:color w:val="auto"/>
              </w:rPr>
              <w:t>5</w:t>
            </w:r>
          </w:p>
        </w:tc>
      </w:tr>
      <w:tr>
        <w:trPr>
          <w:trHeight w:val="184"/>
        </w:trPr>
        <w:tc>
          <w:tcPr>
            <w:tcW w:w="5700" w:type="dxa"/>
            <w:vAlign w:val="bottom"/>
            <w:gridSpan w:val="2"/>
          </w:tcPr>
          <w:p>
            <w:pPr>
              <w:ind w:left="20"/>
              <w:spacing w:after="0"/>
              <w:rPr>
                <w:sz w:val="20"/>
                <w:szCs w:val="20"/>
                <w:color w:val="auto"/>
              </w:rPr>
            </w:pPr>
            <w:r>
              <w:rPr>
                <w:rFonts w:ascii="Calibri" w:cs="Calibri" w:eastAsia="Calibri" w:hAnsi="Calibri"/>
                <w:sz w:val="15"/>
                <w:szCs w:val="15"/>
                <w:color w:val="auto"/>
              </w:rPr>
              <w:t>Noncompete agreements</w:t>
            </w:r>
          </w:p>
        </w:tc>
        <w:tc>
          <w:tcPr>
            <w:tcW w:w="10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alibri" w:cs="Calibri" w:eastAsia="Calibri" w:hAnsi="Calibri"/>
                <w:sz w:val="15"/>
                <w:szCs w:val="15"/>
                <w:b w:val="1"/>
                <w:bCs w:val="1"/>
                <w:color w:val="auto"/>
              </w:rPr>
              <w:t>942</w:t>
            </w:r>
          </w:p>
        </w:tc>
        <w:tc>
          <w:tcPr>
            <w:tcW w:w="3080" w:type="dxa"/>
            <w:vAlign w:val="bottom"/>
            <w:gridSpan w:val="2"/>
          </w:tcPr>
          <w:p>
            <w:pPr>
              <w:jc w:val="right"/>
              <w:ind w:right="1386"/>
              <w:spacing w:after="0"/>
              <w:rPr>
                <w:sz w:val="20"/>
                <w:szCs w:val="20"/>
                <w:color w:val="auto"/>
              </w:rPr>
            </w:pPr>
            <w:r>
              <w:rPr>
                <w:rFonts w:ascii="Calibri" w:cs="Calibri" w:eastAsia="Calibri" w:hAnsi="Calibri"/>
                <w:sz w:val="15"/>
                <w:szCs w:val="15"/>
                <w:b w:val="1"/>
                <w:bCs w:val="1"/>
                <w:color w:val="auto"/>
              </w:rPr>
              <w:t>5</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r>
      <w:tr>
        <w:trPr>
          <w:trHeight w:val="199"/>
        </w:trPr>
        <w:tc>
          <w:tcPr>
            <w:tcW w:w="570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Total</w:t>
            </w:r>
          </w:p>
        </w:tc>
        <w:tc>
          <w:tcPr>
            <w:tcW w:w="1020" w:type="dxa"/>
            <w:vAlign w:val="bottom"/>
            <w:tcBorders>
              <w:bottom w:val="single" w:sz="8" w:color="CCEEFF"/>
            </w:tcBorders>
            <w:shd w:val="clear" w:color="auto" w:fill="CCEEFF"/>
          </w:tcPr>
          <w:p>
            <w:pPr>
              <w:jc w:val="right"/>
              <w:ind w:right="843"/>
              <w:spacing w:after="0" w:line="177" w:lineRule="exact"/>
              <w:rPr>
                <w:sz w:val="20"/>
                <w:szCs w:val="20"/>
                <w:color w:val="auto"/>
              </w:rPr>
            </w:pPr>
            <w:r>
              <w:rPr>
                <w:rFonts w:ascii="Calibri" w:cs="Calibri" w:eastAsia="Calibri" w:hAnsi="Calibri"/>
                <w:sz w:val="15"/>
                <w:szCs w:val="15"/>
                <w:b w:val="1"/>
                <w:bCs w:val="1"/>
                <w:color w:val="auto"/>
              </w:rPr>
              <w:t>$</w:t>
            </w:r>
          </w:p>
        </w:tc>
        <w:tc>
          <w:tcPr>
            <w:tcW w:w="14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29,479</w:t>
            </w:r>
          </w:p>
        </w:tc>
        <w:tc>
          <w:tcPr>
            <w:tcW w:w="3080" w:type="dxa"/>
            <w:vAlign w:val="bottom"/>
            <w:tcBorders>
              <w:bottom w:val="single" w:sz="8" w:color="CCEEFF"/>
            </w:tcBorders>
            <w:gridSpan w:val="2"/>
            <w:shd w:val="clear" w:color="auto" w:fill="CCEEFF"/>
          </w:tcPr>
          <w:p>
            <w:pPr>
              <w:jc w:val="right"/>
              <w:ind w:right="1386"/>
              <w:spacing w:after="0" w:line="173" w:lineRule="exact"/>
              <w:rPr>
                <w:sz w:val="20"/>
                <w:szCs w:val="20"/>
                <w:color w:val="auto"/>
              </w:rPr>
            </w:pPr>
            <w:r>
              <w:rPr>
                <w:rFonts w:ascii="Calibri" w:cs="Calibri" w:eastAsia="Calibri" w:hAnsi="Calibri"/>
                <w:sz w:val="15"/>
                <w:szCs w:val="15"/>
                <w:b w:val="1"/>
                <w:bCs w:val="1"/>
                <w:color w:val="auto"/>
              </w:rPr>
              <w:t>5</w:t>
            </w:r>
          </w:p>
        </w:tc>
      </w:tr>
      <w:tr>
        <w:trPr>
          <w:trHeight w:val="32"/>
        </w:trPr>
        <w:tc>
          <w:tcPr>
            <w:tcW w:w="5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bl>
    <w:p>
      <w:pPr>
        <w:spacing w:after="0" w:line="172"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Amortzaton of intangible assets for the three and six months ended December 31, 2023 was $15.4 million and $31.2 million, respectvely, compared to $18.5 million and $36.9 million for the three and six months ended December 31, 2022, respectvely. Estmated amortzaton of intangible assets for fscal years ending June 30, 2024, 2025, 2026, 2027, and 2028 is $59.9 million, $39.9 million, $30.2 million, $23.9 million and $16.3 million, respectvely.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3"/>
          <w:szCs w:val="13"/>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6: LONG-TERM DEBT</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components of long-term debt are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728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7"/>
        </w:trPr>
        <w:tc>
          <w:tcPr>
            <w:tcW w:w="728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380" w:type="dxa"/>
            <w:vAlign w:val="bottom"/>
          </w:tcPr>
          <w:p>
            <w:pPr>
              <w:spacing w:after="0"/>
              <w:rPr>
                <w:sz w:val="15"/>
                <w:szCs w:val="15"/>
                <w:color w:val="auto"/>
              </w:rPr>
            </w:pPr>
          </w:p>
        </w:tc>
        <w:tc>
          <w:tcPr>
            <w:tcW w:w="1640" w:type="dxa"/>
            <w:vAlign w:val="bottom"/>
            <w:gridSpan w:val="2"/>
          </w:tcPr>
          <w:p>
            <w:pPr>
              <w:ind w:left="280"/>
              <w:spacing w:after="0" w:line="177" w:lineRule="exact"/>
              <w:rPr>
                <w:sz w:val="20"/>
                <w:szCs w:val="20"/>
                <w:color w:val="auto"/>
              </w:rPr>
            </w:pPr>
            <w:r>
              <w:rPr>
                <w:rFonts w:ascii="Calibri" w:cs="Calibri" w:eastAsia="Calibri" w:hAnsi="Calibri"/>
                <w:sz w:val="15"/>
                <w:szCs w:val="15"/>
                <w:b w:val="1"/>
                <w:bCs w:val="1"/>
                <w:color w:val="auto"/>
              </w:rPr>
              <w:t>December 31, 2023</w:t>
            </w:r>
          </w:p>
        </w:tc>
        <w:tc>
          <w:tcPr>
            <w:tcW w:w="560" w:type="dxa"/>
            <w:vAlign w:val="bottom"/>
          </w:tcPr>
          <w:p>
            <w:pPr>
              <w:spacing w:after="0"/>
              <w:rPr>
                <w:sz w:val="15"/>
                <w:szCs w:val="15"/>
                <w:color w:val="auto"/>
              </w:rPr>
            </w:pPr>
          </w:p>
        </w:tc>
        <w:tc>
          <w:tcPr>
            <w:tcW w:w="1360" w:type="dxa"/>
            <w:vAlign w:val="bottom"/>
          </w:tcPr>
          <w:p>
            <w:pPr>
              <w:jc w:val="right"/>
              <w:spacing w:after="0" w:line="177" w:lineRule="exact"/>
              <w:rPr>
                <w:sz w:val="20"/>
                <w:szCs w:val="20"/>
                <w:color w:val="auto"/>
              </w:rPr>
            </w:pPr>
            <w:r>
              <w:rPr>
                <w:rFonts w:ascii="Calibri" w:cs="Calibri" w:eastAsia="Calibri" w:hAnsi="Calibri"/>
                <w:sz w:val="15"/>
                <w:szCs w:val="15"/>
                <w:color w:val="auto"/>
              </w:rPr>
              <w:t>June 30, 2023</w:t>
            </w:r>
          </w:p>
        </w:tc>
      </w:tr>
      <w:tr>
        <w:trPr>
          <w:trHeight w:val="22"/>
        </w:trPr>
        <w:tc>
          <w:tcPr>
            <w:tcW w:w="7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7"/>
        </w:trPr>
        <w:tc>
          <w:tcPr>
            <w:tcW w:w="7180" w:type="dxa"/>
            <w:vAlign w:val="bottom"/>
          </w:tcPr>
          <w:p>
            <w:pPr>
              <w:ind w:left="20"/>
              <w:spacing w:after="0" w:line="177" w:lineRule="exact"/>
              <w:rPr>
                <w:sz w:val="20"/>
                <w:szCs w:val="20"/>
                <w:color w:val="auto"/>
              </w:rPr>
            </w:pPr>
            <w:r>
              <w:rPr>
                <w:rFonts w:ascii="Calibri" w:cs="Calibri" w:eastAsia="Calibri" w:hAnsi="Calibri"/>
                <w:sz w:val="15"/>
                <w:szCs w:val="15"/>
                <w:color w:val="auto"/>
              </w:rPr>
              <w:t>Senior Notes, 5.250%, due October 2025</w:t>
            </w:r>
          </w:p>
        </w:tc>
        <w:tc>
          <w:tcPr>
            <w:tcW w:w="100" w:type="dxa"/>
            <w:vAlign w:val="bottom"/>
          </w:tcPr>
          <w:p>
            <w:pPr>
              <w:spacing w:after="0"/>
              <w:rPr>
                <w:sz w:val="15"/>
                <w:szCs w:val="15"/>
                <w:color w:val="auto"/>
              </w:rPr>
            </w:pPr>
          </w:p>
        </w:tc>
        <w:tc>
          <w:tcPr>
            <w:tcW w:w="380" w:type="dxa"/>
            <w:vAlign w:val="bottom"/>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5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350,000</w:t>
            </w:r>
          </w:p>
        </w:tc>
        <w:tc>
          <w:tcPr>
            <w:tcW w:w="100" w:type="dxa"/>
            <w:vAlign w:val="bottom"/>
          </w:tcPr>
          <w:p>
            <w:pPr>
              <w:spacing w:after="0"/>
              <w:rPr>
                <w:sz w:val="15"/>
                <w:szCs w:val="15"/>
                <w:color w:val="auto"/>
              </w:rPr>
            </w:pPr>
          </w:p>
        </w:tc>
        <w:tc>
          <w:tcPr>
            <w:tcW w:w="560" w:type="dxa"/>
            <w:vAlign w:val="bottom"/>
          </w:tcPr>
          <w:p>
            <w:pPr>
              <w:jc w:val="right"/>
              <w:ind w:right="403"/>
              <w:spacing w:after="0" w:line="177" w:lineRule="exact"/>
              <w:rPr>
                <w:sz w:val="20"/>
                <w:szCs w:val="20"/>
                <w:color w:val="auto"/>
              </w:rPr>
            </w:pPr>
            <w:r>
              <w:rPr>
                <w:rFonts w:ascii="Calibri" w:cs="Calibri" w:eastAsia="Calibri" w:hAnsi="Calibri"/>
                <w:sz w:val="15"/>
                <w:szCs w:val="15"/>
                <w:color w:val="auto"/>
                <w:w w:val="78"/>
              </w:rPr>
              <w:t>$</w:t>
            </w:r>
          </w:p>
        </w:tc>
        <w:tc>
          <w:tcPr>
            <w:tcW w:w="1360" w:type="dxa"/>
            <w:vAlign w:val="bottom"/>
          </w:tcPr>
          <w:p>
            <w:pPr>
              <w:jc w:val="right"/>
              <w:spacing w:after="0" w:line="177" w:lineRule="exact"/>
              <w:rPr>
                <w:sz w:val="20"/>
                <w:szCs w:val="20"/>
                <w:color w:val="auto"/>
              </w:rPr>
            </w:pPr>
            <w:r>
              <w:rPr>
                <w:rFonts w:ascii="Calibri" w:cs="Calibri" w:eastAsia="Calibri" w:hAnsi="Calibri"/>
                <w:sz w:val="15"/>
                <w:szCs w:val="15"/>
                <w:color w:val="auto"/>
              </w:rPr>
              <w:t>350,000</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Senior Notes, 2.500%, due July 2028</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500,000</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500,000</w:t>
            </w:r>
          </w:p>
        </w:tc>
      </w:tr>
      <w:tr>
        <w:trPr>
          <w:trHeight w:val="184"/>
        </w:trPr>
        <w:tc>
          <w:tcPr>
            <w:tcW w:w="7280" w:type="dxa"/>
            <w:vAlign w:val="bottom"/>
            <w:gridSpan w:val="2"/>
          </w:tcPr>
          <w:p>
            <w:pPr>
              <w:ind w:left="20"/>
              <w:spacing w:after="0"/>
              <w:rPr>
                <w:sz w:val="20"/>
                <w:szCs w:val="20"/>
                <w:color w:val="auto"/>
              </w:rPr>
            </w:pPr>
            <w:r>
              <w:rPr>
                <w:rFonts w:ascii="Calibri" w:cs="Calibri" w:eastAsia="Calibri" w:hAnsi="Calibri"/>
                <w:sz w:val="15"/>
                <w:szCs w:val="15"/>
                <w:color w:val="auto"/>
              </w:rPr>
              <w:t>Senior Notes, 3.875%, due August 2030</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650,000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650,000</w:t>
            </w:r>
          </w:p>
        </w:tc>
      </w:tr>
      <w:tr>
        <w:trPr>
          <w:trHeight w:val="22"/>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6"/>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Commited line of credit borrowings</w:t>
            </w:r>
          </w:p>
        </w:tc>
        <w:tc>
          <w:tcPr>
            <w:tcW w:w="3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800,000</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w:t>
            </w:r>
          </w:p>
        </w:tc>
      </w:tr>
      <w:tr>
        <w:trPr>
          <w:trHeight w:val="184"/>
        </w:trPr>
        <w:tc>
          <w:tcPr>
            <w:tcW w:w="7280" w:type="dxa"/>
            <w:vAlign w:val="bottom"/>
            <w:gridSpan w:val="2"/>
          </w:tcPr>
          <w:p>
            <w:pPr>
              <w:ind w:left="20"/>
              <w:spacing w:after="0"/>
              <w:rPr>
                <w:sz w:val="20"/>
                <w:szCs w:val="20"/>
                <w:color w:val="auto"/>
              </w:rPr>
            </w:pPr>
            <w:r>
              <w:rPr>
                <w:rFonts w:ascii="Calibri" w:cs="Calibri" w:eastAsia="Calibri" w:hAnsi="Calibri"/>
                <w:sz w:val="15"/>
                <w:szCs w:val="15"/>
                <w:color w:val="auto"/>
              </w:rPr>
              <w:t>Debt issuance costs and discounts</w:t>
            </w: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5"/>
                <w:szCs w:val="15"/>
                <w:b w:val="1"/>
                <w:bCs w:val="1"/>
                <w:color w:val="auto"/>
              </w:rPr>
              <w:t>(9,956)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(11,025)</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9"/>
        </w:trPr>
        <w:tc>
          <w:tcPr>
            <w:tcW w:w="72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Total long-term debt</w:t>
            </w:r>
          </w:p>
        </w:tc>
        <w:tc>
          <w:tcPr>
            <w:tcW w:w="3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2,290,044</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1,488,975</w:t>
            </w:r>
          </w:p>
        </w:tc>
      </w:tr>
      <w:tr>
        <w:trPr>
          <w:trHeight w:val="184"/>
        </w:trPr>
        <w:tc>
          <w:tcPr>
            <w:tcW w:w="7280" w:type="dxa"/>
            <w:vAlign w:val="bottom"/>
            <w:gridSpan w:val="2"/>
          </w:tcPr>
          <w:p>
            <w:pPr>
              <w:ind w:left="20"/>
              <w:spacing w:after="0"/>
              <w:rPr>
                <w:sz w:val="20"/>
                <w:szCs w:val="20"/>
                <w:color w:val="auto"/>
              </w:rPr>
            </w:pPr>
            <w:r>
              <w:rPr>
                <w:rFonts w:ascii="Calibri" w:cs="Calibri" w:eastAsia="Calibri" w:hAnsi="Calibri"/>
                <w:sz w:val="15"/>
                <w:szCs w:val="15"/>
                <w:color w:val="auto"/>
              </w:rPr>
              <w:t>Less: Current porton</w:t>
            </w:r>
          </w:p>
        </w:tc>
        <w:tc>
          <w:tcPr>
            <w:tcW w:w="38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Calibri" w:cs="Calibri" w:eastAsia="Calibri" w:hAnsi="Calibri"/>
                <w:sz w:val="15"/>
                <w:szCs w:val="15"/>
                <w:b w:val="1"/>
                <w:bCs w:val="1"/>
                <w:color w:val="auto"/>
              </w:rPr>
              <w:t>—</w:t>
            </w:r>
          </w:p>
        </w:tc>
        <w:tc>
          <w:tcPr>
            <w:tcW w:w="5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22"/>
        </w:trPr>
        <w:tc>
          <w:tcPr>
            <w:tcW w:w="7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9"/>
        </w:trPr>
        <w:tc>
          <w:tcPr>
            <w:tcW w:w="72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Long-term porton</w:t>
            </w:r>
          </w:p>
        </w:tc>
        <w:tc>
          <w:tcPr>
            <w:tcW w:w="380" w:type="dxa"/>
            <w:vAlign w:val="bottom"/>
            <w:tcBorders>
              <w:bottom w:val="single" w:sz="8" w:color="CCEEFF"/>
            </w:tcBorders>
            <w:shd w:val="clear" w:color="auto" w:fill="CCEEFF"/>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5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2,290,044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3"/>
              <w:spacing w:after="0" w:line="177" w:lineRule="exact"/>
              <w:rPr>
                <w:sz w:val="20"/>
                <w:szCs w:val="20"/>
                <w:color w:val="auto"/>
              </w:rPr>
            </w:pPr>
            <w:r>
              <w:rPr>
                <w:rFonts w:ascii="Calibri" w:cs="Calibri" w:eastAsia="Calibri" w:hAnsi="Calibri"/>
                <w:sz w:val="15"/>
                <w:szCs w:val="15"/>
                <w:color w:val="auto"/>
                <w:w w:val="78"/>
              </w:rPr>
              <w:t>$</w:t>
            </w:r>
          </w:p>
        </w:tc>
        <w:tc>
          <w:tcPr>
            <w:tcW w:w="13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1,488,975</w:t>
            </w:r>
          </w:p>
        </w:tc>
      </w:tr>
      <w:tr>
        <w:trPr>
          <w:trHeight w:val="177"/>
        </w:trPr>
        <w:tc>
          <w:tcPr>
            <w:tcW w:w="72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Estmated fair value of long-term debt</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15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2,188,000</w:t>
            </w:r>
          </w:p>
        </w:tc>
        <w:tc>
          <w:tcPr>
            <w:tcW w:w="100" w:type="dxa"/>
            <w:vAlign w:val="bottom"/>
          </w:tcPr>
          <w:p>
            <w:pPr>
              <w:spacing w:after="0"/>
              <w:rPr>
                <w:sz w:val="15"/>
                <w:szCs w:val="15"/>
                <w:color w:val="auto"/>
              </w:rPr>
            </w:pPr>
          </w:p>
        </w:tc>
        <w:tc>
          <w:tcPr>
            <w:tcW w:w="560" w:type="dxa"/>
            <w:vAlign w:val="bottom"/>
            <w:tcBorders>
              <w:top w:val="single" w:sz="8" w:color="auto"/>
            </w:tcBorders>
          </w:tcPr>
          <w:p>
            <w:pPr>
              <w:jc w:val="right"/>
              <w:ind w:right="403"/>
              <w:spacing w:after="0" w:line="177" w:lineRule="exact"/>
              <w:rPr>
                <w:sz w:val="20"/>
                <w:szCs w:val="20"/>
                <w:color w:val="auto"/>
              </w:rPr>
            </w:pPr>
            <w:r>
              <w:rPr>
                <w:rFonts w:ascii="Calibri" w:cs="Calibri" w:eastAsia="Calibri" w:hAnsi="Calibri"/>
                <w:sz w:val="15"/>
                <w:szCs w:val="15"/>
                <w:color w:val="auto"/>
                <w:w w:val="78"/>
              </w:rPr>
              <w:t>$</w:t>
            </w:r>
          </w:p>
        </w:tc>
        <w:tc>
          <w:tcPr>
            <w:tcW w:w="13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1,339,000</w:t>
            </w:r>
          </w:p>
        </w:tc>
      </w:tr>
      <w:tr>
        <w:trPr>
          <w:trHeight w:val="54"/>
        </w:trPr>
        <w:tc>
          <w:tcPr>
            <w:tcW w:w="7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r>
      <w:tr>
        <w:trPr>
          <w:trHeight w:val="20"/>
        </w:trPr>
        <w:tc>
          <w:tcPr>
            <w:tcW w:w="7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72"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Our unsecured commited line of credit (CLOC) provides for an unsecured senior revolving credit facility in the aggregate principal amount of $1.5 billion, which includes a $175.0 million sublimit for swingline loans and a $50.0 million sublimit for standby leters of credit. We may request increases in the aggregate principal amount of the revolving credit facility of up to $500.0 million, subject to obtaining commitments from lenders and meetng certain other conditons. The CLOC will mature on June 11, 2026, unless extended pursuant to the terms of the CLOC, at which tme all outstanding amounts thereunder will be due and payable. Our CLOC includes an annual facility fee, which will vary depending on our then current credit ratngs.</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The CLOC is subject to various conditons, triggers, events or occurrences that could result in earlier terminaton and contains customary representatons, warrantes, covenants and events of default, including, without limitaton: (1) a covenant requiring the Company to maintain a debt-to-EBITDA rato, as defned by the CLOC agreement, calculated on a consolidated basis of no greater than (a) 3.50 to 1.00 as of the last day of each fscal quarter ending on March 31, June 30, and September 30 of each year and (b) 4.50 to 1.00 as of the last day of each fscal quarter ending on December 31 of each year; (2) a covenant requiring us to maintain an interest coverage rato (EBITDA-to-interest expense) calculated on a consolidated basis of not less than 2.50 to 1.00 as of the last date of any fscal quarter; and (3) covenants restrictng our ability to incur certain additonal debt, incur liens, merge or consolidate with other companies, sell or dispose of assets (including equity interests), liquidate or dissolve, engage in certain transactons with afliates or enter into certain restrictve agreements. The CLOC includes provisions for an equity cure which could potentally allow us to independently cure certain defaults. Proceeds under the CLOC may be used for working capital needs or for other general corporate purposes. We were in compliance with these requirements as of December 31, 2023.</w:t>
      </w:r>
    </w:p>
    <w:p>
      <w:pPr>
        <w:spacing w:after="0" w:line="107"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We had an outstanding balance of $800.0 million under our CLOC and amounts available to borrow were not limited by the debt-to-EBITDA covenant as of December 31, 2023.</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7: INCOME TAXES</w:t>
      </w:r>
    </w:p>
    <w:p>
      <w:pPr>
        <w:spacing w:after="0" w:line="112" w:lineRule="exact"/>
        <w:rPr>
          <w:sz w:val="20"/>
          <w:szCs w:val="20"/>
          <w:color w:val="auto"/>
        </w:rPr>
      </w:pPr>
    </w:p>
    <w:p>
      <w:pPr>
        <w:spacing w:after="0"/>
        <w:rPr>
          <w:sz w:val="20"/>
          <w:szCs w:val="20"/>
          <w:color w:val="auto"/>
        </w:rPr>
      </w:pPr>
      <w:r>
        <w:rPr>
          <w:rFonts w:ascii="Calibri" w:cs="Calibri" w:eastAsia="Calibri" w:hAnsi="Calibri"/>
          <w:sz w:val="16"/>
          <w:szCs w:val="16"/>
          <w:color w:val="auto"/>
        </w:rPr>
        <w:t>We fle a consolidated federal income tax return in the U.S. with the Internal Revenue Service (IRS) and fle tax returns in various state, local, and foreign jurisdictons.</w:t>
      </w:r>
    </w:p>
    <w:p>
      <w:pPr>
        <w:spacing w:after="0" w:line="114"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had gross unrecognized tax benefts of $208.4 million and $240.1 million as of December 31, 2023 and June 30, 2023, respectvely. The gross unrecognized tax benefts decreased by $31.7 million during the six months ended December 31, 2023 due to expiraton of statutes of limitatons and setlements with state tax authorites. We believe it is reasonably possible that the balance of unrecognized tax benefts could decrease by approximately $117.4 million within the next twelve months. The antcipated decrease is due to the expiraton of statutes of limitatons and antcipated closure of various maters currently under examinaton or in appeals. For such maters where a change in the balance of unrecognized tax benefts is not yet deemed reasonably possible, no estmate has been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hanging="259"/>
        <w:spacing w:after="0"/>
        <w:tabs>
          <w:tab w:leader="none" w:pos="360" w:val="left"/>
        </w:tabs>
        <w:numPr>
          <w:ilvl w:val="0"/>
          <w:numId w:val="11"/>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Our efectve tax rate for contnuing operatons, including the efects of discrete tax items, was 28.9% and 25.2% for the six months ended December 31, 2023 and 2022, respectvely. Discrete items increased the efectve tax rate by 5.4% and 1.4% for the six months ended December 31, 2023, and 2022, respectvely. A discrete income tax beneft of $26.6 million and $7.2 million were recorded in the six months ended December 31, 2023 and 2022, respectvely. The discrete tax beneft recorded in the current period primarily resulted from setlements with tax authorites and state statute of limitatons expiratons. The discrete tax beneft recorded in the prior period primarily resulted from state statute of limitatons expiratons and refund interest. The impact of discrete tax items combined with the seasonal nature of our business can cause the efectve tax rate in our second quarter to be signifcantly diferent than the rate for our full fscal year.</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Consistent with prior years, our pretax loss for the six months ended December 31, 2023 is expected to be ofset by income in our third and fourth quarters due to the established patern of seasonality in our primary business operatons. As such, management has determined that it is more-likely-than-not that realizaton of tax benefts recorded in our fnancial statements will occur within our fscal year. The amount of tax beneft recorded for the six months ended December 31, 2023 refects management’s estmate of the annual efectve tax rate applied to year-to-date loss from contnuing operatons adjusted for the tax impact of discrete items for the periods presented.</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8: COMMITMENTS AND CONTINGENCIES</w:t>
      </w:r>
    </w:p>
    <w:p>
      <w:pPr>
        <w:spacing w:after="0" w:line="112"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Our U.S. and Canadian businesses ofer our 100% accuracy guarantee. Assisted tax returns are covered by our 100% accuracy guarantee, whereby we will reimburse a client for penaltes and interest atributable to an H&amp;R Block error on a return. DIY tax returns are covered by our 100% accuracy guarantee, whereby we will reimburse a client up to a maximum of $10,000 if our sofware makes an arithmetc error that results in payment of penaltes and/or interest to the respectve taxing authority that a client would otherwise not have been required to pay. Our liability related to estmated losses under the 100% accuracy guarantee was $11.9 million and $15.8 million as of December 31, 2023 and June 30, 2023, respectvely. The short-term and long-term portons of this liability are included in deferred revenue and other liabilites in the consolidated balance sheets.</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Liabilites related to acquisitons for (1) estmated contngent consideraton based on expected fnancial performance of the acquired business and economic conditons at the tme of acquisiton and (2) estmated accrued compensaton related to contnued employment of key employees were $31.7 million and $18.3 million as of December 31, 2023 and June 30, 2023 respectvely, with amounts recorded in deferred revenue and other liabilites. Should actual results difer from our estmates, future payments made will difer from the above estmate and any diferences will be recorded in results from contnuing operatons.</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have contractual commitments to fund certain franchises with approved short-term lines of credit for the purpose of meetng their seasonal working capital needs. Our total obligaton under these lines of credit was $20.8 million at December 31, 2023, and net of amounts drawn and outstanding, our remaining commitment to fund totaled $6.2 million.</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Efectve October 20, 2023, we amended the Program Management Agreement and entered into a new partcipaton agreement related to EA TLs originated by Pathward®, N.A. (Pathward). In fscal year 2024, EAs are being ofered as term loans and we discontnued EA LOCs. EA TLs are interest bearing with principal and interest due in full on March 31, and there are no annual fees or required monthly payments. EA TLs are ofered to clients in our ofces, in November and December, in amounts of $350 to $1,300. We contnue to purchase a 90% partcipaton interest in each loan made by Pathward in accordance with the partcipaton agreement. We purchased partcipaton interests of $341.8 million during the six months ended December 31, 2023.</w:t>
      </w:r>
    </w:p>
    <w:p>
      <w:pPr>
        <w:spacing w:after="0" w:line="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14AA40"/>
        </w:rPr>
        <w:t>NOTE 9: LITIGATION AND OTHER RELATED CONTINGENCIES</w:t>
      </w:r>
    </w:p>
    <w:p>
      <w:pPr>
        <w:spacing w:after="0" w:line="12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We are a defendant in numerous litgaton and arbitraton maters, arising both in the ordinary course of business and otherwise, including as described below. The maters described below are not all of the lawsuits or arbitratons to which we are subject. In some of the maters, very large or indeterminate amounts, including punitve damages, may be sought. U.S. jurisdictons permit considerable variaton in the asserton of monetary damages or other relief. Jurisdictons may permit claimants not to specify the monetary damages sought or may permit claimants to state only that the amount sought is sufcient to invoke the jurisdicton. In additon, jurisdictons may permit plaintfs to allege monetary damages in amounts well exceeding reasonably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3"/>
          <w:szCs w:val="13"/>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verdicts in the jurisdicton for similar maters. We believe that the monetary relief which may be specifed in a lawsuit or claim bears litle relevance to its merits or dispositon value due to this variability in pleadings and our experience in handling and resolving numerous claims over an extended period of tme.</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The outcome of a mater and the amount or range of potental loss at partcular points in tme may be difcult to ascertain. Among other things, uncertaintes can include how fact fnders will evaluate documentary evidence and the credibility and efectveness of witness testmony, and how courts and arbitrators will apply the law. Dispositon valuatons are also subject to the uncertainty of how opposing partes and their counsel will view the relevant evidence and applicable law.</w:t>
      </w:r>
    </w:p>
    <w:p>
      <w:pPr>
        <w:spacing w:after="0" w:line="102" w:lineRule="exact"/>
        <w:rPr>
          <w:sz w:val="20"/>
          <w:szCs w:val="20"/>
          <w:color w:val="auto"/>
        </w:rPr>
      </w:pPr>
    </w:p>
    <w:p>
      <w:pPr>
        <w:ind w:left="200"/>
        <w:spacing w:after="0"/>
        <w:rPr>
          <w:sz w:val="20"/>
          <w:szCs w:val="20"/>
          <w:color w:val="auto"/>
        </w:rPr>
      </w:pPr>
      <w:r>
        <w:rPr>
          <w:rFonts w:ascii="Calibri" w:cs="Calibri" w:eastAsia="Calibri" w:hAnsi="Calibri"/>
          <w:sz w:val="17"/>
          <w:szCs w:val="17"/>
          <w:color w:val="auto"/>
        </w:rPr>
        <w:t>In additon to litgaton and arbitraton maters, we are also subject to other loss contngencies arising out of our business actvites, including as described below.</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accrue liabilites for litgaton, arbitraton and other related loss contngencies and any related setlements when it is probable that a loss has been incurred and the amount of the loss can be reasonably estmated. If a range of loss is estmated, and some amount within that range appears to be a beter estmate than any other amount within that range, then that amount is accrued. If no amount within the range can be identfed as a beter estmate than any other amount, we accrue the minimum amount in the range.</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For such maters where a loss is believed to be reasonably possible, but not probable, or the loss cannot be reasonably estmated, no accrual has been made. It is possible that such maters could require us to pay damages or make other expenditures or accrue liabilites in amounts that could not be reasonably estmated as of December 31, 2023. While the potental future liabilites could be material in the partcular quarterly or annual periods in which they are recorded, based on informaton currently known, we do not believe any such liabilites are likely to have a material adverse efect on our business and our consolidated fnancial positon, results of operatons, and cash fows. Our accrued liabilites were $1.8 million and $0.2 million as of December 31, 2023 and June 30, 2023, respectvely.</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Our estmate of the aggregate range of reasonably possible losses includes (1) maters where a liability has been accrued and there is a reasonably possible loss in excess of the amount accrued for that liability, and (2) maters where a liability has not been accrued but we believe a loss is reasonably possible. This aggregate range only represents those losses as to which we are currently able to estmate a reasonably possible loss or range of loss. It does not represent our maximum loss exposure.</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Maters for which we are not currently able to estmate the reasonably possible loss or range of loss are not included in this range. We are ofen unable to estmate the possible loss or range of loss untl developments in such maters have provided sufcient informaton to support an assessment of the reasonably possible loss or range of loss, such as precise informaton about the amount of damages or other remedies being asserted, the defenses to the claims being asserted, discovery from other partes and investgaton of factual allegatons, rulings by courts or arbitrators on motons or appeals, analyses by experts, or the status or terms of any setlement negotatons.</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The estmated range of reasonably possible loss is based upon currently available informaton and is subject to signifcant judgment and a variety of assumptons, as well as known and unknown uncertaintes. The maters underlying the estmated range will change from tme to tme, and actual results may vary signifcantly from the current estmate. As of December 31, 2023, we believe the estmate of the aggregate range of reasonably possible losses in excess of amounts accrued, where the range of loss can be estmated, is not material.</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At the end of each reportng period, we review relevant informaton with respect to litgaton, arbitraton and other related loss contngencies and update our accruals, disclosures, and estmates of reasonably possible loss or range of loss based on such reviews. Costs incurred with defending maters are expensed as incurred. Any receivable for insurance recoveries is recorded separately from the corresponding liability, and only if recovery is determined to be probable and reasonably estmable.</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We believe we have meritorious defenses to the claims asserted in the various maters described in this note, and we intend to defend them vigorously. The amounts claimed in the maters are substantal, however, and there can be no assurances as to their outcomes. In the event of unfavorable outcomes, it could require modifcatons to our operatons; in additon, the amounts that may be required to be paid to discharge or setle the maters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259"/>
        <w:spacing w:after="0"/>
        <w:tabs>
          <w:tab w:leader="none" w:pos="360" w:val="left"/>
        </w:tabs>
        <w:numPr>
          <w:ilvl w:val="0"/>
          <w:numId w:val="12"/>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color w:val="auto"/>
        </w:rPr>
        <w:t>be substantal and could have a material adverse impact on our business and our consolidated fnancial positon, results of operatons, and cash fows.</w:t>
      </w:r>
    </w:p>
    <w:p>
      <w:pPr>
        <w:spacing w:after="0" w:line="102" w:lineRule="exact"/>
        <w:rPr>
          <w:sz w:val="20"/>
          <w:szCs w:val="20"/>
          <w:color w:val="auto"/>
        </w:rPr>
      </w:pPr>
    </w:p>
    <w:p>
      <w:pPr>
        <w:ind w:left="200"/>
        <w:spacing w:after="0"/>
        <w:rPr>
          <w:sz w:val="20"/>
          <w:szCs w:val="20"/>
          <w:color w:val="auto"/>
        </w:rPr>
      </w:pPr>
      <w:r>
        <w:rPr>
          <w:rFonts w:ascii="Calibri" w:cs="Calibri" w:eastAsia="Calibri" w:hAnsi="Calibri"/>
          <w:sz w:val="17"/>
          <w:szCs w:val="17"/>
          <w:b w:val="1"/>
          <w:bCs w:val="1"/>
          <w:color w:val="auto"/>
        </w:rPr>
        <w:t xml:space="preserve">LITIGATION, CLAIMS OR OTHER LOSS CONTINGENCIES PERTAINING TO CONTINUING OPERATIONS </w:t>
      </w:r>
      <w:r>
        <w:rPr>
          <w:rFonts w:ascii="Calibri" w:cs="Calibri" w:eastAsia="Calibri" w:hAnsi="Calibri"/>
          <w:sz w:val="17"/>
          <w:szCs w:val="17"/>
          <w:color w:val="auto"/>
        </w:rPr>
        <w:t>–</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On May 6, 2019, the Los Angeles City Atorney fled a lawsuit on behalf of the People of the State of California in the Superior Court of California, County of Los Angeles (Case No. 19STCV15742). The case is styled The People of the State of California v. HRB Digital LLC, et al. The complaint alleges that H&amp;R Block, Inc. and HRB Digital LLC engaged in unfair, fraudulent and deceptve business practces and acts in connecton with the IRS Free File Program in violaton of the California Unfair Competton Law, California Business and Professions Code §§17200 et seq. The complaint seeks injunctve relief, resttuton of monies paid to H&amp;R Block by persons in the State of California who were eligible to fle under the IRS Free File Program for the tme period startng 4 years prior to the date of the fling of the complaint, pre-judgment interest, civil penaltes and costs. The City Atorney subsequently dismissed H&amp;R Block, Inc. from the case and amended its complaint to add HRB Tax Group, Inc. We fled a moton for summary judgment, which was denied. The partes have reached an agreement to setle this mater. An accrual related to this mater is included in our loss contngency accrual.</w:t>
      </w:r>
    </w:p>
    <w:p>
      <w:pPr>
        <w:spacing w:after="0" w:line="107"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In January 2024, we received a revised demand and draf complaint from the Federal Trade Commission (FTC) relatng to certain aspects of our DIY tax preparaton services. If the partes are not able to reach amicable resoluton, the FTC may seek resoluton through litgaton. We have also received and are responding to certain governmental inquiries and other maters relatng to the IRS Free File Program and other aspects of our DIY tax preparaton services, including the use of pixels. We have not concluded that a loss related to these maters is probable, nor have we accrued a liability related to these maters.</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b w:val="1"/>
          <w:bCs w:val="1"/>
          <w:color w:val="auto"/>
        </w:rPr>
        <w:t xml:space="preserve">DISCONTINUED MORTGAGE OPERATIONS </w:t>
      </w:r>
      <w:r>
        <w:rPr>
          <w:rFonts w:ascii="Calibri" w:cs="Calibri" w:eastAsia="Calibri" w:hAnsi="Calibri"/>
          <w:sz w:val="17"/>
          <w:szCs w:val="17"/>
          <w:color w:val="auto"/>
        </w:rPr>
        <w:t>– Although SCC ceased its mortgage loan originaton actvites in December 2007 and sold its loan servicing business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April 2008, SCC or the Company has been and may in the future be, subject to litgaton and other loss contngencies, including indemnifcaton and contributon claims, pertaining to SCC's mortgage business actvites that occurred prior to such terminaton and sale.</w:t>
      </w:r>
    </w:p>
    <w:p>
      <w:pPr>
        <w:spacing w:after="0" w:line="105"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Partes, including underwriters, depositors, and securitzaton trustees, have been, remain, or may in the future be, involved in lawsuits, threatened lawsuits, or setlements related to securitzaton transactons in which SCC partcipated. A variety of claims are alleged in these maters, including violatons of federal and state securites laws and common law fraud, breaches of representatons and warrantes, or violatons of statutory requirements. SCC has received notces of potental indemnifcaton or contributon obligatons relatng to such maters. Additonal lawsuits against the partes to the securitzaton transactons may be fled in the future, and SCC may receive additonal notces of potental indemnifcaton, contributon or similar obligatons with respect to existng or new lawsuits or setlements of such lawsuits or other claims. We have not concluded that a loss related to any of these potental indemnifcaton or contributon claims is probable, nor have we accrued a liability related to any of these claims.</w:t>
      </w:r>
    </w:p>
    <w:p>
      <w:pPr>
        <w:spacing w:after="0" w:line="106" w:lineRule="exact"/>
        <w:rPr>
          <w:sz w:val="20"/>
          <w:szCs w:val="20"/>
          <w:color w:val="auto"/>
        </w:rPr>
      </w:pPr>
    </w:p>
    <w:p>
      <w:pPr>
        <w:jc w:val="both"/>
        <w:ind w:firstLine="193"/>
        <w:spacing w:after="0" w:line="238" w:lineRule="auto"/>
        <w:rPr>
          <w:sz w:val="20"/>
          <w:szCs w:val="20"/>
          <w:color w:val="auto"/>
        </w:rPr>
      </w:pPr>
      <w:r>
        <w:rPr>
          <w:rFonts w:ascii="Calibri" w:cs="Calibri" w:eastAsia="Calibri" w:hAnsi="Calibri"/>
          <w:sz w:val="17"/>
          <w:szCs w:val="17"/>
          <w:color w:val="auto"/>
        </w:rPr>
        <w:t>It is difcult to predict either the likelihood of new maters being initated or the outcome of existng maters. In many of these maters it is not possible to estmate a reasonably possible loss or range of loss due to, among other things, the inherent uncertaintes involved in these maters and the indeterminate damages sought. If the amount that SCC is ultmately required to pay with respect to loss contngencies, together with payment of SCC's related administraton and legal expense, exceeds SCC's net assets, the creditors of SCC, other potental claimants, or a bankruptcy trustee if SCC were to fle or be forced into bankruptcy, may atempt to assert claims against us for payment of SCC's obligatons. Claimants also may atempt to assert claims against or seek payment directly from the Company even if SCC's assets exceed its liabilites. SCC's principal assets, as of December 31, 2023, total approximately $268 million and consist of an intercompany note receivable. We believe our legal positon is strong on any potental corporate veil-piercing arguments; however, if this positon is challenged and not upheld, it could have a material adverse efect on our business and our consolidated fnancial positon, results of operatons, and cash fows.</w:t>
      </w:r>
    </w:p>
    <w:p>
      <w:pPr>
        <w:spacing w:after="0" w:line="107"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OTHER </w:t>
      </w:r>
      <w:r>
        <w:rPr>
          <w:rFonts w:ascii="Calibri" w:cs="Calibri" w:eastAsia="Calibri" w:hAnsi="Calibri"/>
          <w:sz w:val="17"/>
          <w:szCs w:val="17"/>
          <w:color w:val="auto"/>
        </w:rPr>
        <w:t>– We are from tme to tme a party to litgaton, arbitraton and other loss contngencies not discussed herein arising out of our business operatons. These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maters may include actons by state atorneys general, other state regulators, federal regulators, individual plaintfs, and cases in which plaintfs seek to represent others who may be similarly situated.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3"/>
          <w:szCs w:val="13"/>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While we cannot provide assurance that we will ultmately prevail in each instance, we believe the amount, if any, we are required to pay to discharge or setle these other maters will not have a material adverse impact on our business and our consolidated fnancial positon, results of operatons, and cash fows.</w:t>
      </w:r>
    </w:p>
    <w:p>
      <w:pPr>
        <w:spacing w:after="0" w:line="92" w:lineRule="exact"/>
        <w:rPr>
          <w:sz w:val="20"/>
          <w:szCs w:val="20"/>
          <w:color w:val="auto"/>
        </w:rPr>
      </w:pPr>
    </w:p>
    <w:p>
      <w:pPr>
        <w:jc w:val="both"/>
        <w:ind w:left="1080" w:hanging="1082"/>
        <w:spacing w:after="0" w:line="234" w:lineRule="auto"/>
        <w:tabs>
          <w:tab w:leader="none" w:pos="1060" w:val="left"/>
        </w:tabs>
        <w:rPr>
          <w:sz w:val="20"/>
          <w:szCs w:val="20"/>
          <w:color w:val="auto"/>
        </w:rPr>
      </w:pPr>
      <w:r>
        <w:rPr>
          <w:rFonts w:ascii="Calibri" w:cs="Calibri" w:eastAsia="Calibri" w:hAnsi="Calibri"/>
          <w:sz w:val="24"/>
          <w:szCs w:val="24"/>
          <w:b w:val="1"/>
          <w:bCs w:val="1"/>
          <w:color w:val="14AA40"/>
        </w:rPr>
        <w:t>ITEM 2.</w:t>
        <w:tab/>
        <w:t>MANAGEMENT'S DISCUSSION AND ANALYSIS OF FINANCIAL CONDITION AND RESULTS OF OPERATIONS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RESULTS OF OPERATIONS</w:t>
      </w:r>
    </w:p>
    <w:p>
      <w:pPr>
        <w:spacing w:after="0" w:line="1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Our subsidiaries provide assisted and do-it-yourself (DIY) tax preparaton solutons through multple channels (including in-person, online and mobile applicatons, virtual, and desktop sofware) and distribute H&amp;R Block-branded products and services, including those of our bank partners, to the general public primarily in the United States (U.S.), Canada and Australia. Tax returns are either prepared by H&amp;R Block tax professionals (in company-owned or franchise ofces, virtually or via an internet review) or prepared and fled by our clients through our DIY tax solutons. We also ofer small business solutons through our company-owned and franchise ofces and online through Wave. We report a single segment that includes all of our contnuing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hanging="259"/>
        <w:spacing w:after="0"/>
        <w:tabs>
          <w:tab w:leader="none" w:pos="360" w:val="left"/>
        </w:tabs>
        <w:numPr>
          <w:ilvl w:val="0"/>
          <w:numId w:val="13"/>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762635</wp:posOffset>
            </wp:positionV>
            <wp:extent cx="713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Consolidated – Financial Results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Calibri" w:cs="Calibri" w:eastAsia="Calibri" w:hAnsi="Calibri"/>
                <w:sz w:val="14"/>
                <w:szCs w:val="14"/>
                <w:color w:val="auto"/>
              </w:rPr>
              <w:t>(in 000s, except per share amounts)</w:t>
            </w:r>
          </w:p>
        </w:tc>
      </w:tr>
      <w:tr>
        <w:trPr>
          <w:trHeight w:val="26"/>
        </w:trPr>
        <w:tc>
          <w:tcPr>
            <w:tcW w:w="56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77"/>
        </w:trPr>
        <w:tc>
          <w:tcPr>
            <w:tcW w:w="566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Three months ended December 31,</w:t>
            </w:r>
          </w:p>
        </w:tc>
        <w:tc>
          <w:tcPr>
            <w:tcW w:w="380" w:type="dxa"/>
            <w:vAlign w:val="bottom"/>
          </w:tcPr>
          <w:p>
            <w:pPr>
              <w:spacing w:after="0"/>
              <w:rPr>
                <w:sz w:val="15"/>
                <w:szCs w:val="15"/>
                <w:color w:val="auto"/>
              </w:rPr>
            </w:pPr>
          </w:p>
        </w:tc>
        <w:tc>
          <w:tcPr>
            <w:tcW w:w="9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100" w:type="dxa"/>
            <w:vAlign w:val="bottom"/>
          </w:tcPr>
          <w:p>
            <w:pPr>
              <w:spacing w:after="0"/>
              <w:rPr>
                <w:sz w:val="15"/>
                <w:szCs w:val="15"/>
                <w:color w:val="auto"/>
              </w:rPr>
            </w:pPr>
          </w:p>
        </w:tc>
        <w:tc>
          <w:tcPr>
            <w:tcW w:w="14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5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7"/>
        </w:trPr>
        <w:tc>
          <w:tcPr>
            <w:tcW w:w="5580" w:type="dxa"/>
            <w:vAlign w:val="bottom"/>
          </w:tcPr>
          <w:p>
            <w:pPr>
              <w:ind w:left="20"/>
              <w:spacing w:after="0" w:line="177" w:lineRule="exact"/>
              <w:rPr>
                <w:sz w:val="20"/>
                <w:szCs w:val="20"/>
                <w:color w:val="auto"/>
              </w:rPr>
            </w:pPr>
            <w:r>
              <w:rPr>
                <w:rFonts w:ascii="Calibri" w:cs="Calibri" w:eastAsia="Calibri" w:hAnsi="Calibri"/>
                <w:sz w:val="15"/>
                <w:szCs w:val="15"/>
                <w:color w:val="auto"/>
              </w:rPr>
              <w:t>Revenues:</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tax preparaton and related services: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84"/>
        </w:trPr>
        <w:tc>
          <w:tcPr>
            <w:tcW w:w="5660" w:type="dxa"/>
            <w:vAlign w:val="bottom"/>
            <w:gridSpan w:val="2"/>
          </w:tcPr>
          <w:p>
            <w:pPr>
              <w:ind w:left="240"/>
              <w:spacing w:after="0"/>
              <w:rPr>
                <w:sz w:val="20"/>
                <w:szCs w:val="20"/>
                <w:color w:val="auto"/>
              </w:rPr>
            </w:pPr>
            <w:r>
              <w:rPr>
                <w:rFonts w:ascii="Calibri" w:cs="Calibri" w:eastAsia="Calibri" w:hAnsi="Calibri"/>
                <w:sz w:val="15"/>
                <w:szCs w:val="15"/>
                <w:color w:val="auto"/>
              </w:rPr>
              <w:t>Assisted tax preparaton</w:t>
            </w:r>
          </w:p>
        </w:tc>
        <w:tc>
          <w:tcPr>
            <w:tcW w:w="380" w:type="dxa"/>
            <w:vAlign w:val="bottom"/>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48,342</w:t>
            </w:r>
          </w:p>
        </w:tc>
        <w:tc>
          <w:tcPr>
            <w:tcW w:w="10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41,216</w:t>
            </w:r>
          </w:p>
        </w:tc>
        <w:tc>
          <w:tcPr>
            <w:tcW w:w="8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7,126</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17.3 %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Royaltes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5,454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4,946</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508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10.3 %</w:t>
            </w:r>
          </w:p>
        </w:tc>
      </w:tr>
      <w:tr>
        <w:trPr>
          <w:trHeight w:val="184"/>
        </w:trPr>
        <w:tc>
          <w:tcPr>
            <w:tcW w:w="5660" w:type="dxa"/>
            <w:vAlign w:val="bottom"/>
            <w:gridSpan w:val="2"/>
          </w:tcPr>
          <w:p>
            <w:pPr>
              <w:ind w:left="220"/>
              <w:spacing w:after="0"/>
              <w:rPr>
                <w:sz w:val="20"/>
                <w:szCs w:val="20"/>
                <w:color w:val="auto"/>
              </w:rPr>
            </w:pPr>
            <w:r>
              <w:rPr>
                <w:rFonts w:ascii="Calibri" w:cs="Calibri" w:eastAsia="Calibri" w:hAnsi="Calibri"/>
                <w:sz w:val="15"/>
                <w:szCs w:val="15"/>
                <w:color w:val="auto"/>
              </w:rPr>
              <w:t>DIY tax preparaton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13,111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12,150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961</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7.9 %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Refund Transfers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813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1,542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(729)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(47.3)%</w:t>
            </w:r>
          </w:p>
        </w:tc>
      </w:tr>
      <w:tr>
        <w:trPr>
          <w:trHeight w:val="184"/>
        </w:trPr>
        <w:tc>
          <w:tcPr>
            <w:tcW w:w="5660" w:type="dxa"/>
            <w:vAlign w:val="bottom"/>
            <w:gridSpan w:val="2"/>
          </w:tcPr>
          <w:p>
            <w:pPr>
              <w:ind w:left="220"/>
              <w:spacing w:after="0"/>
              <w:rPr>
                <w:sz w:val="20"/>
                <w:szCs w:val="20"/>
                <w:color w:val="auto"/>
              </w:rPr>
            </w:pPr>
            <w:r>
              <w:rPr>
                <w:rFonts w:ascii="Calibri" w:cs="Calibri" w:eastAsia="Calibri" w:hAnsi="Calibri"/>
                <w:sz w:val="15"/>
                <w:szCs w:val="15"/>
                <w:color w:val="auto"/>
              </w:rPr>
              <w:t>Peace of Mind® Extended Service Plan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17,440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17,320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120</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0.7 %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Tax Identty Shield®</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4,694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5,350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(656)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(12.3)%</w:t>
            </w:r>
          </w:p>
        </w:tc>
      </w:tr>
      <w:tr>
        <w:trPr>
          <w:trHeight w:val="184"/>
        </w:trPr>
        <w:tc>
          <w:tcPr>
            <w:tcW w:w="5660" w:type="dxa"/>
            <w:vAlign w:val="bottom"/>
            <w:gridSpan w:val="2"/>
          </w:tcPr>
          <w:p>
            <w:pPr>
              <w:ind w:left="240"/>
              <w:spacing w:after="0"/>
              <w:rPr>
                <w:sz w:val="20"/>
                <w:szCs w:val="20"/>
                <w:color w:val="auto"/>
              </w:rPr>
            </w:pPr>
            <w:r>
              <w:rPr>
                <w:rFonts w:ascii="Calibri" w:cs="Calibri" w:eastAsia="Calibri" w:hAnsi="Calibri"/>
                <w:sz w:val="15"/>
                <w:szCs w:val="15"/>
                <w:color w:val="auto"/>
              </w:rPr>
              <w:t>Other</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9,592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8,513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1,079</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12.7 %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660" w:type="dxa"/>
            <w:vAlign w:val="bottom"/>
            <w:tcBorders>
              <w:bottom w:val="single" w:sz="8" w:color="CCEEFF"/>
            </w:tcBorders>
            <w:gridSpan w:val="2"/>
            <w:shd w:val="clear" w:color="auto" w:fill="CCEEFF"/>
          </w:tcPr>
          <w:p>
            <w:pPr>
              <w:ind w:left="340"/>
              <w:spacing w:after="0" w:line="173" w:lineRule="exact"/>
              <w:rPr>
                <w:sz w:val="20"/>
                <w:szCs w:val="20"/>
                <w:color w:val="auto"/>
              </w:rPr>
            </w:pPr>
            <w:r>
              <w:rPr>
                <w:rFonts w:ascii="Calibri" w:cs="Calibri" w:eastAsia="Calibri" w:hAnsi="Calibri"/>
                <w:sz w:val="15"/>
                <w:szCs w:val="15"/>
                <w:color w:val="auto"/>
              </w:rPr>
              <w:t>Total U.S. tax preparaton and related services</w:t>
            </w: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99,446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91,037</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8,409</w:t>
            </w:r>
          </w:p>
        </w:tc>
        <w:tc>
          <w:tcPr>
            <w:tcW w:w="15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9.2 %</w:t>
            </w:r>
          </w:p>
        </w:tc>
      </w:tr>
      <w:tr>
        <w:trPr>
          <w:trHeight w:val="184"/>
        </w:trPr>
        <w:tc>
          <w:tcPr>
            <w:tcW w:w="5660" w:type="dxa"/>
            <w:vAlign w:val="bottom"/>
            <w:gridSpan w:val="2"/>
          </w:tcPr>
          <w:p>
            <w:pPr>
              <w:ind w:left="140"/>
              <w:spacing w:after="0"/>
              <w:rPr>
                <w:sz w:val="20"/>
                <w:szCs w:val="20"/>
                <w:color w:val="auto"/>
              </w:rPr>
            </w:pPr>
            <w:r>
              <w:rPr>
                <w:rFonts w:ascii="Calibri" w:cs="Calibri" w:eastAsia="Calibri" w:hAnsi="Calibri"/>
                <w:sz w:val="15"/>
                <w:szCs w:val="15"/>
                <w:color w:val="auto"/>
              </w:rPr>
              <w:t>Financial services: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gridSpan w:val="2"/>
            <w:shd w:val="clear" w:color="auto" w:fill="CCEEFF"/>
          </w:tcPr>
          <w:p>
            <w:pPr>
              <w:ind w:left="240"/>
              <w:spacing w:after="0" w:line="206" w:lineRule="exact"/>
              <w:rPr>
                <w:sz w:val="20"/>
                <w:szCs w:val="20"/>
                <w:color w:val="auto"/>
              </w:rPr>
            </w:pPr>
            <w:r>
              <w:rPr>
                <w:rFonts w:ascii="Calibri" w:cs="Calibri" w:eastAsia="Calibri" w:hAnsi="Calibri"/>
                <w:sz w:val="15"/>
                <w:szCs w:val="15"/>
                <w:color w:val="auto"/>
              </w:rPr>
              <w:t>Emerald Card® and Spruce</w:t>
            </w:r>
            <w:r>
              <w:rPr>
                <w:rFonts w:ascii="Calibri" w:cs="Calibri" w:eastAsia="Calibri" w:hAnsi="Calibri"/>
                <w:sz w:val="20"/>
                <w:szCs w:val="20"/>
                <w:color w:val="auto"/>
                <w:vertAlign w:val="superscript"/>
              </w:rPr>
              <w:t>SM</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11,700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12,478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(778)</w:t>
            </w:r>
          </w:p>
        </w:tc>
        <w:tc>
          <w:tcPr>
            <w:tcW w:w="1500" w:type="dxa"/>
            <w:vAlign w:val="bottom"/>
            <w:gridSpan w:val="2"/>
            <w:shd w:val="clear" w:color="auto" w:fill="CCEEFF"/>
          </w:tcPr>
          <w:p>
            <w:pPr>
              <w:jc w:val="right"/>
              <w:spacing w:after="0"/>
              <w:rPr>
                <w:sz w:val="20"/>
                <w:szCs w:val="20"/>
                <w:color w:val="auto"/>
              </w:rPr>
            </w:pPr>
            <w:r>
              <w:rPr>
                <w:rFonts w:ascii="Calibri" w:cs="Calibri" w:eastAsia="Calibri" w:hAnsi="Calibri"/>
                <w:sz w:val="15"/>
                <w:szCs w:val="15"/>
                <w:color w:val="auto"/>
              </w:rPr>
              <w:t>(6.2)%</w:t>
            </w:r>
          </w:p>
        </w:tc>
      </w:tr>
      <w:tr>
        <w:trPr>
          <w:trHeight w:val="206"/>
        </w:trPr>
        <w:tc>
          <w:tcPr>
            <w:tcW w:w="5660" w:type="dxa"/>
            <w:vAlign w:val="bottom"/>
            <w:tcBorders>
              <w:bottom w:val="single" w:sz="8" w:color="CCEEFF"/>
            </w:tcBorders>
            <w:gridSpan w:val="2"/>
          </w:tcPr>
          <w:p>
            <w:pPr>
              <w:ind w:left="220"/>
              <w:spacing w:after="0" w:line="206" w:lineRule="exact"/>
              <w:rPr>
                <w:sz w:val="20"/>
                <w:szCs w:val="20"/>
                <w:color w:val="auto"/>
              </w:rPr>
            </w:pPr>
            <w:r>
              <w:rPr>
                <w:rFonts w:ascii="Calibri" w:cs="Calibri" w:eastAsia="Calibri" w:hAnsi="Calibri"/>
                <w:sz w:val="15"/>
                <w:szCs w:val="15"/>
                <w:color w:val="auto"/>
              </w:rPr>
              <w:t>Interest and fee income on Emerald Advance</w:t>
            </w:r>
            <w:r>
              <w:rPr>
                <w:rFonts w:ascii="Calibri" w:cs="Calibri" w:eastAsia="Calibri" w:hAnsi="Calibri"/>
                <w:sz w:val="20"/>
                <w:szCs w:val="20"/>
                <w:color w:val="auto"/>
                <w:vertAlign w:val="superscript"/>
              </w:rPr>
              <w:t>SM</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b w:val="1"/>
                <w:bCs w:val="1"/>
                <w:color w:val="auto"/>
              </w:rPr>
              <w:t>15,235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12,903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2,332</w:t>
            </w:r>
          </w:p>
        </w:tc>
        <w:tc>
          <w:tcPr>
            <w:tcW w:w="1500" w:type="dxa"/>
            <w:vAlign w:val="bottom"/>
            <w:tcBorders>
              <w:bottom w:val="single" w:sz="8" w:color="CCEEFF"/>
            </w:tcBorders>
            <w:gridSpan w:val="2"/>
          </w:tcPr>
          <w:p>
            <w:pPr>
              <w:jc w:val="right"/>
              <w:spacing w:after="0"/>
              <w:rPr>
                <w:sz w:val="20"/>
                <w:szCs w:val="20"/>
                <w:color w:val="auto"/>
              </w:rPr>
            </w:pPr>
            <w:r>
              <w:rPr>
                <w:rFonts w:ascii="Calibri" w:cs="Calibri" w:eastAsia="Calibri" w:hAnsi="Calibri"/>
                <w:sz w:val="15"/>
                <w:szCs w:val="15"/>
                <w:color w:val="auto"/>
              </w:rPr>
              <w:t>18.1 %</w:t>
            </w:r>
          </w:p>
        </w:tc>
      </w:tr>
      <w:tr>
        <w:trPr>
          <w:trHeight w:val="179"/>
        </w:trPr>
        <w:tc>
          <w:tcPr>
            <w:tcW w:w="566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fnancial services</w:t>
            </w: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26,935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25,381</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1,554</w:t>
            </w:r>
          </w:p>
        </w:tc>
        <w:tc>
          <w:tcPr>
            <w:tcW w:w="15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6.1 %</w:t>
            </w:r>
          </w:p>
        </w:tc>
      </w:tr>
      <w:tr>
        <w:trPr>
          <w:trHeight w:val="184"/>
        </w:trPr>
        <w:tc>
          <w:tcPr>
            <w:tcW w:w="5660" w:type="dxa"/>
            <w:vAlign w:val="bottom"/>
            <w:gridSpan w:val="2"/>
          </w:tcPr>
          <w:p>
            <w:pPr>
              <w:ind w:left="140"/>
              <w:spacing w:after="0"/>
              <w:rPr>
                <w:sz w:val="20"/>
                <w:szCs w:val="20"/>
                <w:color w:val="auto"/>
              </w:rPr>
            </w:pPr>
            <w:r>
              <w:rPr>
                <w:rFonts w:ascii="Calibri" w:cs="Calibri" w:eastAsia="Calibri" w:hAnsi="Calibri"/>
                <w:sz w:val="15"/>
                <w:szCs w:val="15"/>
                <w:color w:val="auto"/>
              </w:rPr>
              <w:t>Internatonal</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29,569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28,046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1,523</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5.4 %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Wave</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23,133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21,941</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1,192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5.4 %</w:t>
            </w:r>
          </w:p>
        </w:tc>
      </w:tr>
      <w:tr>
        <w:trPr>
          <w:trHeight w:val="177"/>
        </w:trPr>
        <w:tc>
          <w:tcPr>
            <w:tcW w:w="5660" w:type="dxa"/>
            <w:vAlign w:val="bottom"/>
            <w:gridSpan w:val="2"/>
          </w:tcPr>
          <w:p>
            <w:pPr>
              <w:ind w:left="420"/>
              <w:spacing w:after="0" w:line="173" w:lineRule="exact"/>
              <w:rPr>
                <w:sz w:val="20"/>
                <w:szCs w:val="20"/>
                <w:color w:val="auto"/>
              </w:rPr>
            </w:pPr>
            <w:r>
              <w:rPr>
                <w:rFonts w:ascii="Calibri" w:cs="Calibri" w:eastAsia="Calibri" w:hAnsi="Calibri"/>
                <w:sz w:val="15"/>
                <w:szCs w:val="15"/>
                <w:color w:val="auto"/>
              </w:rPr>
              <w:t>Total revenues</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179,083</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166,405</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12,678</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7.6 %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6"/>
        </w:trPr>
        <w:tc>
          <w:tcPr>
            <w:tcW w:w="566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Compensaton and benefts:</w:t>
            </w: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184"/>
        </w:trPr>
        <w:tc>
          <w:tcPr>
            <w:tcW w:w="5660" w:type="dxa"/>
            <w:vAlign w:val="bottom"/>
            <w:gridSpan w:val="2"/>
          </w:tcPr>
          <w:p>
            <w:pPr>
              <w:ind w:left="140"/>
              <w:spacing w:after="0"/>
              <w:rPr>
                <w:sz w:val="20"/>
                <w:szCs w:val="20"/>
                <w:color w:val="auto"/>
              </w:rPr>
            </w:pPr>
            <w:r>
              <w:rPr>
                <w:rFonts w:ascii="Calibri" w:cs="Calibri" w:eastAsia="Calibri" w:hAnsi="Calibri"/>
                <w:sz w:val="15"/>
                <w:szCs w:val="15"/>
                <w:color w:val="auto"/>
              </w:rPr>
              <w:t>Field wages</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77,795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76,204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(1,591)</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(2.1)%</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 wages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74,671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70,530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(4,141)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(5.9)%</w:t>
            </w:r>
          </w:p>
        </w:tc>
      </w:tr>
      <w:tr>
        <w:trPr>
          <w:trHeight w:val="184"/>
        </w:trPr>
        <w:tc>
          <w:tcPr>
            <w:tcW w:w="5660" w:type="dxa"/>
            <w:vAlign w:val="bottom"/>
            <w:gridSpan w:val="2"/>
          </w:tcPr>
          <w:p>
            <w:pPr>
              <w:ind w:left="140"/>
              <w:spacing w:after="0"/>
              <w:rPr>
                <w:sz w:val="20"/>
                <w:szCs w:val="20"/>
                <w:color w:val="auto"/>
              </w:rPr>
            </w:pPr>
            <w:r>
              <w:rPr>
                <w:rFonts w:ascii="Calibri" w:cs="Calibri" w:eastAsia="Calibri" w:hAnsi="Calibri"/>
                <w:sz w:val="15"/>
                <w:szCs w:val="15"/>
                <w:color w:val="auto"/>
              </w:rPr>
              <w:t>Benefts and other compensaton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36,063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34,277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(1,786)</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(5.2)%</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188,529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181,011</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(7,518)</w:t>
            </w:r>
          </w:p>
        </w:tc>
        <w:tc>
          <w:tcPr>
            <w:tcW w:w="15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(4.2)%</w:t>
            </w:r>
          </w:p>
        </w:tc>
      </w:tr>
      <w:tr>
        <w:trPr>
          <w:trHeight w:val="184"/>
        </w:trPr>
        <w:tc>
          <w:tcPr>
            <w:tcW w:w="5660" w:type="dxa"/>
            <w:vAlign w:val="bottom"/>
            <w:gridSpan w:val="2"/>
          </w:tcPr>
          <w:p>
            <w:pPr>
              <w:ind w:left="20"/>
              <w:spacing w:after="0"/>
              <w:rPr>
                <w:sz w:val="20"/>
                <w:szCs w:val="20"/>
                <w:color w:val="auto"/>
              </w:rPr>
            </w:pPr>
            <w:r>
              <w:rPr>
                <w:rFonts w:ascii="Calibri" w:cs="Calibri" w:eastAsia="Calibri" w:hAnsi="Calibri"/>
                <w:sz w:val="15"/>
                <w:szCs w:val="15"/>
                <w:color w:val="auto"/>
              </w:rPr>
              <w:t>Occupancy</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101,194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101,173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(21)</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alibri" w:cs="Calibri" w:eastAsia="Calibri" w:hAnsi="Calibri"/>
                <w:sz w:val="15"/>
                <w:szCs w:val="15"/>
                <w:color w:val="auto"/>
              </w:rPr>
              <w:t>—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Marketng and advertsing</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11,305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15,142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3,837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25.3 %</w:t>
            </w:r>
          </w:p>
        </w:tc>
      </w:tr>
      <w:tr>
        <w:trPr>
          <w:trHeight w:val="184"/>
        </w:trPr>
        <w:tc>
          <w:tcPr>
            <w:tcW w:w="5660" w:type="dxa"/>
            <w:vAlign w:val="bottom"/>
            <w:gridSpan w:val="2"/>
          </w:tcPr>
          <w:p>
            <w:pPr>
              <w:ind w:left="20"/>
              <w:spacing w:after="0"/>
              <w:rPr>
                <w:sz w:val="20"/>
                <w:szCs w:val="20"/>
                <w:color w:val="auto"/>
              </w:rPr>
            </w:pPr>
            <w:r>
              <w:rPr>
                <w:rFonts w:ascii="Calibri" w:cs="Calibri" w:eastAsia="Calibri" w:hAnsi="Calibri"/>
                <w:sz w:val="15"/>
                <w:szCs w:val="15"/>
                <w:color w:val="auto"/>
              </w:rPr>
              <w:t>Depreciaton and amortzaton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30,107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32,723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2,616</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8.0 %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Bad debt</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21,754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22,416</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662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3.0 %</w:t>
            </w:r>
          </w:p>
        </w:tc>
      </w:tr>
      <w:tr>
        <w:trPr>
          <w:trHeight w:val="184"/>
        </w:trPr>
        <w:tc>
          <w:tcPr>
            <w:tcW w:w="5660" w:type="dxa"/>
            <w:vAlign w:val="bottom"/>
            <w:gridSpan w:val="2"/>
          </w:tcPr>
          <w:p>
            <w:pPr>
              <w:ind w:left="20"/>
              <w:spacing w:after="0"/>
              <w:rPr>
                <w:sz w:val="20"/>
                <w:szCs w:val="20"/>
                <w:color w:val="auto"/>
              </w:rPr>
            </w:pPr>
            <w:r>
              <w:rPr>
                <w:rFonts w:ascii="Calibri" w:cs="Calibri" w:eastAsia="Calibri" w:hAnsi="Calibri"/>
                <w:sz w:val="15"/>
                <w:szCs w:val="15"/>
                <w:color w:val="auto"/>
              </w:rPr>
              <w:t>Other</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93,626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97,143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3,517</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3.6 %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99"/>
        </w:trPr>
        <w:tc>
          <w:tcPr>
            <w:tcW w:w="566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operatng expenses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446,515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449,608</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3,093</w:t>
            </w:r>
          </w:p>
        </w:tc>
        <w:tc>
          <w:tcPr>
            <w:tcW w:w="150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0.7 %</w:t>
            </w:r>
          </w:p>
        </w:tc>
      </w:tr>
      <w:tr>
        <w:trPr>
          <w:trHeight w:val="177"/>
        </w:trPr>
        <w:tc>
          <w:tcPr>
            <w:tcW w:w="56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Other income (expense), net</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5,922</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4,185</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1,737</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41.5 %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Interest expense on borrowings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(21,364)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(18,985)</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(2,379)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(12.5)%</w:t>
            </w:r>
          </w:p>
        </w:tc>
      </w:tr>
      <w:tr>
        <w:trPr>
          <w:trHeight w:val="177"/>
        </w:trPr>
        <w:tc>
          <w:tcPr>
            <w:tcW w:w="56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Pretax loss</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(282,874)</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(298,003)</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15,129</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5.1 %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Income tax beneft</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(93,758)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(77,140)</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16,618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21.5 %</w:t>
            </w:r>
          </w:p>
        </w:tc>
      </w:tr>
      <w:tr>
        <w:trPr>
          <w:trHeight w:val="177"/>
        </w:trPr>
        <w:tc>
          <w:tcPr>
            <w:tcW w:w="56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loss from contnuing operatons</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(189,116)</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(220,863)</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31,747</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14.4 %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 from discontnued operatons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(639)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(2,716)</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2,077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76.5 %</w:t>
            </w:r>
          </w:p>
        </w:tc>
      </w:tr>
      <w:tr>
        <w:trPr>
          <w:trHeight w:val="177"/>
        </w:trPr>
        <w:tc>
          <w:tcPr>
            <w:tcW w:w="566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loss</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(189,755)</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(223,579)</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33,824</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15.1 %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6"/>
        </w:trPr>
        <w:tc>
          <w:tcPr>
            <w:tcW w:w="566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BASIC AND DILUTED LOSS PER SHARE:</w:t>
            </w: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184"/>
        </w:trPr>
        <w:tc>
          <w:tcPr>
            <w:tcW w:w="5660" w:type="dxa"/>
            <w:vAlign w:val="bottom"/>
            <w:gridSpan w:val="2"/>
          </w:tcPr>
          <w:p>
            <w:pPr>
              <w:ind w:left="140"/>
              <w:spacing w:after="0"/>
              <w:rPr>
                <w:sz w:val="20"/>
                <w:szCs w:val="20"/>
                <w:color w:val="auto"/>
              </w:rPr>
            </w:pPr>
            <w:r>
              <w:rPr>
                <w:rFonts w:ascii="Calibri" w:cs="Calibri" w:eastAsia="Calibri" w:hAnsi="Calibri"/>
                <w:sz w:val="15"/>
                <w:szCs w:val="15"/>
                <w:color w:val="auto"/>
              </w:rPr>
              <w:t>Contnuing operatons</w:t>
            </w:r>
          </w:p>
        </w:tc>
        <w:tc>
          <w:tcPr>
            <w:tcW w:w="380" w:type="dxa"/>
            <w:vAlign w:val="bottom"/>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(1.33)</w:t>
            </w:r>
          </w:p>
        </w:tc>
        <w:tc>
          <w:tcPr>
            <w:tcW w:w="10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(1.43)</w:t>
            </w:r>
          </w:p>
        </w:tc>
        <w:tc>
          <w:tcPr>
            <w:tcW w:w="8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0.10</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7.0 %</w:t>
            </w:r>
          </w:p>
        </w:tc>
      </w:tr>
      <w:tr>
        <w:trPr>
          <w:trHeight w:val="22"/>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Discontnued operatons</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5"/>
                <w:szCs w:val="15"/>
                <w:b w:val="1"/>
                <w:bCs w:val="1"/>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(0.02)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0.02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w:t>
            </w:r>
          </w:p>
        </w:tc>
      </w:tr>
      <w:tr>
        <w:trPr>
          <w:trHeight w:val="177"/>
        </w:trPr>
        <w:tc>
          <w:tcPr>
            <w:tcW w:w="5660" w:type="dxa"/>
            <w:vAlign w:val="bottom"/>
            <w:gridSpan w:val="2"/>
          </w:tcPr>
          <w:p>
            <w:pPr>
              <w:ind w:left="140"/>
              <w:spacing w:after="0" w:line="173" w:lineRule="exact"/>
              <w:rPr>
                <w:sz w:val="20"/>
                <w:szCs w:val="20"/>
                <w:color w:val="auto"/>
              </w:rPr>
            </w:pPr>
            <w:r>
              <w:rPr>
                <w:rFonts w:ascii="Calibri" w:cs="Calibri" w:eastAsia="Calibri" w:hAnsi="Calibri"/>
                <w:sz w:val="15"/>
                <w:szCs w:val="15"/>
                <w:color w:val="auto"/>
              </w:rPr>
              <w:t>Consolidated</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(1.33)</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(1.45)</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0.12</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8.3 %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99"/>
        </w:trPr>
        <w:tc>
          <w:tcPr>
            <w:tcW w:w="566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5"/>
                <w:szCs w:val="15"/>
                <w:color w:val="auto"/>
              </w:rPr>
              <w:t>Adjusted diluted EPS</w:t>
            </w:r>
            <w:r>
              <w:rPr>
                <w:rFonts w:ascii="Calibri" w:cs="Calibri" w:eastAsia="Calibri" w:hAnsi="Calibri"/>
                <w:sz w:val="20"/>
                <w:szCs w:val="20"/>
                <w:color w:val="auto"/>
                <w:vertAlign w:val="superscript"/>
              </w:rPr>
              <w:t>(1)</w:t>
            </w:r>
          </w:p>
        </w:tc>
        <w:tc>
          <w:tcPr>
            <w:tcW w:w="380" w:type="dxa"/>
            <w:vAlign w:val="bottom"/>
            <w:shd w:val="clear" w:color="auto" w:fill="CCEEFF"/>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(1.37)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0.10</w:t>
            </w:r>
          </w:p>
        </w:tc>
        <w:tc>
          <w:tcPr>
            <w:tcW w:w="1500" w:type="dxa"/>
            <w:vAlign w:val="bottom"/>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7.3 %</w:t>
            </w:r>
          </w:p>
        </w:tc>
      </w:tr>
      <w:tr>
        <w:trPr>
          <w:trHeight w:val="238"/>
        </w:trPr>
        <w:tc>
          <w:tcPr>
            <w:tcW w:w="5660" w:type="dxa"/>
            <w:vAlign w:val="bottom"/>
            <w:tcBorders>
              <w:bottom w:val="single" w:sz="8" w:color="CCEEFF"/>
            </w:tcBorders>
            <w:gridSpan w:val="2"/>
          </w:tcPr>
          <w:p>
            <w:pPr>
              <w:ind w:left="20"/>
              <w:spacing w:after="0" w:line="206" w:lineRule="exact"/>
              <w:rPr>
                <w:sz w:val="20"/>
                <w:szCs w:val="20"/>
                <w:color w:val="auto"/>
              </w:rPr>
            </w:pPr>
            <w:r>
              <w:rPr>
                <w:rFonts w:ascii="Calibri" w:cs="Calibri" w:eastAsia="Calibri" w:hAnsi="Calibri"/>
                <w:sz w:val="15"/>
                <w:szCs w:val="15"/>
                <w:color w:val="auto"/>
              </w:rPr>
              <w:t xml:space="preserve">EBITDA </w:t>
            </w:r>
            <w:r>
              <w:rPr>
                <w:rFonts w:ascii="Calibri" w:cs="Calibri" w:eastAsia="Calibri" w:hAnsi="Calibri"/>
                <w:sz w:val="20"/>
                <w:szCs w:val="20"/>
                <w:color w:val="auto"/>
                <w:vertAlign w:val="superscript"/>
              </w:rPr>
              <w:t>(1)</w:t>
            </w:r>
          </w:p>
        </w:tc>
        <w:tc>
          <w:tcPr>
            <w:tcW w:w="380" w:type="dxa"/>
            <w:vAlign w:val="bottom"/>
            <w:tcBorders>
              <w:bottom w:val="single" w:sz="8" w:color="CCEEFF"/>
            </w:tcBorders>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b w:val="1"/>
                <w:bCs w:val="1"/>
                <w:color w:val="auto"/>
              </w:rPr>
              <w:t>(231,403)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(246,295)</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14,892</w:t>
            </w:r>
          </w:p>
        </w:tc>
        <w:tc>
          <w:tcPr>
            <w:tcW w:w="1500" w:type="dxa"/>
            <w:vAlign w:val="bottom"/>
            <w:tcBorders>
              <w:bottom w:val="single" w:sz="8" w:color="CCEEFF"/>
            </w:tcBorders>
            <w:gridSpan w:val="2"/>
          </w:tcPr>
          <w:p>
            <w:pPr>
              <w:jc w:val="right"/>
              <w:spacing w:after="0"/>
              <w:rPr>
                <w:sz w:val="20"/>
                <w:szCs w:val="20"/>
                <w:color w:val="auto"/>
              </w:rPr>
            </w:pPr>
            <w:r>
              <w:rPr>
                <w:rFonts w:ascii="Calibri" w:cs="Calibri" w:eastAsia="Calibri" w:hAnsi="Calibri"/>
                <w:sz w:val="15"/>
                <w:szCs w:val="15"/>
                <w:color w:val="auto"/>
              </w:rPr>
              <w:t>6.0 %</w:t>
            </w:r>
          </w:p>
        </w:tc>
      </w:tr>
      <w:tr>
        <w:trPr>
          <w:trHeight w:val="20"/>
        </w:trPr>
        <w:tc>
          <w:tcPr>
            <w:tcW w:w="5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220" w:hanging="217"/>
        <w:spacing w:after="0"/>
        <w:tabs>
          <w:tab w:leader="none" w:pos="220" w:val="left"/>
        </w:tabs>
        <w:numPr>
          <w:ilvl w:val="0"/>
          <w:numId w:val="14"/>
        </w:numPr>
        <w:rPr>
          <w:rFonts w:ascii="Calibri" w:cs="Calibri" w:eastAsia="Calibri" w:hAnsi="Calibri"/>
          <w:sz w:val="18"/>
          <w:szCs w:val="18"/>
          <w:color w:val="auto"/>
          <w:vertAlign w:val="superscript"/>
        </w:rPr>
      </w:pPr>
      <w:r>
        <w:rPr>
          <w:rFonts w:ascii="Calibri" w:cs="Calibri" w:eastAsia="Calibri" w:hAnsi="Calibri"/>
          <w:sz w:val="14"/>
          <w:szCs w:val="14"/>
          <w:color w:val="auto"/>
        </w:rPr>
        <w:t>All non-GAAP measures are results from contnuing operatons. See "</w:t>
      </w:r>
      <w:r>
        <w:rPr>
          <w:rFonts w:ascii="Calibri" w:cs="Calibri" w:eastAsia="Calibri" w:hAnsi="Calibri"/>
          <w:sz w:val="14"/>
          <w:szCs w:val="14"/>
          <w:u w:val="single" w:color="auto"/>
          <w:color w:val="0000FF"/>
        </w:rPr>
        <w:t>Non-GAAP Financial Informaton</w:t>
      </w:r>
      <w:r>
        <w:rPr>
          <w:rFonts w:ascii="Calibri" w:cs="Calibri" w:eastAsia="Calibri" w:hAnsi="Calibri"/>
          <w:sz w:val="14"/>
          <w:szCs w:val="14"/>
          <w:color w:val="auto"/>
        </w:rPr>
        <w:t>" at the end of this item for a reconciliaton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3"/>
          <w:szCs w:val="13"/>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Three months ended December 31, 2023 compared to December 31, 2022</w:t>
      </w:r>
    </w:p>
    <w:p>
      <w:pPr>
        <w:spacing w:after="0" w:line="105"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Revenues increased $12.7 million, or 7.6%, from the prior year. U.S. assisted tax preparaton revenues increased $7.1 million, or 17.3%, due to higher volumes and a higher net average charge in the current year. Other revenues increased $1.1 million, or 12.7%, primarily due to higher extension fling and bookkeeping fees.</w:t>
      </w:r>
    </w:p>
    <w:p>
      <w:pPr>
        <w:spacing w:after="0" w:line="99" w:lineRule="exact"/>
        <w:rPr>
          <w:sz w:val="20"/>
          <w:szCs w:val="20"/>
          <w:color w:val="auto"/>
        </w:rPr>
      </w:pPr>
    </w:p>
    <w:p>
      <w:pPr>
        <w:jc w:val="both"/>
        <w:ind w:firstLine="232"/>
        <w:spacing w:after="0" w:line="210" w:lineRule="auto"/>
        <w:rPr>
          <w:sz w:val="20"/>
          <w:szCs w:val="20"/>
          <w:color w:val="auto"/>
        </w:rPr>
      </w:pPr>
      <w:r>
        <w:rPr>
          <w:rFonts w:ascii="Calibri" w:cs="Calibri" w:eastAsia="Calibri" w:hAnsi="Calibri"/>
          <w:sz w:val="17"/>
          <w:szCs w:val="17"/>
          <w:color w:val="auto"/>
        </w:rPr>
        <w:t>Interest and fee income on Emerald Advance</w:t>
      </w:r>
      <w:r>
        <w:rPr>
          <w:rFonts w:ascii="Calibri" w:cs="Calibri" w:eastAsia="Calibri" w:hAnsi="Calibri"/>
          <w:sz w:val="22"/>
          <w:szCs w:val="22"/>
          <w:color w:val="auto"/>
          <w:vertAlign w:val="superscript"/>
        </w:rPr>
        <w:t>SM</w:t>
      </w:r>
      <w:r>
        <w:rPr>
          <w:rFonts w:ascii="Calibri" w:cs="Calibri" w:eastAsia="Calibri" w:hAnsi="Calibri"/>
          <w:sz w:val="17"/>
          <w:szCs w:val="17"/>
          <w:color w:val="auto"/>
        </w:rPr>
        <w:t xml:space="preserve"> (EA) increased $2.3 million, or 18.1%, due to an increase in EA Loans and an earlier start to the ofering period in the current year.</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Internatonal revenues increased $1.5 million, or 5.4%, primarily due to higher tax return volumes in Australia. Wave revenues increased $1.2 million, or 5.4%, due to higher small business payments processing volumes.</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Total operatng expenses decreased $3.1 million, or 0.7%, from the prior year. Other wages increased $4.1 million, or 5.9%, primarily due to higher corporate wages from higher headcount in the current year. Marketng and advertsing expense decreased $3.8 million, or 25.3%, primarily due to vendor refunds for expired customer incentves. Depreciaton and amortzaton expense decreased $2.6 million, or 8.0%, primarily due to lower amortzaton of capitalized sofware.</w:t>
      </w:r>
    </w:p>
    <w:p>
      <w:pPr>
        <w:spacing w:after="0" w:line="102"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Other operatng expenses decreased $3.5 million, or 3.6%. The components of other expenses are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62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7"/>
        </w:trPr>
        <w:tc>
          <w:tcPr>
            <w:tcW w:w="562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Three months ended December 31,</w:t>
            </w:r>
          </w:p>
        </w:tc>
        <w:tc>
          <w:tcPr>
            <w:tcW w:w="46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8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77"/>
        </w:trPr>
        <w:tc>
          <w:tcPr>
            <w:tcW w:w="554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Consultng and outsourced services</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b w:val="1"/>
                <w:bCs w:val="1"/>
                <w:color w:val="auto"/>
              </w:rPr>
              <w:t>$</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16,267</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22,452</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6,185</w:t>
            </w:r>
          </w:p>
        </w:tc>
        <w:tc>
          <w:tcPr>
            <w:tcW w:w="80" w:type="dxa"/>
            <w:vAlign w:val="bottom"/>
          </w:tcPr>
          <w:p>
            <w:pPr>
              <w:spacing w:after="0"/>
              <w:rPr>
                <w:sz w:val="15"/>
                <w:szCs w:val="15"/>
                <w:color w:val="auto"/>
              </w:rPr>
            </w:pPr>
          </w:p>
        </w:tc>
        <w:tc>
          <w:tcPr>
            <w:tcW w:w="14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27.5 %</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Bank partner fees</w:t>
            </w:r>
          </w:p>
        </w:tc>
        <w:tc>
          <w:tcPr>
            <w:tcW w:w="4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(1,113)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(778)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335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43.1 %</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Client claims and refunds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b w:val="1"/>
                <w:bCs w:val="1"/>
                <w:color w:val="auto"/>
              </w:rPr>
              <w:t>3,107</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5,445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2,338</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42.9 %</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Employee and travel expenses</w:t>
            </w:r>
          </w:p>
        </w:tc>
        <w:tc>
          <w:tcPr>
            <w:tcW w:w="4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12,375</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14,701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2,326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15.8 %</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Technology-related expenses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b w:val="1"/>
                <w:bCs w:val="1"/>
                <w:color w:val="auto"/>
              </w:rPr>
              <w:t>27,261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24,489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(2,772)</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(11.3)%</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Credit card/bank charges</w:t>
            </w:r>
          </w:p>
        </w:tc>
        <w:tc>
          <w:tcPr>
            <w:tcW w:w="4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17,768</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17,322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(446)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(2.6)%</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Insurance</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b w:val="1"/>
                <w:bCs w:val="1"/>
                <w:color w:val="auto"/>
              </w:rPr>
              <w:t>2,076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(349)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(2,425)</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Legal fees and setlements</w:t>
            </w:r>
          </w:p>
        </w:tc>
        <w:tc>
          <w:tcPr>
            <w:tcW w:w="4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5,421</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2,184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(3,237)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(148.2)%</w:t>
            </w:r>
          </w:p>
        </w:tc>
      </w:tr>
      <w:tr>
        <w:trPr>
          <w:trHeight w:val="184"/>
        </w:trPr>
        <w:tc>
          <w:tcPr>
            <w:tcW w:w="5620" w:type="dxa"/>
            <w:vAlign w:val="bottom"/>
            <w:gridSpan w:val="2"/>
          </w:tcPr>
          <w:p>
            <w:pPr>
              <w:ind w:left="20"/>
              <w:spacing w:after="0"/>
              <w:rPr>
                <w:sz w:val="20"/>
                <w:szCs w:val="20"/>
                <w:color w:val="auto"/>
              </w:rPr>
            </w:pPr>
            <w:r>
              <w:rPr>
                <w:rFonts w:ascii="Calibri" w:cs="Calibri" w:eastAsia="Calibri" w:hAnsi="Calibri"/>
                <w:sz w:val="15"/>
                <w:szCs w:val="15"/>
                <w:color w:val="auto"/>
              </w:rPr>
              <w:t>Supplies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b w:val="1"/>
                <w:bCs w:val="1"/>
                <w:color w:val="auto"/>
              </w:rPr>
              <w:t>4,355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3,940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(415)</w:t>
            </w:r>
          </w:p>
        </w:tc>
        <w:tc>
          <w:tcPr>
            <w:tcW w:w="1500" w:type="dxa"/>
            <w:vAlign w:val="bottom"/>
            <w:gridSpan w:val="2"/>
          </w:tcPr>
          <w:p>
            <w:pPr>
              <w:jc w:val="right"/>
              <w:spacing w:after="0"/>
              <w:rPr>
                <w:sz w:val="20"/>
                <w:szCs w:val="20"/>
                <w:color w:val="auto"/>
              </w:rPr>
            </w:pPr>
            <w:r>
              <w:rPr>
                <w:rFonts w:ascii="Calibri" w:cs="Calibri" w:eastAsia="Calibri" w:hAnsi="Calibri"/>
                <w:sz w:val="15"/>
                <w:szCs w:val="15"/>
                <w:color w:val="auto"/>
              </w:rPr>
              <w:t>(10.5)%</w:t>
            </w:r>
          </w:p>
        </w:tc>
      </w:tr>
      <w:tr>
        <w:trPr>
          <w:trHeight w:val="22"/>
        </w:trPr>
        <w:tc>
          <w:tcPr>
            <w:tcW w:w="5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w:t>
            </w: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6,109</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7,737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1,628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21.0 %</w:t>
            </w:r>
          </w:p>
        </w:tc>
      </w:tr>
      <w:tr>
        <w:trPr>
          <w:trHeight w:val="177"/>
        </w:trPr>
        <w:tc>
          <w:tcPr>
            <w:tcW w:w="5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b w:val="1"/>
                <w:bCs w:val="1"/>
                <w:color w:val="auto"/>
              </w:rPr>
              <w:t>$</w:t>
            </w:r>
          </w:p>
        </w:tc>
        <w:tc>
          <w:tcPr>
            <w:tcW w:w="8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93,626</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97,143</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3,517</w:t>
            </w:r>
          </w:p>
        </w:tc>
        <w:tc>
          <w:tcPr>
            <w:tcW w:w="150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3.6 %</w:t>
            </w:r>
          </w:p>
        </w:tc>
      </w:tr>
      <w:tr>
        <w:trPr>
          <w:trHeight w:val="59"/>
        </w:trPr>
        <w:tc>
          <w:tcPr>
            <w:tcW w:w="5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r>
      <w:tr>
        <w:trPr>
          <w:trHeight w:val="20"/>
        </w:trPr>
        <w:tc>
          <w:tcPr>
            <w:tcW w:w="55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420" w:type="dxa"/>
            <w:vAlign w:val="bottom"/>
            <w:tcBorders>
              <w:top w:val="single" w:sz="8" w:color="CCEEFF"/>
            </w:tcBorders>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Consultng and outsourced services expense decreased $6.2 million, or 27.5%, primarily due to lower contract labor in the current year. Technology-related expenses increased $2.8 million, or 11.3%, due to higher costs of technology in the current year. Legal fees and setlements expense increased $3.2 million, or 148.2%, primarily due to higher legal setlements in the current year.</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We recorded an income tax beneft of $93.8 million in the current year compared to $77.1 million in the prior year. The efectve tax rate for the three months ended December 31, 2023, and 2022 was 33.1% and 25.9%, respectvely.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0" w:hanging="259"/>
        <w:spacing w:after="0"/>
        <w:tabs>
          <w:tab w:leader="none" w:pos="360" w:val="left"/>
        </w:tabs>
        <w:numPr>
          <w:ilvl w:val="0"/>
          <w:numId w:val="15"/>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696595</wp:posOffset>
            </wp:positionV>
            <wp:extent cx="7097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7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Consolidated - Financial Results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Calibri" w:cs="Calibri" w:eastAsia="Calibri" w:hAnsi="Calibri"/>
                <w:sz w:val="14"/>
                <w:szCs w:val="14"/>
                <w:color w:val="auto"/>
              </w:rPr>
              <w:t>(in 000s, except per share amounts)</w:t>
            </w:r>
          </w:p>
        </w:tc>
      </w:tr>
      <w:tr>
        <w:trPr>
          <w:trHeight w:val="26"/>
        </w:trPr>
        <w:tc>
          <w:tcPr>
            <w:tcW w:w="5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77"/>
        </w:trPr>
        <w:tc>
          <w:tcPr>
            <w:tcW w:w="552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Six months ended December 31,</w:t>
            </w:r>
          </w:p>
        </w:tc>
        <w:tc>
          <w:tcPr>
            <w:tcW w:w="380" w:type="dxa"/>
            <w:vAlign w:val="bottom"/>
          </w:tcPr>
          <w:p>
            <w:pPr>
              <w:spacing w:after="0"/>
              <w:rPr>
                <w:sz w:val="15"/>
                <w:szCs w:val="15"/>
                <w:color w:val="auto"/>
              </w:rPr>
            </w:pPr>
          </w:p>
        </w:tc>
        <w:tc>
          <w:tcPr>
            <w:tcW w:w="9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120" w:type="dxa"/>
            <w:vAlign w:val="bottom"/>
          </w:tcPr>
          <w:p>
            <w:pPr>
              <w:spacing w:after="0"/>
              <w:rPr>
                <w:sz w:val="15"/>
                <w:szCs w:val="15"/>
                <w:color w:val="auto"/>
              </w:rPr>
            </w:pPr>
          </w:p>
        </w:tc>
        <w:tc>
          <w:tcPr>
            <w:tcW w:w="140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5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7"/>
        </w:trPr>
        <w:tc>
          <w:tcPr>
            <w:tcW w:w="5400" w:type="dxa"/>
            <w:vAlign w:val="bottom"/>
          </w:tcPr>
          <w:p>
            <w:pPr>
              <w:ind w:left="20"/>
              <w:spacing w:after="0" w:line="177" w:lineRule="exact"/>
              <w:rPr>
                <w:sz w:val="20"/>
                <w:szCs w:val="20"/>
                <w:color w:val="auto"/>
              </w:rPr>
            </w:pPr>
            <w:r>
              <w:rPr>
                <w:rFonts w:ascii="Calibri" w:cs="Calibri" w:eastAsia="Calibri" w:hAnsi="Calibri"/>
                <w:sz w:val="15"/>
                <w:szCs w:val="15"/>
                <w:color w:val="auto"/>
              </w:rPr>
              <w:t>Revenues:</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U.S. tax preparaton and related services: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84"/>
        </w:trPr>
        <w:tc>
          <w:tcPr>
            <w:tcW w:w="5520" w:type="dxa"/>
            <w:vAlign w:val="bottom"/>
            <w:gridSpan w:val="2"/>
          </w:tcPr>
          <w:p>
            <w:pPr>
              <w:ind w:left="240"/>
              <w:spacing w:after="0"/>
              <w:rPr>
                <w:sz w:val="20"/>
                <w:szCs w:val="20"/>
                <w:color w:val="auto"/>
              </w:rPr>
            </w:pPr>
            <w:r>
              <w:rPr>
                <w:rFonts w:ascii="Calibri" w:cs="Calibri" w:eastAsia="Calibri" w:hAnsi="Calibri"/>
                <w:sz w:val="15"/>
                <w:szCs w:val="15"/>
                <w:color w:val="auto"/>
              </w:rPr>
              <w:t>Assisted tax preparaton</w:t>
            </w:r>
          </w:p>
        </w:tc>
        <w:tc>
          <w:tcPr>
            <w:tcW w:w="380" w:type="dxa"/>
            <w:vAlign w:val="bottom"/>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87,605</w:t>
            </w:r>
          </w:p>
        </w:tc>
        <w:tc>
          <w:tcPr>
            <w:tcW w:w="12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77,528</w:t>
            </w:r>
          </w:p>
        </w:tc>
        <w:tc>
          <w:tcPr>
            <w:tcW w:w="12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10,077</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13.0 %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Royaltes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11,155</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11,174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(0.2)%</w:t>
            </w:r>
          </w:p>
        </w:tc>
      </w:tr>
      <w:tr>
        <w:trPr>
          <w:trHeight w:val="184"/>
        </w:trPr>
        <w:tc>
          <w:tcPr>
            <w:tcW w:w="5520" w:type="dxa"/>
            <w:vAlign w:val="bottom"/>
            <w:gridSpan w:val="2"/>
          </w:tcPr>
          <w:p>
            <w:pPr>
              <w:ind w:left="220"/>
              <w:spacing w:after="0"/>
              <w:rPr>
                <w:sz w:val="20"/>
                <w:szCs w:val="20"/>
                <w:color w:val="auto"/>
              </w:rPr>
            </w:pPr>
            <w:r>
              <w:rPr>
                <w:rFonts w:ascii="Calibri" w:cs="Calibri" w:eastAsia="Calibri" w:hAnsi="Calibri"/>
                <w:sz w:val="15"/>
                <w:szCs w:val="15"/>
                <w:color w:val="auto"/>
              </w:rPr>
              <w:t>DIY tax preparaton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16,959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15,308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1,651</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10.8 %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Refund Transfers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1,955</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2,826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(871)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(30.8)%</w:t>
            </w:r>
          </w:p>
        </w:tc>
      </w:tr>
      <w:tr>
        <w:trPr>
          <w:trHeight w:val="184"/>
        </w:trPr>
        <w:tc>
          <w:tcPr>
            <w:tcW w:w="5520" w:type="dxa"/>
            <w:vAlign w:val="bottom"/>
            <w:gridSpan w:val="2"/>
          </w:tcPr>
          <w:p>
            <w:pPr>
              <w:ind w:left="220"/>
              <w:spacing w:after="0"/>
              <w:rPr>
                <w:sz w:val="20"/>
                <w:szCs w:val="20"/>
                <w:color w:val="auto"/>
              </w:rPr>
            </w:pPr>
            <w:r>
              <w:rPr>
                <w:rFonts w:ascii="Calibri" w:cs="Calibri" w:eastAsia="Calibri" w:hAnsi="Calibri"/>
                <w:sz w:val="15"/>
                <w:szCs w:val="15"/>
                <w:color w:val="auto"/>
              </w:rPr>
              <w:t>Peace of Mind® Extended Service Plan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42,287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42,090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197</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0.5 %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40"/>
              <w:spacing w:after="0"/>
              <w:rPr>
                <w:sz w:val="20"/>
                <w:szCs w:val="20"/>
                <w:color w:val="auto"/>
              </w:rPr>
            </w:pPr>
            <w:r>
              <w:rPr>
                <w:rFonts w:ascii="Calibri" w:cs="Calibri" w:eastAsia="Calibri" w:hAnsi="Calibri"/>
                <w:sz w:val="15"/>
                <w:szCs w:val="15"/>
                <w:color w:val="auto"/>
              </w:rPr>
              <w:t>Tax Identty Shield®</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9,274</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10,517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(1,243)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(11.8)%</w:t>
            </w:r>
          </w:p>
        </w:tc>
      </w:tr>
      <w:tr>
        <w:trPr>
          <w:trHeight w:val="184"/>
        </w:trPr>
        <w:tc>
          <w:tcPr>
            <w:tcW w:w="5520" w:type="dxa"/>
            <w:vAlign w:val="bottom"/>
            <w:gridSpan w:val="2"/>
          </w:tcPr>
          <w:p>
            <w:pPr>
              <w:ind w:left="240"/>
              <w:spacing w:after="0"/>
              <w:rPr>
                <w:sz w:val="20"/>
                <w:szCs w:val="20"/>
                <w:color w:val="auto"/>
              </w:rPr>
            </w:pPr>
            <w:r>
              <w:rPr>
                <w:rFonts w:ascii="Calibri" w:cs="Calibri" w:eastAsia="Calibri" w:hAnsi="Calibri"/>
                <w:sz w:val="15"/>
                <w:szCs w:val="15"/>
                <w:color w:val="auto"/>
              </w:rPr>
              <w:t>Other</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20,572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17,873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2,699</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15.1 %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520" w:type="dxa"/>
            <w:vAlign w:val="bottom"/>
            <w:tcBorders>
              <w:bottom w:val="single" w:sz="8" w:color="CCEEFF"/>
            </w:tcBorders>
            <w:gridSpan w:val="2"/>
            <w:shd w:val="clear" w:color="auto" w:fill="CCEEFF"/>
          </w:tcPr>
          <w:p>
            <w:pPr>
              <w:ind w:left="340"/>
              <w:spacing w:after="0" w:line="173" w:lineRule="exact"/>
              <w:rPr>
                <w:sz w:val="20"/>
                <w:szCs w:val="20"/>
                <w:color w:val="auto"/>
              </w:rPr>
            </w:pPr>
            <w:r>
              <w:rPr>
                <w:rFonts w:ascii="Calibri" w:cs="Calibri" w:eastAsia="Calibri" w:hAnsi="Calibri"/>
                <w:sz w:val="15"/>
                <w:szCs w:val="15"/>
                <w:color w:val="auto"/>
              </w:rPr>
              <w:t>Total U.S. tax preparaton and related services</w:t>
            </w: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189,807</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177,316</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12,491</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7.0 %</w:t>
            </w: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Financial services: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gridSpan w:val="2"/>
            <w:shd w:val="clear" w:color="auto" w:fill="CCEEFF"/>
          </w:tcPr>
          <w:p>
            <w:pPr>
              <w:ind w:left="240"/>
              <w:spacing w:after="0" w:line="206" w:lineRule="exact"/>
              <w:rPr>
                <w:sz w:val="20"/>
                <w:szCs w:val="20"/>
                <w:color w:val="auto"/>
              </w:rPr>
            </w:pPr>
            <w:r>
              <w:rPr>
                <w:rFonts w:ascii="Calibri" w:cs="Calibri" w:eastAsia="Calibri" w:hAnsi="Calibri"/>
                <w:sz w:val="15"/>
                <w:szCs w:val="15"/>
                <w:color w:val="auto"/>
              </w:rPr>
              <w:t>Emerald Card® and Spruce</w:t>
            </w:r>
            <w:r>
              <w:rPr>
                <w:rFonts w:ascii="Calibri" w:cs="Calibri" w:eastAsia="Calibri" w:hAnsi="Calibri"/>
                <w:sz w:val="20"/>
                <w:szCs w:val="20"/>
                <w:color w:val="auto"/>
                <w:vertAlign w:val="superscript"/>
              </w:rPr>
              <w:t>SM</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20,333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24,090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(3,757)</w:t>
            </w:r>
          </w:p>
        </w:tc>
        <w:tc>
          <w:tcPr>
            <w:tcW w:w="1520" w:type="dxa"/>
            <w:vAlign w:val="bottom"/>
            <w:gridSpan w:val="2"/>
            <w:shd w:val="clear" w:color="auto" w:fill="CCEEFF"/>
          </w:tcPr>
          <w:p>
            <w:pPr>
              <w:jc w:val="right"/>
              <w:spacing w:after="0"/>
              <w:rPr>
                <w:sz w:val="20"/>
                <w:szCs w:val="20"/>
                <w:color w:val="auto"/>
              </w:rPr>
            </w:pPr>
            <w:r>
              <w:rPr>
                <w:rFonts w:ascii="Calibri" w:cs="Calibri" w:eastAsia="Calibri" w:hAnsi="Calibri"/>
                <w:sz w:val="15"/>
                <w:szCs w:val="15"/>
                <w:color w:val="auto"/>
              </w:rPr>
              <w:t>(15.6)%</w:t>
            </w:r>
          </w:p>
        </w:tc>
      </w:tr>
      <w:tr>
        <w:trPr>
          <w:trHeight w:val="206"/>
        </w:trPr>
        <w:tc>
          <w:tcPr>
            <w:tcW w:w="5520" w:type="dxa"/>
            <w:vAlign w:val="bottom"/>
            <w:tcBorders>
              <w:bottom w:val="single" w:sz="8" w:color="CCEEFF"/>
            </w:tcBorders>
            <w:gridSpan w:val="2"/>
          </w:tcPr>
          <w:p>
            <w:pPr>
              <w:ind w:left="220"/>
              <w:spacing w:after="0" w:line="206" w:lineRule="exact"/>
              <w:rPr>
                <w:sz w:val="20"/>
                <w:szCs w:val="20"/>
                <w:color w:val="auto"/>
              </w:rPr>
            </w:pPr>
            <w:r>
              <w:rPr>
                <w:rFonts w:ascii="Calibri" w:cs="Calibri" w:eastAsia="Calibri" w:hAnsi="Calibri"/>
                <w:sz w:val="15"/>
                <w:szCs w:val="15"/>
                <w:color w:val="auto"/>
              </w:rPr>
              <w:t>Interest and fee income on Emerald Advance</w:t>
            </w:r>
            <w:r>
              <w:rPr>
                <w:rFonts w:ascii="Calibri" w:cs="Calibri" w:eastAsia="Calibri" w:hAnsi="Calibri"/>
                <w:sz w:val="20"/>
                <w:szCs w:val="20"/>
                <w:color w:val="auto"/>
                <w:vertAlign w:val="superscript"/>
              </w:rPr>
              <w:t>SM</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b w:val="1"/>
                <w:bCs w:val="1"/>
                <w:color w:val="auto"/>
              </w:rPr>
              <w:t>15,533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13,517</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2,016</w:t>
            </w:r>
          </w:p>
        </w:tc>
        <w:tc>
          <w:tcPr>
            <w:tcW w:w="1520" w:type="dxa"/>
            <w:vAlign w:val="bottom"/>
            <w:tcBorders>
              <w:bottom w:val="single" w:sz="8" w:color="CCEEFF"/>
            </w:tcBorders>
            <w:gridSpan w:val="2"/>
          </w:tcPr>
          <w:p>
            <w:pPr>
              <w:jc w:val="right"/>
              <w:spacing w:after="0"/>
              <w:rPr>
                <w:sz w:val="20"/>
                <w:szCs w:val="20"/>
                <w:color w:val="auto"/>
              </w:rPr>
            </w:pPr>
            <w:r>
              <w:rPr>
                <w:rFonts w:ascii="Calibri" w:cs="Calibri" w:eastAsia="Calibri" w:hAnsi="Calibri"/>
                <w:sz w:val="15"/>
                <w:szCs w:val="15"/>
                <w:color w:val="auto"/>
              </w:rPr>
              <w:t>14.9 %</w:t>
            </w:r>
          </w:p>
        </w:tc>
      </w:tr>
      <w:tr>
        <w:trPr>
          <w:trHeight w:val="179"/>
        </w:trPr>
        <w:tc>
          <w:tcPr>
            <w:tcW w:w="552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fnancial services</w:t>
            </w: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35,866</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37,607</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(1,741)</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(4.6)%</w:t>
            </w: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Internatonal</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90,134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86,880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3,254</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3.7 %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Wave</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47,076</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44,587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2,489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5.6 %</w:t>
            </w:r>
          </w:p>
        </w:tc>
      </w:tr>
      <w:tr>
        <w:trPr>
          <w:trHeight w:val="177"/>
        </w:trPr>
        <w:tc>
          <w:tcPr>
            <w:tcW w:w="5520" w:type="dxa"/>
            <w:vAlign w:val="bottom"/>
            <w:gridSpan w:val="2"/>
          </w:tcPr>
          <w:p>
            <w:pPr>
              <w:ind w:left="420"/>
              <w:spacing w:after="0" w:line="173" w:lineRule="exact"/>
              <w:rPr>
                <w:sz w:val="20"/>
                <w:szCs w:val="20"/>
                <w:color w:val="auto"/>
              </w:rPr>
            </w:pPr>
            <w:r>
              <w:rPr>
                <w:rFonts w:ascii="Calibri" w:cs="Calibri" w:eastAsia="Calibri" w:hAnsi="Calibri"/>
                <w:sz w:val="15"/>
                <w:szCs w:val="15"/>
                <w:color w:val="auto"/>
              </w:rPr>
              <w:t>Total revenues</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362,883</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346,390</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16,493</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4.8 %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6"/>
        </w:trPr>
        <w:tc>
          <w:tcPr>
            <w:tcW w:w="552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Compensaton and benefts:</w:t>
            </w: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Field wages</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140,230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137,877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(2,353)</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(1.7)%</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Other wages</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146,769</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134,283</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(12,486)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(9.3)%</w:t>
            </w: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Benefts and other compensaton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71,311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69,109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(2,202)</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(3.2)%</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79"/>
        </w:trPr>
        <w:tc>
          <w:tcPr>
            <w:tcW w:w="5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358,310</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341,269</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(17,041)</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(5.0)%</w:t>
            </w:r>
          </w:p>
        </w:tc>
      </w:tr>
      <w:tr>
        <w:trPr>
          <w:trHeight w:val="184"/>
        </w:trPr>
        <w:tc>
          <w:tcPr>
            <w:tcW w:w="5520" w:type="dxa"/>
            <w:vAlign w:val="bottom"/>
            <w:gridSpan w:val="2"/>
          </w:tcPr>
          <w:p>
            <w:pPr>
              <w:ind w:left="20"/>
              <w:spacing w:after="0"/>
              <w:rPr>
                <w:sz w:val="20"/>
                <w:szCs w:val="20"/>
                <w:color w:val="auto"/>
              </w:rPr>
            </w:pPr>
            <w:r>
              <w:rPr>
                <w:rFonts w:ascii="Calibri" w:cs="Calibri" w:eastAsia="Calibri" w:hAnsi="Calibri"/>
                <w:sz w:val="15"/>
                <w:szCs w:val="15"/>
                <w:color w:val="auto"/>
              </w:rPr>
              <w:t>Occupancy</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200,479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198,763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(1,716)</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(0.9)%</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Marketng and advertsing</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16,786</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25,791</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9,005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34.9 %</w:t>
            </w:r>
          </w:p>
        </w:tc>
      </w:tr>
      <w:tr>
        <w:trPr>
          <w:trHeight w:val="184"/>
        </w:trPr>
        <w:tc>
          <w:tcPr>
            <w:tcW w:w="5520" w:type="dxa"/>
            <w:vAlign w:val="bottom"/>
            <w:gridSpan w:val="2"/>
          </w:tcPr>
          <w:p>
            <w:pPr>
              <w:ind w:left="20"/>
              <w:spacing w:after="0"/>
              <w:rPr>
                <w:sz w:val="20"/>
                <w:szCs w:val="20"/>
                <w:color w:val="auto"/>
              </w:rPr>
            </w:pPr>
            <w:r>
              <w:rPr>
                <w:rFonts w:ascii="Calibri" w:cs="Calibri" w:eastAsia="Calibri" w:hAnsi="Calibri"/>
                <w:sz w:val="15"/>
                <w:szCs w:val="15"/>
                <w:color w:val="auto"/>
              </w:rPr>
              <w:t>Depreciaton and amortzaton</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60,332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66,347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6,015</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9.1 %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Bad debt</w:t>
            </w: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26,552</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22,745</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(3,807)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(16.7)%</w:t>
            </w:r>
          </w:p>
        </w:tc>
      </w:tr>
      <w:tr>
        <w:trPr>
          <w:trHeight w:val="184"/>
        </w:trPr>
        <w:tc>
          <w:tcPr>
            <w:tcW w:w="5520" w:type="dxa"/>
            <w:vAlign w:val="bottom"/>
            <w:gridSpan w:val="2"/>
          </w:tcPr>
          <w:p>
            <w:pPr>
              <w:ind w:left="20"/>
              <w:spacing w:after="0"/>
              <w:rPr>
                <w:sz w:val="20"/>
                <w:szCs w:val="20"/>
                <w:color w:val="auto"/>
              </w:rPr>
            </w:pPr>
            <w:r>
              <w:rPr>
                <w:rFonts w:ascii="Calibri" w:cs="Calibri" w:eastAsia="Calibri" w:hAnsi="Calibri"/>
                <w:sz w:val="15"/>
                <w:szCs w:val="15"/>
                <w:color w:val="auto"/>
              </w:rPr>
              <w:t>Other</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174,182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183,789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9,607</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5.2 %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99"/>
        </w:trPr>
        <w:tc>
          <w:tcPr>
            <w:tcW w:w="5520" w:type="dxa"/>
            <w:vAlign w:val="bottom"/>
            <w:tcBorders>
              <w:bottom w:val="single" w:sz="8" w:color="CCEEFF"/>
            </w:tcBorders>
            <w:gridSpan w:val="2"/>
            <w:shd w:val="clear" w:color="auto" w:fill="CCEEFF"/>
          </w:tcPr>
          <w:p>
            <w:pPr>
              <w:ind w:left="320"/>
              <w:spacing w:after="0" w:line="173" w:lineRule="exact"/>
              <w:rPr>
                <w:sz w:val="20"/>
                <w:szCs w:val="20"/>
                <w:color w:val="auto"/>
              </w:rPr>
            </w:pPr>
            <w:r>
              <w:rPr>
                <w:rFonts w:ascii="Calibri" w:cs="Calibri" w:eastAsia="Calibri" w:hAnsi="Calibri"/>
                <w:sz w:val="15"/>
                <w:szCs w:val="15"/>
                <w:color w:val="auto"/>
              </w:rPr>
              <w:t>Total operatng expenses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836,641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838,704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2,063</w:t>
            </w:r>
          </w:p>
        </w:tc>
        <w:tc>
          <w:tcPr>
            <w:tcW w:w="152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0.2 %</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Other income (expense), net</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15,758</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7,796</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7,962</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102.1 %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Interest expense on borrowings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(37,234)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(34,809)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(2,425)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(7.0)%</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Pretax loss</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(495,234)</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(519,327)</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24,093</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4.6 %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Income tax beneft</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(143,245)</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(131,097)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12,148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9.3 %</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loss from contnuing operatons</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(351,989)</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(388,230)</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36,241</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9.3 %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loss from discontnued operatons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(1,248)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(3,770)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2,522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66.9 %</w:t>
            </w:r>
          </w:p>
        </w:tc>
      </w:tr>
      <w:tr>
        <w:trPr>
          <w:trHeight w:val="177"/>
        </w:trPr>
        <w:tc>
          <w:tcPr>
            <w:tcW w:w="552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loss</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(353,237)</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(392,000)</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38,763</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9.9 %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66"/>
        </w:trPr>
        <w:tc>
          <w:tcPr>
            <w:tcW w:w="552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b w:val="1"/>
                <w:bCs w:val="1"/>
                <w:color w:val="auto"/>
              </w:rPr>
              <w:t>BASIC AND DILUTED LOSS PER SHARE:</w:t>
            </w: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184"/>
        </w:trPr>
        <w:tc>
          <w:tcPr>
            <w:tcW w:w="5520" w:type="dxa"/>
            <w:vAlign w:val="bottom"/>
            <w:gridSpan w:val="2"/>
          </w:tcPr>
          <w:p>
            <w:pPr>
              <w:ind w:left="140"/>
              <w:spacing w:after="0"/>
              <w:rPr>
                <w:sz w:val="20"/>
                <w:szCs w:val="20"/>
                <w:color w:val="auto"/>
              </w:rPr>
            </w:pPr>
            <w:r>
              <w:rPr>
                <w:rFonts w:ascii="Calibri" w:cs="Calibri" w:eastAsia="Calibri" w:hAnsi="Calibri"/>
                <w:sz w:val="15"/>
                <w:szCs w:val="15"/>
                <w:color w:val="auto"/>
              </w:rPr>
              <w:t>Contnuing operatons</w:t>
            </w:r>
          </w:p>
        </w:tc>
        <w:tc>
          <w:tcPr>
            <w:tcW w:w="380" w:type="dxa"/>
            <w:vAlign w:val="bottom"/>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b w:val="1"/>
                <w:bCs w:val="1"/>
                <w:color w:val="auto"/>
              </w:rPr>
              <w:t>(2.44)</w:t>
            </w:r>
          </w:p>
        </w:tc>
        <w:tc>
          <w:tcPr>
            <w:tcW w:w="12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(2.48)</w:t>
            </w:r>
          </w:p>
        </w:tc>
        <w:tc>
          <w:tcPr>
            <w:tcW w:w="120" w:type="dxa"/>
            <w:vAlign w:val="bottom"/>
          </w:tcPr>
          <w:p>
            <w:pPr>
              <w:spacing w:after="0"/>
              <w:rPr>
                <w:sz w:val="16"/>
                <w:szCs w:val="16"/>
                <w:color w:val="auto"/>
              </w:rPr>
            </w:pPr>
          </w:p>
        </w:tc>
        <w:tc>
          <w:tcPr>
            <w:tcW w:w="400" w:type="dxa"/>
            <w:vAlign w:val="bottom"/>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0.04</w:t>
            </w:r>
          </w:p>
        </w:tc>
        <w:tc>
          <w:tcPr>
            <w:tcW w:w="1520" w:type="dxa"/>
            <w:vAlign w:val="bottom"/>
            <w:gridSpan w:val="2"/>
          </w:tcPr>
          <w:p>
            <w:pPr>
              <w:jc w:val="right"/>
              <w:spacing w:after="0"/>
              <w:rPr>
                <w:sz w:val="20"/>
                <w:szCs w:val="20"/>
                <w:color w:val="auto"/>
              </w:rPr>
            </w:pPr>
            <w:r>
              <w:rPr>
                <w:rFonts w:ascii="Calibri" w:cs="Calibri" w:eastAsia="Calibri" w:hAnsi="Calibri"/>
                <w:sz w:val="15"/>
                <w:szCs w:val="15"/>
                <w:color w:val="auto"/>
              </w:rPr>
              <w:t>1.6 %</w:t>
            </w:r>
          </w:p>
        </w:tc>
      </w:tr>
      <w:tr>
        <w:trPr>
          <w:trHeight w:val="22"/>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6"/>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Discontnued operatons</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(0.01)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(0.02)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0.01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50.0 %</w:t>
            </w:r>
          </w:p>
        </w:tc>
      </w:tr>
      <w:tr>
        <w:trPr>
          <w:trHeight w:val="177"/>
        </w:trPr>
        <w:tc>
          <w:tcPr>
            <w:tcW w:w="5520" w:type="dxa"/>
            <w:vAlign w:val="bottom"/>
            <w:gridSpan w:val="2"/>
          </w:tcPr>
          <w:p>
            <w:pPr>
              <w:ind w:left="140"/>
              <w:spacing w:after="0" w:line="173" w:lineRule="exact"/>
              <w:rPr>
                <w:sz w:val="20"/>
                <w:szCs w:val="20"/>
                <w:color w:val="auto"/>
              </w:rPr>
            </w:pPr>
            <w:r>
              <w:rPr>
                <w:rFonts w:ascii="Calibri" w:cs="Calibri" w:eastAsia="Calibri" w:hAnsi="Calibri"/>
                <w:sz w:val="15"/>
                <w:szCs w:val="15"/>
                <w:color w:val="auto"/>
              </w:rPr>
              <w:t>Consolidated</w:t>
            </w: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b w:val="1"/>
                <w:bCs w:val="1"/>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(2.45)</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03"/>
              <w:spacing w:after="0" w:line="177" w:lineRule="exact"/>
              <w:rPr>
                <w:sz w:val="20"/>
                <w:szCs w:val="20"/>
                <w:color w:val="auto"/>
              </w:rPr>
            </w:pPr>
            <w:r>
              <w:rPr>
                <w:rFonts w:ascii="Calibri" w:cs="Calibri" w:eastAsia="Calibri" w:hAnsi="Calibri"/>
                <w:sz w:val="15"/>
                <w:szCs w:val="15"/>
                <w:color w:val="auto"/>
              </w:rPr>
              <w:t>$</w:t>
            </w:r>
          </w:p>
        </w:tc>
        <w:tc>
          <w:tcPr>
            <w:tcW w:w="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(2.50)</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0.05</w:t>
            </w:r>
          </w:p>
        </w:tc>
        <w:tc>
          <w:tcPr>
            <w:tcW w:w="152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2.0 %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99"/>
        </w:trPr>
        <w:tc>
          <w:tcPr>
            <w:tcW w:w="5520" w:type="dxa"/>
            <w:vAlign w:val="bottom"/>
            <w:gridSpan w:val="2"/>
            <w:shd w:val="clear" w:color="auto" w:fill="CCEEFF"/>
          </w:tcPr>
          <w:p>
            <w:pPr>
              <w:ind w:left="20"/>
              <w:spacing w:after="0" w:line="199" w:lineRule="exact"/>
              <w:rPr>
                <w:sz w:val="20"/>
                <w:szCs w:val="20"/>
                <w:color w:val="auto"/>
              </w:rPr>
            </w:pPr>
            <w:r>
              <w:rPr>
                <w:rFonts w:ascii="Calibri" w:cs="Calibri" w:eastAsia="Calibri" w:hAnsi="Calibri"/>
                <w:sz w:val="15"/>
                <w:szCs w:val="15"/>
                <w:color w:val="auto"/>
              </w:rPr>
              <w:t>Adjusted diluted EPS</w:t>
            </w:r>
            <w:r>
              <w:rPr>
                <w:rFonts w:ascii="Calibri" w:cs="Calibri" w:eastAsia="Calibri" w:hAnsi="Calibri"/>
                <w:sz w:val="20"/>
                <w:szCs w:val="20"/>
                <w:color w:val="auto"/>
                <w:vertAlign w:val="superscript"/>
              </w:rPr>
              <w:t>(1)</w:t>
            </w:r>
          </w:p>
        </w:tc>
        <w:tc>
          <w:tcPr>
            <w:tcW w:w="380" w:type="dxa"/>
            <w:vAlign w:val="bottom"/>
            <w:shd w:val="clear" w:color="auto" w:fill="CCEEFF"/>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b w:val="1"/>
                <w:bCs w:val="1"/>
                <w:color w:val="auto"/>
              </w:rPr>
              <w:t>(2.31)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(2.36)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shd w:val="clear" w:color="auto" w:fill="CCEEFF"/>
          </w:tcPr>
          <w:p>
            <w:pPr>
              <w:jc w:val="right"/>
              <w:spacing w:after="0"/>
              <w:rPr>
                <w:sz w:val="20"/>
                <w:szCs w:val="20"/>
                <w:color w:val="auto"/>
              </w:rPr>
            </w:pPr>
            <w:r>
              <w:rPr>
                <w:rFonts w:ascii="Calibri" w:cs="Calibri" w:eastAsia="Calibri" w:hAnsi="Calibri"/>
                <w:sz w:val="15"/>
                <w:szCs w:val="15"/>
                <w:color w:val="auto"/>
              </w:rPr>
              <w:t>0.05</w:t>
            </w:r>
          </w:p>
        </w:tc>
        <w:tc>
          <w:tcPr>
            <w:tcW w:w="1520" w:type="dxa"/>
            <w:vAlign w:val="bottom"/>
            <w:gridSpan w:val="2"/>
            <w:shd w:val="clear" w:color="auto" w:fill="CCEEFF"/>
          </w:tcPr>
          <w:p>
            <w:pPr>
              <w:jc w:val="right"/>
              <w:spacing w:after="0" w:line="173" w:lineRule="exact"/>
              <w:rPr>
                <w:sz w:val="20"/>
                <w:szCs w:val="20"/>
                <w:color w:val="auto"/>
              </w:rPr>
            </w:pPr>
            <w:r>
              <w:rPr>
                <w:rFonts w:ascii="Calibri" w:cs="Calibri" w:eastAsia="Calibri" w:hAnsi="Calibri"/>
                <w:sz w:val="15"/>
                <w:szCs w:val="15"/>
                <w:color w:val="auto"/>
              </w:rPr>
              <w:t>2.1 %</w:t>
            </w:r>
          </w:p>
        </w:tc>
      </w:tr>
      <w:tr>
        <w:trPr>
          <w:trHeight w:val="238"/>
        </w:trPr>
        <w:tc>
          <w:tcPr>
            <w:tcW w:w="5520" w:type="dxa"/>
            <w:vAlign w:val="bottom"/>
            <w:tcBorders>
              <w:bottom w:val="single" w:sz="8" w:color="CCEEFF"/>
            </w:tcBorders>
            <w:gridSpan w:val="2"/>
          </w:tcPr>
          <w:p>
            <w:pPr>
              <w:ind w:left="20"/>
              <w:spacing w:after="0" w:line="206" w:lineRule="exact"/>
              <w:rPr>
                <w:sz w:val="20"/>
                <w:szCs w:val="20"/>
                <w:color w:val="auto"/>
              </w:rPr>
            </w:pPr>
            <w:r>
              <w:rPr>
                <w:rFonts w:ascii="Calibri" w:cs="Calibri" w:eastAsia="Calibri" w:hAnsi="Calibri"/>
                <w:sz w:val="15"/>
                <w:szCs w:val="15"/>
                <w:color w:val="auto"/>
              </w:rPr>
              <w:t xml:space="preserve">EBITDA </w:t>
            </w:r>
            <w:r>
              <w:rPr>
                <w:rFonts w:ascii="Calibri" w:cs="Calibri" w:eastAsia="Calibri" w:hAnsi="Calibri"/>
                <w:sz w:val="20"/>
                <w:szCs w:val="20"/>
                <w:color w:val="auto"/>
                <w:vertAlign w:val="superscript"/>
              </w:rPr>
              <w:t>(1)</w:t>
            </w:r>
          </w:p>
        </w:tc>
        <w:tc>
          <w:tcPr>
            <w:tcW w:w="380" w:type="dxa"/>
            <w:vAlign w:val="bottom"/>
            <w:tcBorders>
              <w:bottom w:val="single" w:sz="8" w:color="CCEEFF"/>
            </w:tcBorders>
          </w:tcPr>
          <w:p>
            <w:pPr>
              <w:jc w:val="right"/>
              <w:ind w:right="203"/>
              <w:spacing w:after="0"/>
              <w:rPr>
                <w:sz w:val="20"/>
                <w:szCs w:val="20"/>
                <w:color w:val="auto"/>
              </w:rPr>
            </w:pPr>
            <w:r>
              <w:rPr>
                <w:rFonts w:ascii="Calibri" w:cs="Calibri" w:eastAsia="Calibri" w:hAnsi="Calibri"/>
                <w:sz w:val="15"/>
                <w:szCs w:val="15"/>
                <w:b w:val="1"/>
                <w:bCs w:val="1"/>
                <w:color w:val="auto"/>
              </w:rPr>
              <w:t>$</w:t>
            </w:r>
          </w:p>
        </w:tc>
        <w:tc>
          <w:tcPr>
            <w:tcW w:w="92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b w:val="1"/>
                <w:bCs w:val="1"/>
                <w:color w:val="auto"/>
              </w:rPr>
              <w:t>(397,668)</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jc w:val="right"/>
              <w:ind w:right="203"/>
              <w:spacing w:after="0"/>
              <w:rPr>
                <w:sz w:val="20"/>
                <w:szCs w:val="20"/>
                <w:color w:val="auto"/>
              </w:rPr>
            </w:pPr>
            <w:r>
              <w:rPr>
                <w:rFonts w:ascii="Calibri" w:cs="Calibri" w:eastAsia="Calibri" w:hAnsi="Calibri"/>
                <w:sz w:val="15"/>
                <w:szCs w:val="15"/>
                <w:color w:val="auto"/>
              </w:rPr>
              <w:t>$</w:t>
            </w:r>
          </w:p>
        </w:tc>
        <w:tc>
          <w:tcPr>
            <w:tcW w:w="92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(418,171)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jc w:val="right"/>
              <w:ind w:right="223"/>
              <w:spacing w:after="0"/>
              <w:rPr>
                <w:sz w:val="20"/>
                <w:szCs w:val="20"/>
                <w:color w:val="auto"/>
              </w:rPr>
            </w:pPr>
            <w:r>
              <w:rPr>
                <w:rFonts w:ascii="Calibri" w:cs="Calibri" w:eastAsia="Calibri" w:hAnsi="Calibri"/>
                <w:sz w:val="15"/>
                <w:szCs w:val="15"/>
                <w:color w:val="auto"/>
              </w:rPr>
              <w:t>$</w:t>
            </w:r>
          </w:p>
        </w:tc>
        <w:tc>
          <w:tcPr>
            <w:tcW w:w="900" w:type="dxa"/>
            <w:vAlign w:val="bottom"/>
            <w:tcBorders>
              <w:bottom w:val="single" w:sz="8" w:color="CCEEFF"/>
            </w:tcBorders>
          </w:tcPr>
          <w:p>
            <w:pPr>
              <w:jc w:val="right"/>
              <w:spacing w:after="0"/>
              <w:rPr>
                <w:sz w:val="20"/>
                <w:szCs w:val="20"/>
                <w:color w:val="auto"/>
              </w:rPr>
            </w:pPr>
            <w:r>
              <w:rPr>
                <w:rFonts w:ascii="Calibri" w:cs="Calibri" w:eastAsia="Calibri" w:hAnsi="Calibri"/>
                <w:sz w:val="15"/>
                <w:szCs w:val="15"/>
                <w:color w:val="auto"/>
              </w:rPr>
              <w:t>20,503</w:t>
            </w:r>
          </w:p>
        </w:tc>
        <w:tc>
          <w:tcPr>
            <w:tcW w:w="1520" w:type="dxa"/>
            <w:vAlign w:val="bottom"/>
            <w:tcBorders>
              <w:bottom w:val="single" w:sz="8" w:color="CCEEFF"/>
            </w:tcBorders>
            <w:gridSpan w:val="2"/>
          </w:tcPr>
          <w:p>
            <w:pPr>
              <w:jc w:val="right"/>
              <w:spacing w:after="0"/>
              <w:rPr>
                <w:sz w:val="20"/>
                <w:szCs w:val="20"/>
                <w:color w:val="auto"/>
              </w:rPr>
            </w:pPr>
            <w:r>
              <w:rPr>
                <w:rFonts w:ascii="Calibri" w:cs="Calibri" w:eastAsia="Calibri" w:hAnsi="Calibri"/>
                <w:sz w:val="15"/>
                <w:szCs w:val="15"/>
                <w:color w:val="auto"/>
              </w:rPr>
              <w:t>4.9 %</w:t>
            </w:r>
          </w:p>
        </w:tc>
      </w:tr>
      <w:tr>
        <w:trPr>
          <w:trHeight w:val="20"/>
        </w:trPr>
        <w:tc>
          <w:tcPr>
            <w:tcW w:w="5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56" w:lineRule="exact"/>
        <w:rPr>
          <w:sz w:val="20"/>
          <w:szCs w:val="20"/>
          <w:color w:val="auto"/>
        </w:rPr>
      </w:pPr>
    </w:p>
    <w:p>
      <w:pPr>
        <w:ind w:left="120" w:hanging="117"/>
        <w:spacing w:after="0"/>
        <w:tabs>
          <w:tab w:leader="none" w:pos="120" w:val="left"/>
        </w:tabs>
        <w:numPr>
          <w:ilvl w:val="0"/>
          <w:numId w:val="16"/>
        </w:numPr>
        <w:rPr>
          <w:rFonts w:ascii="Calibri" w:cs="Calibri" w:eastAsia="Calibri" w:hAnsi="Calibri"/>
          <w:sz w:val="14"/>
          <w:szCs w:val="14"/>
          <w:color w:val="auto"/>
          <w:vertAlign w:val="superscript"/>
        </w:rPr>
      </w:pPr>
      <w:r>
        <w:rPr>
          <w:rFonts w:ascii="Calibri" w:cs="Calibri" w:eastAsia="Calibri" w:hAnsi="Calibri"/>
          <w:sz w:val="11"/>
          <w:szCs w:val="11"/>
          <w:color w:val="auto"/>
        </w:rPr>
        <w:t>All non-GAAP measures are results from contnuing operatons. See "</w:t>
      </w:r>
      <w:r>
        <w:rPr>
          <w:rFonts w:ascii="Calibri" w:cs="Calibri" w:eastAsia="Calibri" w:hAnsi="Calibri"/>
          <w:sz w:val="11"/>
          <w:szCs w:val="11"/>
          <w:u w:val="single" w:color="auto"/>
          <w:color w:val="0000FF"/>
        </w:rPr>
        <w:t>Non-GAAP Financial Informaton</w:t>
      </w:r>
      <w:r>
        <w:rPr>
          <w:rFonts w:ascii="Calibri" w:cs="Calibri" w:eastAsia="Calibri" w:hAnsi="Calibri"/>
          <w:sz w:val="11"/>
          <w:szCs w:val="11"/>
          <w:color w:val="auto"/>
        </w:rPr>
        <w:t>" at the end of this item for a reconciliaton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3"/>
          <w:szCs w:val="13"/>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21" w:name="page22"/>
    <w:bookmarkEnd w:id="21"/>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Six months ended December 31, 2023 compared to December 31, 2022</w:t>
      </w:r>
    </w:p>
    <w:p>
      <w:pPr>
        <w:spacing w:after="0" w:line="105" w:lineRule="exact"/>
        <w:rPr>
          <w:sz w:val="20"/>
          <w:szCs w:val="20"/>
          <w:color w:val="auto"/>
        </w:rPr>
      </w:pPr>
    </w:p>
    <w:p>
      <w:pPr>
        <w:jc w:val="both"/>
        <w:spacing w:after="0" w:line="265" w:lineRule="auto"/>
        <w:rPr>
          <w:sz w:val="20"/>
          <w:szCs w:val="20"/>
          <w:color w:val="auto"/>
        </w:rPr>
      </w:pPr>
      <w:r>
        <w:rPr>
          <w:rFonts w:ascii="Calibri" w:cs="Calibri" w:eastAsia="Calibri" w:hAnsi="Calibri"/>
          <w:sz w:val="16"/>
          <w:szCs w:val="16"/>
          <w:color w:val="auto"/>
        </w:rPr>
        <w:t>Revenues increased $16.5 million, or 4.8%, from the prior year. U.S. assisted tax preparaton revenues increased $10.1 million, or 13.0%, due to a higher net average charge and higher volumes in the current year. Other revenues increased $2.7 million, or 15.1%, primarily due to higher extension fling and bookkeeping fees.</w:t>
      </w:r>
    </w:p>
    <w:p>
      <w:pPr>
        <w:spacing w:after="0" w:line="77" w:lineRule="exact"/>
        <w:rPr>
          <w:sz w:val="20"/>
          <w:szCs w:val="20"/>
          <w:color w:val="auto"/>
        </w:rPr>
      </w:pPr>
    </w:p>
    <w:p>
      <w:pPr>
        <w:jc w:val="both"/>
        <w:ind w:firstLine="232"/>
        <w:spacing w:after="0" w:line="201" w:lineRule="auto"/>
        <w:rPr>
          <w:sz w:val="20"/>
          <w:szCs w:val="20"/>
          <w:color w:val="auto"/>
        </w:rPr>
      </w:pPr>
      <w:r>
        <w:rPr>
          <w:rFonts w:ascii="Calibri" w:cs="Calibri" w:eastAsia="Calibri" w:hAnsi="Calibri"/>
          <w:sz w:val="17"/>
          <w:szCs w:val="17"/>
          <w:color w:val="auto"/>
        </w:rPr>
        <w:t>Emerald Card® and Spruce</w:t>
      </w:r>
      <w:r>
        <w:rPr>
          <w:rFonts w:ascii="Calibri" w:cs="Calibri" w:eastAsia="Calibri" w:hAnsi="Calibri"/>
          <w:sz w:val="22"/>
          <w:szCs w:val="22"/>
          <w:color w:val="auto"/>
          <w:vertAlign w:val="superscript"/>
        </w:rPr>
        <w:t>SM</w:t>
      </w:r>
      <w:r>
        <w:rPr>
          <w:rFonts w:ascii="Calibri" w:cs="Calibri" w:eastAsia="Calibri" w:hAnsi="Calibri"/>
          <w:sz w:val="17"/>
          <w:szCs w:val="17"/>
          <w:color w:val="auto"/>
        </w:rPr>
        <w:t xml:space="preserve"> revenues decreased $3.8 million, or 15.6%, due to lower Emerald Card® actvity in the current year as a result of less funds being loaded on the cards. Interest and fee income on Emerald Advance</w:t>
      </w:r>
      <w:r>
        <w:rPr>
          <w:rFonts w:ascii="Calibri" w:cs="Calibri" w:eastAsia="Calibri" w:hAnsi="Calibri"/>
          <w:sz w:val="22"/>
          <w:szCs w:val="22"/>
          <w:color w:val="auto"/>
          <w:vertAlign w:val="superscript"/>
        </w:rPr>
        <w:t>SM</w:t>
      </w:r>
      <w:r>
        <w:rPr>
          <w:rFonts w:ascii="Calibri" w:cs="Calibri" w:eastAsia="Calibri" w:hAnsi="Calibri"/>
          <w:sz w:val="17"/>
          <w:szCs w:val="17"/>
          <w:color w:val="auto"/>
        </w:rPr>
        <w:t xml:space="preserve"> increased $2.0 million, or 14.9%, due to an increase in EA Loans and an earlier start to the ofering period in the current year.</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Internatonal revenues increased $3.3 million, or 3.7%, primarily due to higher tax return volumes in Australia. Wave revenues increased $2.5 million, or 5.6%, due to higher small business payments processing volumes.</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Total operatng expenses decreased $2.1 million, or 0.2%, from the prior year period. Other wages increased $12.5 million, or 9.3%, primarily due to higher corporate wages from higher headcount in the current year. Marketng and advertsing expense decreased $9.0 million, or 34.9%, primarily due to vendor refunds for expired customer incentves. Depreciaton and amortzaton expense decreased $6.0 million, or 9.1%, primarily due to lower amortzaton of capitalized sofware. Bad debt expense increased $3.8 million, or 16.7%, due to an increase in EA loans compared to the prior year.</w:t>
      </w:r>
    </w:p>
    <w:p>
      <w:pPr>
        <w:spacing w:after="0" w:line="102"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Other operatng expenses decreased $9.6 million, or 5.2%. The components of other expenses are as follows: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504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77"/>
        </w:trPr>
        <w:tc>
          <w:tcPr>
            <w:tcW w:w="504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Six months ended December 31,</w:t>
            </w:r>
          </w:p>
        </w:tc>
        <w:tc>
          <w:tcPr>
            <w:tcW w:w="48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c>
          <w:tcPr>
            <w:tcW w:w="120" w:type="dxa"/>
            <w:vAlign w:val="bottom"/>
          </w:tcPr>
          <w:p>
            <w:pPr>
              <w:spacing w:after="0"/>
              <w:rPr>
                <w:sz w:val="15"/>
                <w:szCs w:val="15"/>
                <w:color w:val="auto"/>
              </w:rPr>
            </w:pPr>
          </w:p>
        </w:tc>
        <w:tc>
          <w:tcPr>
            <w:tcW w:w="1520" w:type="dxa"/>
            <w:vAlign w:val="bottom"/>
          </w:tcPr>
          <w:p>
            <w:pPr>
              <w:jc w:val="right"/>
              <w:spacing w:after="0" w:line="177" w:lineRule="exact"/>
              <w:rPr>
                <w:sz w:val="20"/>
                <w:szCs w:val="20"/>
                <w:color w:val="auto"/>
              </w:rPr>
            </w:pPr>
            <w:r>
              <w:rPr>
                <w:rFonts w:ascii="Calibri" w:cs="Calibri" w:eastAsia="Calibri" w:hAnsi="Calibri"/>
                <w:sz w:val="15"/>
                <w:szCs w:val="15"/>
                <w:color w:val="auto"/>
              </w:rPr>
              <w:t>% Change</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177"/>
        </w:trPr>
        <w:tc>
          <w:tcPr>
            <w:tcW w:w="494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Consultng and outsourced services</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b w:val="1"/>
                <w:bCs w:val="1"/>
                <w:color w:val="auto"/>
              </w:rPr>
              <w:t>$</w:t>
            </w: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29,401</w:t>
            </w:r>
          </w:p>
        </w:tc>
        <w:tc>
          <w:tcPr>
            <w:tcW w:w="12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40,505</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color w:val="auto"/>
              </w:rPr>
              <w:t>$</w:t>
            </w:r>
          </w:p>
        </w:tc>
        <w:tc>
          <w:tcPr>
            <w:tcW w:w="9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11,104</w:t>
            </w:r>
          </w:p>
        </w:tc>
        <w:tc>
          <w:tcPr>
            <w:tcW w:w="120" w:type="dxa"/>
            <w:vAlign w:val="bottom"/>
          </w:tcPr>
          <w:p>
            <w:pPr>
              <w:spacing w:after="0"/>
              <w:rPr>
                <w:sz w:val="15"/>
                <w:szCs w:val="15"/>
                <w:color w:val="auto"/>
              </w:rPr>
            </w:pPr>
          </w:p>
        </w:tc>
        <w:tc>
          <w:tcPr>
            <w:tcW w:w="15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27.4 %</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Bank partner fees</w:t>
            </w: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(1,065)</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(797)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268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33.6 %</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Client claims and refunds</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b w:val="1"/>
                <w:bCs w:val="1"/>
                <w:color w:val="auto"/>
              </w:rPr>
              <w:t>9,346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12,215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alibri" w:cs="Calibri" w:eastAsia="Calibri" w:hAnsi="Calibri"/>
                <w:sz w:val="15"/>
                <w:szCs w:val="15"/>
                <w:color w:val="auto"/>
              </w:rPr>
              <w:t>2,869</w:t>
            </w:r>
          </w:p>
        </w:tc>
        <w:tc>
          <w:tcPr>
            <w:tcW w:w="1640" w:type="dxa"/>
            <w:vAlign w:val="bottom"/>
            <w:gridSpan w:val="2"/>
          </w:tcPr>
          <w:p>
            <w:pPr>
              <w:jc w:val="right"/>
              <w:spacing w:after="0"/>
              <w:rPr>
                <w:sz w:val="20"/>
                <w:szCs w:val="20"/>
                <w:color w:val="auto"/>
              </w:rPr>
            </w:pPr>
            <w:r>
              <w:rPr>
                <w:rFonts w:ascii="Calibri" w:cs="Calibri" w:eastAsia="Calibri" w:hAnsi="Calibri"/>
                <w:sz w:val="15"/>
                <w:szCs w:val="15"/>
                <w:color w:val="auto"/>
              </w:rPr>
              <w:t>23.5 %</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Employee and travel expenses</w:t>
            </w: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18,061</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20,769</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2,708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13.0 %</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Technology-related expenses</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b w:val="1"/>
                <w:bCs w:val="1"/>
                <w:color w:val="auto"/>
              </w:rPr>
              <w:t>50,339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50,404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alibri" w:cs="Calibri" w:eastAsia="Calibri" w:hAnsi="Calibri"/>
                <w:sz w:val="15"/>
                <w:szCs w:val="15"/>
                <w:color w:val="auto"/>
              </w:rPr>
              <w:t>65</w:t>
            </w:r>
          </w:p>
        </w:tc>
        <w:tc>
          <w:tcPr>
            <w:tcW w:w="1640" w:type="dxa"/>
            <w:vAlign w:val="bottom"/>
            <w:gridSpan w:val="2"/>
          </w:tcPr>
          <w:p>
            <w:pPr>
              <w:jc w:val="right"/>
              <w:spacing w:after="0"/>
              <w:rPr>
                <w:sz w:val="20"/>
                <w:szCs w:val="20"/>
                <w:color w:val="auto"/>
              </w:rPr>
            </w:pPr>
            <w:r>
              <w:rPr>
                <w:rFonts w:ascii="Calibri" w:cs="Calibri" w:eastAsia="Calibri" w:hAnsi="Calibri"/>
                <w:sz w:val="15"/>
                <w:szCs w:val="15"/>
                <w:color w:val="auto"/>
              </w:rPr>
              <w:t>0.1 %</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Credit card/bank charges</w:t>
            </w: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34,937</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33,523</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(1,414)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(4.2)%</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Insurance</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b w:val="1"/>
                <w:bCs w:val="1"/>
                <w:color w:val="auto"/>
              </w:rPr>
              <w:t>5,426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3,369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alibri" w:cs="Calibri" w:eastAsia="Calibri" w:hAnsi="Calibri"/>
                <w:sz w:val="15"/>
                <w:szCs w:val="15"/>
                <w:color w:val="auto"/>
              </w:rPr>
              <w:t>(2,057)</w:t>
            </w:r>
          </w:p>
        </w:tc>
        <w:tc>
          <w:tcPr>
            <w:tcW w:w="1640" w:type="dxa"/>
            <w:vAlign w:val="bottom"/>
            <w:gridSpan w:val="2"/>
          </w:tcPr>
          <w:p>
            <w:pPr>
              <w:jc w:val="right"/>
              <w:spacing w:after="0"/>
              <w:rPr>
                <w:sz w:val="20"/>
                <w:szCs w:val="20"/>
                <w:color w:val="auto"/>
              </w:rPr>
            </w:pPr>
            <w:r>
              <w:rPr>
                <w:rFonts w:ascii="Calibri" w:cs="Calibri" w:eastAsia="Calibri" w:hAnsi="Calibri"/>
                <w:sz w:val="15"/>
                <w:szCs w:val="15"/>
                <w:color w:val="auto"/>
              </w:rPr>
              <w:t>(61.1)%</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Legal fees and setlements</w:t>
            </w: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8,429</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4,470</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(3,959)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(88.6)%</w:t>
            </w:r>
          </w:p>
        </w:tc>
      </w:tr>
      <w:tr>
        <w:trPr>
          <w:trHeight w:val="184"/>
        </w:trPr>
        <w:tc>
          <w:tcPr>
            <w:tcW w:w="5040" w:type="dxa"/>
            <w:vAlign w:val="bottom"/>
            <w:gridSpan w:val="2"/>
          </w:tcPr>
          <w:p>
            <w:pPr>
              <w:ind w:left="20"/>
              <w:spacing w:after="0"/>
              <w:rPr>
                <w:sz w:val="20"/>
                <w:szCs w:val="20"/>
                <w:color w:val="auto"/>
              </w:rPr>
            </w:pPr>
            <w:r>
              <w:rPr>
                <w:rFonts w:ascii="Calibri" w:cs="Calibri" w:eastAsia="Calibri" w:hAnsi="Calibri"/>
                <w:sz w:val="15"/>
                <w:szCs w:val="15"/>
                <w:color w:val="auto"/>
              </w:rPr>
              <w:t>Supplies</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b w:val="1"/>
                <w:bCs w:val="1"/>
                <w:color w:val="auto"/>
              </w:rPr>
              <w:t>7,118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7,335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alibri" w:cs="Calibri" w:eastAsia="Calibri" w:hAnsi="Calibri"/>
                <w:sz w:val="15"/>
                <w:szCs w:val="15"/>
                <w:color w:val="auto"/>
              </w:rPr>
              <w:t>217</w:t>
            </w:r>
          </w:p>
        </w:tc>
        <w:tc>
          <w:tcPr>
            <w:tcW w:w="1640" w:type="dxa"/>
            <w:vAlign w:val="bottom"/>
            <w:gridSpan w:val="2"/>
          </w:tcPr>
          <w:p>
            <w:pPr>
              <w:jc w:val="right"/>
              <w:spacing w:after="0"/>
              <w:rPr>
                <w:sz w:val="20"/>
                <w:szCs w:val="20"/>
                <w:color w:val="auto"/>
              </w:rPr>
            </w:pPr>
            <w:r>
              <w:rPr>
                <w:rFonts w:ascii="Calibri" w:cs="Calibri" w:eastAsia="Calibri" w:hAnsi="Calibri"/>
                <w:sz w:val="15"/>
                <w:szCs w:val="15"/>
                <w:color w:val="auto"/>
              </w:rPr>
              <w:t>3.0 %</w:t>
            </w: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Other</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12,190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11,996</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(194)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5"/>
                <w:szCs w:val="15"/>
                <w:color w:val="auto"/>
              </w:rPr>
              <w:t>(1.6)%</w:t>
            </w:r>
          </w:p>
        </w:tc>
      </w:tr>
      <w:tr>
        <w:trPr>
          <w:trHeight w:val="177"/>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b w:val="1"/>
                <w:bCs w:val="1"/>
                <w:color w:val="auto"/>
              </w:rPr>
              <w:t>$</w:t>
            </w:r>
          </w:p>
        </w:tc>
        <w:tc>
          <w:tcPr>
            <w:tcW w:w="9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174,182</w:t>
            </w:r>
          </w:p>
        </w:tc>
        <w:tc>
          <w:tcPr>
            <w:tcW w:w="120" w:type="dxa"/>
            <w:vAlign w:val="bottom"/>
          </w:tcPr>
          <w:p>
            <w:pPr>
              <w:spacing w:after="0"/>
              <w:rPr>
                <w:sz w:val="15"/>
                <w:szCs w:val="15"/>
                <w:color w:val="auto"/>
              </w:rPr>
            </w:pPr>
          </w:p>
        </w:tc>
        <w:tc>
          <w:tcPr>
            <w:tcW w:w="480" w:type="dxa"/>
            <w:vAlign w:val="bottom"/>
            <w:tcBorders>
              <w:top w:val="single" w:sz="8" w:color="auto"/>
            </w:tcBorders>
          </w:tcPr>
          <w:p>
            <w:pPr>
              <w:jc w:val="right"/>
              <w:ind w:right="303"/>
              <w:spacing w:after="0" w:line="177"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183,789</w:t>
            </w:r>
          </w:p>
        </w:tc>
        <w:tc>
          <w:tcPr>
            <w:tcW w:w="120" w:type="dxa"/>
            <w:vAlign w:val="bottom"/>
          </w:tcPr>
          <w:p>
            <w:pPr>
              <w:spacing w:after="0"/>
              <w:rPr>
                <w:sz w:val="15"/>
                <w:szCs w:val="15"/>
                <w:color w:val="auto"/>
              </w:rPr>
            </w:pPr>
          </w:p>
        </w:tc>
        <w:tc>
          <w:tcPr>
            <w:tcW w:w="460" w:type="dxa"/>
            <w:vAlign w:val="bottom"/>
            <w:tcBorders>
              <w:top w:val="single" w:sz="8" w:color="auto"/>
            </w:tcBorders>
          </w:tcPr>
          <w:p>
            <w:pPr>
              <w:jc w:val="right"/>
              <w:ind w:right="283"/>
              <w:spacing w:after="0" w:line="177" w:lineRule="exact"/>
              <w:rPr>
                <w:sz w:val="20"/>
                <w:szCs w:val="20"/>
                <w:color w:val="auto"/>
              </w:rPr>
            </w:pPr>
            <w:r>
              <w:rPr>
                <w:rFonts w:ascii="Calibri" w:cs="Calibri" w:eastAsia="Calibri" w:hAnsi="Calibri"/>
                <w:sz w:val="15"/>
                <w:szCs w:val="15"/>
                <w:color w:val="auto"/>
              </w:rPr>
              <w:t>$</w:t>
            </w:r>
          </w:p>
        </w:tc>
        <w:tc>
          <w:tcPr>
            <w:tcW w:w="9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9,607</w:t>
            </w:r>
          </w:p>
        </w:tc>
        <w:tc>
          <w:tcPr>
            <w:tcW w:w="1640" w:type="dxa"/>
            <w:vAlign w:val="bottom"/>
            <w:gridSpan w:val="2"/>
          </w:tcPr>
          <w:p>
            <w:pPr>
              <w:jc w:val="right"/>
              <w:spacing w:after="0" w:line="173" w:lineRule="exact"/>
              <w:rPr>
                <w:sz w:val="20"/>
                <w:szCs w:val="20"/>
                <w:color w:val="auto"/>
              </w:rPr>
            </w:pPr>
            <w:r>
              <w:rPr>
                <w:rFonts w:ascii="Calibri" w:cs="Calibri" w:eastAsia="Calibri" w:hAnsi="Calibri"/>
                <w:sz w:val="15"/>
                <w:szCs w:val="15"/>
                <w:color w:val="auto"/>
              </w:rPr>
              <w:t>5.2 %</w:t>
            </w:r>
          </w:p>
        </w:tc>
      </w:tr>
      <w:tr>
        <w:trPr>
          <w:trHeight w:val="59"/>
        </w:trPr>
        <w:tc>
          <w:tcPr>
            <w:tcW w:w="49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r>
      <w:tr>
        <w:trPr>
          <w:trHeight w:val="20"/>
        </w:trPr>
        <w:tc>
          <w:tcPr>
            <w:tcW w:w="49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20" w:type="dxa"/>
            <w:vAlign w:val="bottom"/>
            <w:tcBorders>
              <w:top w:val="single" w:sz="8" w:color="CCEEFF"/>
            </w:tcBorders>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Consultng and outsourced services expense decreased $11.1 million, or 27.4%, due to lower contract labor and call center expenses in the current year. Legal fees and setlements expense increased $4.0 million, or 88.6%, primarily due to higher legal setlements in the current year.</w:t>
      </w:r>
    </w:p>
    <w:p>
      <w:pPr>
        <w:spacing w:after="0" w:line="103"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Other income (expense), net increased $8.0 million, or 102.1%, due to higher interest income in the current year.</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 xml:space="preserve">We recorded an income tax beneft of $143.2 million in the current year compared to $131.1 million in the prior year. The efectve tax rate for the six months ended December 31, 2023, and 2022 was 28.9% and 25.2%, respectvely. See </w:t>
      </w:r>
      <w:r>
        <w:rPr>
          <w:rFonts w:ascii="Calibri" w:cs="Calibri" w:eastAsia="Calibri" w:hAnsi="Calibri"/>
          <w:sz w:val="17"/>
          <w:szCs w:val="17"/>
          <w:u w:val="single" w:color="auto"/>
          <w:color w:val="0000FF"/>
        </w:rPr>
        <w:t>Item 1, note 7</w:t>
      </w:r>
      <w:r>
        <w:rPr>
          <w:rFonts w:ascii="Calibri" w:cs="Calibri" w:eastAsia="Calibri" w:hAnsi="Calibri"/>
          <w:sz w:val="17"/>
          <w:szCs w:val="17"/>
          <w:color w:val="auto"/>
        </w:rPr>
        <w:t xml:space="preserve"> to the consolidated fnancial statements for additonal discussion.</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FINANCIAL CONDITION</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These comments should be read in conjuncton with the consolidated balance sheets and consolidated statements of cash fows included in </w:t>
      </w:r>
      <w:r>
        <w:rPr>
          <w:rFonts w:ascii="Calibri" w:cs="Calibri" w:eastAsia="Calibri" w:hAnsi="Calibri"/>
          <w:sz w:val="17"/>
          <w:szCs w:val="17"/>
          <w:u w:val="single" w:color="auto"/>
          <w:color w:val="0000FF"/>
        </w:rPr>
        <w:t>Part 1, Item 1</w:t>
      </w:r>
      <w:r>
        <w:rPr>
          <w:rFonts w:ascii="Calibri" w:cs="Calibri" w:eastAsia="Calibri" w:hAnsi="Calibri"/>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hanging="259"/>
        <w:spacing w:after="0"/>
        <w:tabs>
          <w:tab w:leader="none" w:pos="360" w:val="left"/>
        </w:tabs>
        <w:numPr>
          <w:ilvl w:val="0"/>
          <w:numId w:val="17"/>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CAPITAL RESOURCES AND LIQUIDITY </w:t>
      </w:r>
      <w:r>
        <w:rPr>
          <w:rFonts w:ascii="Calibri" w:cs="Calibri" w:eastAsia="Calibri" w:hAnsi="Calibri"/>
          <w:sz w:val="17"/>
          <w:szCs w:val="17"/>
          <w:color w:val="auto"/>
        </w:rPr>
        <w:t>–</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OVERVIEW </w:t>
      </w:r>
      <w:r>
        <w:rPr>
          <w:rFonts w:ascii="Calibri" w:cs="Calibri" w:eastAsia="Calibri" w:hAnsi="Calibri"/>
          <w:sz w:val="17"/>
          <w:szCs w:val="17"/>
          <w:color w:val="auto"/>
        </w:rPr>
        <w:t>– Our primary sources of capital and liquidity include cash from operatons (including changes in working capital), draws on our unsecured commited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line of credit (CLOC), and issuances of debt. We use our sources of liquidity primarily to fund working capital, service and repay debt, pay dividends, repurchase shares of our common stock, and acquire businesses.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Our operatons are highly seasonal and substantally all of our revenues and cash fow are generated during the period from February through April in a typical year. Therefore, we normally require the use of cash to fund losses and working capital needs, periodically resultng in a working capital defcit, during the months of May through January. We typically have relied on available cash balances from the prior tax season and borrowings to meet liquidity needs.</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Given the likely availability of a number of liquidity optons discussed herein, we believe that, in the absence of any unexpected developments, our existng sources of capital as of December 31, 2023 are sufcient to meet our operatng, investng and fnancing needs.</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DISCUSSION OF CONSOLIDATED STATEMENTS OF CASH FLOWS </w:t>
      </w:r>
      <w:r>
        <w:rPr>
          <w:rFonts w:ascii="Calibri" w:cs="Calibri" w:eastAsia="Calibri" w:hAnsi="Calibri"/>
          <w:sz w:val="17"/>
          <w:szCs w:val="17"/>
          <w:color w:val="auto"/>
        </w:rPr>
        <w:t>– The following table summarizes our statements of cash fows for the six months ended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December 31, 2023 and 2022. See </w:t>
      </w:r>
      <w:r>
        <w:rPr>
          <w:rFonts w:ascii="Calibri" w:cs="Calibri" w:eastAsia="Calibri" w:hAnsi="Calibri"/>
          <w:sz w:val="17"/>
          <w:szCs w:val="17"/>
          <w:u w:val="single" w:color="auto"/>
          <w:color w:val="0000FF"/>
        </w:rPr>
        <w:t>Item 1</w:t>
      </w:r>
      <w:r>
        <w:rPr>
          <w:rFonts w:ascii="Calibri" w:cs="Calibri" w:eastAsia="Calibri" w:hAnsi="Calibri"/>
          <w:sz w:val="17"/>
          <w:szCs w:val="17"/>
          <w:color w:val="auto"/>
        </w:rPr>
        <w:t xml:space="preserve"> for the complete consolidated statements of cash fows for these periods.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660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77"/>
        </w:trPr>
        <w:tc>
          <w:tcPr>
            <w:tcW w:w="660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Six months ended December 31,</w:t>
            </w:r>
          </w:p>
        </w:tc>
        <w:tc>
          <w:tcPr>
            <w:tcW w:w="860" w:type="dxa"/>
            <w:vAlign w:val="bottom"/>
          </w:tcPr>
          <w:p>
            <w:pPr>
              <w:spacing w:after="0"/>
              <w:rPr>
                <w:sz w:val="15"/>
                <w:szCs w:val="15"/>
                <w:color w:val="auto"/>
              </w:rPr>
            </w:pPr>
          </w:p>
        </w:tc>
        <w:tc>
          <w:tcPr>
            <w:tcW w:w="14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r>
      <w:tr>
        <w:trPr>
          <w:trHeight w:val="22"/>
        </w:trPr>
        <w:tc>
          <w:tcPr>
            <w:tcW w:w="6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7"/>
        </w:trPr>
        <w:tc>
          <w:tcPr>
            <w:tcW w:w="6500" w:type="dxa"/>
            <w:vAlign w:val="bottom"/>
          </w:tcPr>
          <w:p>
            <w:pPr>
              <w:ind w:left="20"/>
              <w:spacing w:after="0" w:line="177" w:lineRule="exact"/>
              <w:rPr>
                <w:sz w:val="20"/>
                <w:szCs w:val="20"/>
                <w:color w:val="auto"/>
              </w:rPr>
            </w:pPr>
            <w:r>
              <w:rPr>
                <w:rFonts w:ascii="Calibri" w:cs="Calibri" w:eastAsia="Calibri" w:hAnsi="Calibri"/>
                <w:sz w:val="15"/>
                <w:szCs w:val="15"/>
                <w:color w:val="auto"/>
              </w:rPr>
              <w:t>Net cash provided by (used in):</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660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Operatng actvites</w:t>
            </w:r>
          </w:p>
        </w:tc>
        <w:tc>
          <w:tcPr>
            <w:tcW w:w="860" w:type="dxa"/>
            <w:vAlign w:val="bottom"/>
            <w:tcBorders>
              <w:bottom w:val="single" w:sz="8" w:color="CCEEFF"/>
            </w:tcBorders>
            <w:shd w:val="clear" w:color="auto" w:fill="CCEEFF"/>
          </w:tcPr>
          <w:p>
            <w:pPr>
              <w:jc w:val="right"/>
              <w:ind w:right="703"/>
              <w:spacing w:after="0"/>
              <w:rPr>
                <w:sz w:val="20"/>
                <w:szCs w:val="20"/>
                <w:color w:val="auto"/>
              </w:rPr>
            </w:pPr>
            <w:r>
              <w:rPr>
                <w:rFonts w:ascii="Calibri" w:cs="Calibri" w:eastAsia="Calibri" w:hAnsi="Calibri"/>
                <w:sz w:val="15"/>
                <w:szCs w:val="15"/>
                <w:b w:val="1"/>
                <w:bCs w:val="1"/>
                <w:color w:val="auto"/>
                <w:w w:val="7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(942,166)</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Calibri" w:cs="Calibri" w:eastAsia="Calibri" w:hAnsi="Calibri"/>
                <w:sz w:val="15"/>
                <w:szCs w:val="15"/>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(780,458)</w:t>
            </w:r>
          </w:p>
        </w:tc>
      </w:tr>
      <w:tr>
        <w:trPr>
          <w:trHeight w:val="184"/>
        </w:trPr>
        <w:tc>
          <w:tcPr>
            <w:tcW w:w="6600" w:type="dxa"/>
            <w:vAlign w:val="bottom"/>
            <w:gridSpan w:val="2"/>
          </w:tcPr>
          <w:p>
            <w:pPr>
              <w:ind w:left="140"/>
              <w:spacing w:after="0"/>
              <w:rPr>
                <w:sz w:val="20"/>
                <w:szCs w:val="20"/>
                <w:color w:val="auto"/>
              </w:rPr>
            </w:pPr>
            <w:r>
              <w:rPr>
                <w:rFonts w:ascii="Calibri" w:cs="Calibri" w:eastAsia="Calibri" w:hAnsi="Calibri"/>
                <w:sz w:val="15"/>
                <w:szCs w:val="15"/>
                <w:color w:val="auto"/>
              </w:rPr>
              <w:t>Investng actvites</w:t>
            </w:r>
          </w:p>
        </w:tc>
        <w:tc>
          <w:tcPr>
            <w:tcW w:w="8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(71,045)</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alibri" w:cs="Calibri" w:eastAsia="Calibri" w:hAnsi="Calibri"/>
                <w:sz w:val="15"/>
                <w:szCs w:val="15"/>
                <w:color w:val="auto"/>
              </w:rPr>
              <w:t>(99,090)</w:t>
            </w:r>
          </w:p>
        </w:tc>
      </w:tr>
      <w:tr>
        <w:trPr>
          <w:trHeight w:val="22"/>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6"/>
        </w:trPr>
        <w:tc>
          <w:tcPr>
            <w:tcW w:w="660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Financing actvites</w:t>
            </w:r>
          </w:p>
        </w:tc>
        <w:tc>
          <w:tcPr>
            <w:tcW w:w="8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335,448</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128,813</w:t>
            </w:r>
          </w:p>
        </w:tc>
      </w:tr>
      <w:tr>
        <w:trPr>
          <w:trHeight w:val="184"/>
        </w:trPr>
        <w:tc>
          <w:tcPr>
            <w:tcW w:w="6600" w:type="dxa"/>
            <w:vAlign w:val="bottom"/>
            <w:gridSpan w:val="2"/>
          </w:tcPr>
          <w:p>
            <w:pPr>
              <w:ind w:left="20"/>
              <w:spacing w:after="0"/>
              <w:rPr>
                <w:sz w:val="20"/>
                <w:szCs w:val="20"/>
                <w:color w:val="auto"/>
              </w:rPr>
            </w:pPr>
            <w:r>
              <w:rPr>
                <w:rFonts w:ascii="Calibri" w:cs="Calibri" w:eastAsia="Calibri" w:hAnsi="Calibri"/>
                <w:sz w:val="15"/>
                <w:szCs w:val="15"/>
                <w:color w:val="auto"/>
              </w:rPr>
              <w:t>Efects of exchange rates on cash</w:t>
            </w:r>
          </w:p>
        </w:tc>
        <w:tc>
          <w:tcPr>
            <w:tcW w:w="8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b w:val="1"/>
                <w:bCs w:val="1"/>
                <w:color w:val="auto"/>
              </w:rPr>
              <w:t>671</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alibri" w:cs="Calibri" w:eastAsia="Calibri" w:hAnsi="Calibri"/>
                <w:sz w:val="15"/>
                <w:szCs w:val="15"/>
                <w:color w:val="auto"/>
              </w:rPr>
              <w:t>(7,790)</w:t>
            </w:r>
          </w:p>
        </w:tc>
      </w:tr>
      <w:tr>
        <w:trPr>
          <w:trHeight w:val="22"/>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9"/>
        </w:trPr>
        <w:tc>
          <w:tcPr>
            <w:tcW w:w="660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Net decrease in cash and cash equivalents, including restricted balances</w:t>
            </w:r>
          </w:p>
        </w:tc>
        <w:tc>
          <w:tcPr>
            <w:tcW w:w="860" w:type="dxa"/>
            <w:vAlign w:val="bottom"/>
            <w:tcBorders>
              <w:bottom w:val="single" w:sz="8" w:color="CCEEFF"/>
            </w:tcBorders>
            <w:shd w:val="clear" w:color="auto" w:fill="CCEEFF"/>
          </w:tcPr>
          <w:p>
            <w:pPr>
              <w:jc w:val="right"/>
              <w:ind w:right="703"/>
              <w:spacing w:after="0" w:line="177" w:lineRule="exact"/>
              <w:rPr>
                <w:sz w:val="20"/>
                <w:szCs w:val="20"/>
                <w:color w:val="auto"/>
              </w:rPr>
            </w:pPr>
            <w:r>
              <w:rPr>
                <w:rFonts w:ascii="Calibri" w:cs="Calibri" w:eastAsia="Calibri" w:hAnsi="Calibri"/>
                <w:sz w:val="15"/>
                <w:szCs w:val="15"/>
                <w:b w:val="1"/>
                <w:bCs w:val="1"/>
                <w:color w:val="auto"/>
                <w:w w:val="78"/>
              </w:rPr>
              <w:t>$</w:t>
            </w:r>
          </w:p>
        </w:tc>
        <w:tc>
          <w:tcPr>
            <w:tcW w:w="14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(677,092)</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03"/>
              <w:spacing w:after="0" w:line="177" w:lineRule="exact"/>
              <w:rPr>
                <w:sz w:val="20"/>
                <w:szCs w:val="20"/>
                <w:color w:val="auto"/>
              </w:rPr>
            </w:pPr>
            <w:r>
              <w:rPr>
                <w:rFonts w:ascii="Calibri" w:cs="Calibri" w:eastAsia="Calibri" w:hAnsi="Calibri"/>
                <w:sz w:val="15"/>
                <w:szCs w:val="15"/>
                <w:color w:val="auto"/>
              </w:rPr>
              <w:t>$</w:t>
            </w:r>
          </w:p>
        </w:tc>
        <w:tc>
          <w:tcPr>
            <w:tcW w:w="140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(758,525)</w:t>
            </w:r>
          </w:p>
        </w:tc>
      </w:tr>
      <w:tr>
        <w:trPr>
          <w:trHeight w:val="32"/>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r>
    </w:tbl>
    <w:p>
      <w:pPr>
        <w:spacing w:after="0" w:line="159"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Operatng Actvites. </w:t>
      </w:r>
      <w:r>
        <w:rPr>
          <w:rFonts w:ascii="Calibri" w:cs="Calibri" w:eastAsia="Calibri" w:hAnsi="Calibri"/>
          <w:sz w:val="17"/>
          <w:szCs w:val="17"/>
          <w:color w:val="auto"/>
        </w:rPr>
        <w:t>Cash used in operatons totaled $942.2 million for the six months ended December 31, 2023 compared to $780.5 million in the prior year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period. The change is primarily due to the receipt of income tax receivables in the prior year and higher EA receivables in the current year, partally ofset by lower bonus and payroll tax payments in the current year.</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Investng Actvites. </w:t>
      </w:r>
      <w:r>
        <w:rPr>
          <w:rFonts w:ascii="Calibri" w:cs="Calibri" w:eastAsia="Calibri" w:hAnsi="Calibri"/>
          <w:sz w:val="17"/>
          <w:szCs w:val="17"/>
          <w:color w:val="auto"/>
        </w:rPr>
        <w:t>Cash used in investng actvites totaled $71.0 million for the six months ended December 31, 2023 compared to $99.1 million in the prior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year period. The change is primarily due to lower payments to acquire businesses and capital expenditures in the current year.</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Financing Actvites. </w:t>
      </w:r>
      <w:r>
        <w:rPr>
          <w:rFonts w:ascii="Calibri" w:cs="Calibri" w:eastAsia="Calibri" w:hAnsi="Calibri"/>
          <w:sz w:val="17"/>
          <w:szCs w:val="17"/>
          <w:color w:val="auto"/>
        </w:rPr>
        <w:t>Cash provided by fnancing actvites totaled $335.4 million for the six months ended December 31, 2023 compared to $128.8 million in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prior year period. The change is primarily due to borrowings on our CLOC in the current year.</w:t>
      </w:r>
    </w:p>
    <w:p>
      <w:pPr>
        <w:spacing w:after="0" w:line="103" w:lineRule="exact"/>
        <w:rPr>
          <w:sz w:val="20"/>
          <w:szCs w:val="20"/>
          <w:color w:val="auto"/>
        </w:rPr>
      </w:pPr>
    </w:p>
    <w:p>
      <w:pPr>
        <w:ind w:left="240"/>
        <w:spacing w:after="0"/>
        <w:rPr>
          <w:sz w:val="20"/>
          <w:szCs w:val="20"/>
          <w:color w:val="auto"/>
        </w:rPr>
      </w:pPr>
      <w:r>
        <w:rPr>
          <w:rFonts w:ascii="Calibri" w:cs="Calibri" w:eastAsia="Calibri" w:hAnsi="Calibri"/>
          <w:sz w:val="17"/>
          <w:szCs w:val="17"/>
          <w:b w:val="1"/>
          <w:bCs w:val="1"/>
          <w:color w:val="auto"/>
        </w:rPr>
        <w:t xml:space="preserve">CASH REQUIREMENTS </w:t>
      </w:r>
      <w:r>
        <w:rPr>
          <w:rFonts w:ascii="Calibri" w:cs="Calibri" w:eastAsia="Calibri" w:hAnsi="Calibri"/>
          <w:sz w:val="17"/>
          <w:szCs w:val="17"/>
          <w:color w:val="auto"/>
        </w:rPr>
        <w:t>–</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Dividends and Share Repurchases. </w:t>
      </w:r>
      <w:r>
        <w:rPr>
          <w:rFonts w:ascii="Calibri" w:cs="Calibri" w:eastAsia="Calibri" w:hAnsi="Calibri"/>
          <w:sz w:val="17"/>
          <w:szCs w:val="17"/>
          <w:color w:val="auto"/>
        </w:rPr>
        <w:t>Returning capital to shareholders in the form of dividends and the repurchase of outstanding shares is, and has historically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been, a signifcant component of our capital allocaton plan.</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We have consistently paid quarterly dividends. Dividends paid totaled $89.9 million and $89.2 million for the six months ended December 31, 2023 and 2022, respectvely. Although we have historically paid dividends and plan to contnue to do so, there can be no assurances that circumstances will not change in the future that could afect our ability or decisions to pay dividends.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During the six months ended December 31, 2023, we repurchased $350.1 million of our common stock at an average price of $43.66 per share, excluding excise taxes in connecton with such repurchases. In the prior year period, we repurchased $350.1 million of our common stock at an average price of $42.86 per share. Our current share repurchase program has remaining authorizaton of $350.0 million, which is efectve through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3"/>
          <w:szCs w:val="13"/>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Share repurchases may be efectuated through open market transactons, some of which may be efectuated under SEC Rule 10b5-1. The Company may cancel, suspend, or extend the period for the purchase of shares at any tme. Any repurchases will be funded primarily through available cash and cash from operatons. Although we may contnue to repurchase shares, there is no assurance that we will purchase up to the full Board authorizaton.</w:t>
      </w:r>
    </w:p>
    <w:p>
      <w:pPr>
        <w:spacing w:after="0" w:line="105" w:lineRule="exact"/>
        <w:rPr>
          <w:sz w:val="20"/>
          <w:szCs w:val="20"/>
          <w:color w:val="auto"/>
        </w:rPr>
      </w:pPr>
    </w:p>
    <w:p>
      <w:pPr>
        <w:jc w:val="both"/>
        <w:ind w:firstLine="169"/>
        <w:spacing w:after="0" w:line="238" w:lineRule="auto"/>
        <w:rPr>
          <w:sz w:val="20"/>
          <w:szCs w:val="20"/>
          <w:color w:val="auto"/>
        </w:rPr>
      </w:pPr>
      <w:r>
        <w:rPr>
          <w:rFonts w:ascii="Calibri" w:cs="Calibri" w:eastAsia="Calibri" w:hAnsi="Calibri"/>
          <w:sz w:val="17"/>
          <w:szCs w:val="17"/>
          <w:b w:val="1"/>
          <w:bCs w:val="1"/>
          <w:color w:val="auto"/>
        </w:rPr>
        <w:t xml:space="preserve">Capital Investment. </w:t>
      </w:r>
      <w:r>
        <w:rPr>
          <w:rFonts w:ascii="Calibri" w:cs="Calibri" w:eastAsia="Calibri" w:hAnsi="Calibri"/>
          <w:sz w:val="17"/>
          <w:szCs w:val="17"/>
          <w:color w:val="auto"/>
        </w:rPr>
        <w:t>Capital expenditures totaled $32.7 million and $41.5 million for the six months ended December 31, 2023 and 2022, respectvely. Our capital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expenditures relate primarily to recurring improvements to retail ofces, as well as investments in computers, sofware and related assets. In additon to our capital expenditures, we also made payments to acquire businesses. We acquired franchisee and compettor businesses totaling $27.2 million and $39.8 million during the six months ended December 31, 2023 and 2022, respectvely. See </w:t>
      </w:r>
      <w:r>
        <w:rPr>
          <w:rFonts w:ascii="Calibri" w:cs="Calibri" w:eastAsia="Calibri" w:hAnsi="Calibri"/>
          <w:sz w:val="17"/>
          <w:szCs w:val="17"/>
          <w:u w:val="single" w:color="auto"/>
          <w:color w:val="0000FF"/>
        </w:rPr>
        <w:t>Item 1, note 5</w:t>
      </w:r>
      <w:r>
        <w:rPr>
          <w:rFonts w:ascii="Calibri" w:cs="Calibri" w:eastAsia="Calibri" w:hAnsi="Calibri"/>
          <w:sz w:val="17"/>
          <w:szCs w:val="17"/>
          <w:color w:val="auto"/>
        </w:rPr>
        <w:t xml:space="preserve"> for additonal informaton on our acquisitons.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FINANCING RESOURCES </w:t>
      </w:r>
      <w:r>
        <w:rPr>
          <w:rFonts w:ascii="Calibri" w:cs="Calibri" w:eastAsia="Calibri" w:hAnsi="Calibri"/>
          <w:sz w:val="17"/>
          <w:szCs w:val="17"/>
          <w:color w:val="auto"/>
        </w:rPr>
        <w:t>– The CLOC has capacity up to $1.5 billion and is scheduled to expire in June 2026. Proceeds under the CLOC may be used for working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capital needs or for other general corporate purposes. We had an outstanding balance of $800.0 million under our CLOC and amounts available to borrow were not limited by the debt-to-EBITDA covenant as of December 31, 2023.</w:t>
      </w:r>
    </w:p>
    <w:p>
      <w:pPr>
        <w:spacing w:after="0" w:line="102"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The following table provides ratngs for debt issued by Block Financial LLC (Block Financial) as of December 31, 2023 and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138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gridSpan w:val="2"/>
          </w:tcPr>
          <w:p>
            <w:pPr>
              <w:ind w:left="20"/>
              <w:spacing w:after="0"/>
              <w:rPr>
                <w:sz w:val="20"/>
                <w:szCs w:val="20"/>
                <w:color w:val="auto"/>
              </w:rPr>
            </w:pPr>
            <w:r>
              <w:rPr>
                <w:rFonts w:ascii="Calibri" w:cs="Calibri" w:eastAsia="Calibri" w:hAnsi="Calibri"/>
                <w:sz w:val="15"/>
                <w:szCs w:val="15"/>
                <w:color w:val="auto"/>
              </w:rPr>
              <w:t>As of</w:t>
            </w:r>
          </w:p>
        </w:tc>
        <w:tc>
          <w:tcPr>
            <w:tcW w:w="120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Calibri" w:cs="Calibri" w:eastAsia="Calibri" w:hAnsi="Calibri"/>
                <w:sz w:val="15"/>
                <w:szCs w:val="15"/>
                <w:b w:val="1"/>
                <w:bCs w:val="1"/>
                <w:color w:val="auto"/>
              </w:rPr>
              <w:t>December 31, 2023</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Calibri" w:cs="Calibri" w:eastAsia="Calibri" w:hAnsi="Calibri"/>
                <w:sz w:val="15"/>
                <w:szCs w:val="15"/>
                <w:color w:val="auto"/>
              </w:rPr>
              <w:t>June 30, 2023</w:t>
            </w:r>
          </w:p>
        </w:tc>
        <w:tc>
          <w:tcPr>
            <w:tcW w:w="1220" w:type="dxa"/>
            <w:vAlign w:val="bottom"/>
          </w:tcPr>
          <w:p>
            <w:pPr>
              <w:spacing w:after="0"/>
              <w:rPr>
                <w:sz w:val="16"/>
                <w:szCs w:val="16"/>
                <w:color w:val="auto"/>
              </w:rPr>
            </w:pPr>
          </w:p>
        </w:tc>
      </w:tr>
      <w:tr>
        <w:trPr>
          <w:trHeight w:val="26"/>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177"/>
        </w:trPr>
        <w:tc>
          <w:tcPr>
            <w:tcW w:w="3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Short-term</w:t>
            </w: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right"/>
              <w:ind w:right="120"/>
              <w:spacing w:after="0" w:line="177" w:lineRule="exact"/>
              <w:rPr>
                <w:sz w:val="20"/>
                <w:szCs w:val="20"/>
                <w:color w:val="auto"/>
              </w:rPr>
            </w:pPr>
            <w:r>
              <w:rPr>
                <w:rFonts w:ascii="Calibri" w:cs="Calibri" w:eastAsia="Calibri" w:hAnsi="Calibri"/>
                <w:sz w:val="15"/>
                <w:szCs w:val="15"/>
                <w:color w:val="auto"/>
              </w:rPr>
              <w:t>Long-term</w:t>
            </w: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Outlook</w:t>
            </w:r>
          </w:p>
        </w:tc>
        <w:tc>
          <w:tcPr>
            <w:tcW w:w="100" w:type="dxa"/>
            <w:vAlign w:val="bottom"/>
          </w:tcPr>
          <w:p>
            <w:pPr>
              <w:spacing w:after="0"/>
              <w:rPr>
                <w:sz w:val="15"/>
                <w:szCs w:val="15"/>
                <w:color w:val="auto"/>
              </w:rPr>
            </w:pPr>
          </w:p>
        </w:tc>
        <w:tc>
          <w:tcPr>
            <w:tcW w:w="1300" w:type="dxa"/>
            <w:vAlign w:val="bottom"/>
            <w:tcBorders>
              <w:top w:val="single" w:sz="8" w:color="auto"/>
            </w:tcBorders>
            <w:gridSpan w:val="2"/>
          </w:tcPr>
          <w:p>
            <w:pPr>
              <w:jc w:val="right"/>
              <w:ind w:right="100"/>
              <w:spacing w:after="0" w:line="177" w:lineRule="exact"/>
              <w:rPr>
                <w:sz w:val="20"/>
                <w:szCs w:val="20"/>
                <w:color w:val="auto"/>
              </w:rPr>
            </w:pPr>
            <w:r>
              <w:rPr>
                <w:rFonts w:ascii="Calibri" w:cs="Calibri" w:eastAsia="Calibri" w:hAnsi="Calibri"/>
                <w:sz w:val="15"/>
                <w:szCs w:val="15"/>
                <w:color w:val="auto"/>
              </w:rPr>
              <w:t>Short-term</w:t>
            </w:r>
          </w:p>
        </w:tc>
        <w:tc>
          <w:tcPr>
            <w:tcW w:w="1320" w:type="dxa"/>
            <w:vAlign w:val="bottom"/>
            <w:tcBorders>
              <w:top w:val="single" w:sz="8" w:color="auto"/>
            </w:tcBorders>
            <w:gridSpan w:val="2"/>
          </w:tcPr>
          <w:p>
            <w:pPr>
              <w:jc w:val="right"/>
              <w:ind w:right="100"/>
              <w:spacing w:after="0" w:line="177" w:lineRule="exact"/>
              <w:rPr>
                <w:sz w:val="20"/>
                <w:szCs w:val="20"/>
                <w:color w:val="auto"/>
              </w:rPr>
            </w:pPr>
            <w:r>
              <w:rPr>
                <w:rFonts w:ascii="Calibri" w:cs="Calibri" w:eastAsia="Calibri" w:hAnsi="Calibri"/>
                <w:sz w:val="15"/>
                <w:szCs w:val="15"/>
                <w:color w:val="auto"/>
              </w:rPr>
              <w:t>Long-term</w:t>
            </w:r>
          </w:p>
        </w:tc>
        <w:tc>
          <w:tcPr>
            <w:tcW w:w="12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Outlook</w:t>
            </w:r>
          </w:p>
        </w:tc>
      </w:tr>
      <w:tr>
        <w:trPr>
          <w:trHeight w:val="22"/>
        </w:trPr>
        <w:tc>
          <w:tcPr>
            <w:tcW w:w="3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7"/>
        </w:trPr>
        <w:tc>
          <w:tcPr>
            <w:tcW w:w="3380" w:type="dxa"/>
            <w:vAlign w:val="bottom"/>
          </w:tcPr>
          <w:p>
            <w:pPr>
              <w:ind w:left="20"/>
              <w:spacing w:after="0" w:line="177" w:lineRule="exact"/>
              <w:rPr>
                <w:sz w:val="20"/>
                <w:szCs w:val="20"/>
                <w:color w:val="auto"/>
              </w:rPr>
            </w:pPr>
            <w:r>
              <w:rPr>
                <w:rFonts w:ascii="Calibri" w:cs="Calibri" w:eastAsia="Calibri" w:hAnsi="Calibri"/>
                <w:sz w:val="15"/>
                <w:szCs w:val="15"/>
                <w:color w:val="auto"/>
              </w:rPr>
              <w:t>Moody's</w:t>
            </w:r>
          </w:p>
        </w:tc>
        <w:tc>
          <w:tcPr>
            <w:tcW w:w="10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P-3</w:t>
            </w:r>
          </w:p>
        </w:tc>
        <w:tc>
          <w:tcPr>
            <w:tcW w:w="10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Baa3</w:t>
            </w:r>
          </w:p>
        </w:tc>
        <w:tc>
          <w:tcPr>
            <w:tcW w:w="1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Stable</w:t>
            </w:r>
          </w:p>
        </w:tc>
        <w:tc>
          <w:tcPr>
            <w:tcW w:w="1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P-3</w:t>
            </w:r>
          </w:p>
        </w:tc>
        <w:tc>
          <w:tcPr>
            <w:tcW w:w="8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Baa3</w:t>
            </w:r>
          </w:p>
        </w:tc>
        <w:tc>
          <w:tcPr>
            <w:tcW w:w="1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Calibri" w:cs="Calibri" w:eastAsia="Calibri" w:hAnsi="Calibri"/>
                <w:sz w:val="15"/>
                <w:szCs w:val="15"/>
                <w:color w:val="auto"/>
              </w:rPr>
              <w:t>Positve</w:t>
            </w:r>
          </w:p>
        </w:tc>
      </w:tr>
      <w:tr>
        <w:trPr>
          <w:trHeight w:val="22"/>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6"/>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S&amp;P</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A-2</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Calibri" w:cs="Calibri" w:eastAsia="Calibri" w:hAnsi="Calibri"/>
                <w:sz w:val="15"/>
                <w:szCs w:val="15"/>
                <w:b w:val="1"/>
                <w:bCs w:val="1"/>
                <w:color w:val="auto"/>
              </w:rPr>
              <w:t>BBB</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Calibri" w:cs="Calibri" w:eastAsia="Calibri" w:hAnsi="Calibri"/>
                <w:sz w:val="15"/>
                <w:szCs w:val="15"/>
                <w:b w:val="1"/>
                <w:bCs w:val="1"/>
                <w:color w:val="auto"/>
              </w:rPr>
              <w:t>Stable</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Calibri" w:cs="Calibri" w:eastAsia="Calibri" w:hAnsi="Calibri"/>
                <w:sz w:val="15"/>
                <w:szCs w:val="15"/>
                <w:color w:val="auto"/>
              </w:rPr>
              <w:t>A-2</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Calibri" w:cs="Calibri" w:eastAsia="Calibri" w:hAnsi="Calibri"/>
                <w:sz w:val="15"/>
                <w:szCs w:val="15"/>
                <w:color w:val="auto"/>
              </w:rPr>
              <w:t>BBB</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Stable</w:t>
            </w:r>
          </w:p>
        </w:tc>
      </w:tr>
      <w:tr>
        <w:trPr>
          <w:trHeight w:val="52"/>
        </w:trPr>
        <w:tc>
          <w:tcPr>
            <w:tcW w:w="3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59"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Other than described above, there have been no material changes in our borrowings from those reported as of June 30, 2023 in our Annual Report on Form 10-K.</w:t>
      </w:r>
    </w:p>
    <w:p>
      <w:pPr>
        <w:spacing w:after="0" w:line="114"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CASH AND OTHER ASSETS </w:t>
      </w:r>
      <w:r>
        <w:rPr>
          <w:rFonts w:ascii="Calibri" w:cs="Calibri" w:eastAsia="Calibri" w:hAnsi="Calibri"/>
          <w:sz w:val="17"/>
          <w:szCs w:val="17"/>
          <w:color w:val="auto"/>
        </w:rPr>
        <w:t>– As of December 31, 2023, we held cash and cash equivalents, excluding restricted amounts, of $321.0 million, including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$140.0 million held by our foreign subsidiaries.</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Foreign Operatons. </w:t>
      </w:r>
      <w:r>
        <w:rPr>
          <w:rFonts w:ascii="Calibri" w:cs="Calibri" w:eastAsia="Calibri" w:hAnsi="Calibri"/>
          <w:sz w:val="17"/>
          <w:szCs w:val="17"/>
          <w:color w:val="auto"/>
        </w:rPr>
        <w:t>Seasonal borrowing needs of our Canadian operatons are typically funded by our U.S. operatons. To mitgate foreign currency risk, we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sometmes enter into foreign exchange forward contracts. There were no forward contracts outstanding as of December 31, 2023.</w:t>
      </w:r>
    </w:p>
    <w:p>
      <w:pPr>
        <w:spacing w:after="0" w:line="103"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We do not currently intend to repatriate non-borrowed funds held by our foreign subsidiaries in a manner that would trigger a material tax liability.</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impact of changes in foreign exchange rates during the period on our internatonal cash balances resulted in an increase of $0.7 million during the six months ended December 31, 2023 and a decrease of $7.8 million during the six months ended December 31, 2022.</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b w:val="1"/>
          <w:bCs w:val="1"/>
          <w:color w:val="auto"/>
        </w:rPr>
        <w:t xml:space="preserve">CONTRACTUAL OBLIGATIONS AND COMMERCIAL COMMITMENTS </w:t>
      </w:r>
      <w:r>
        <w:rPr>
          <w:rFonts w:ascii="Calibri" w:cs="Calibri" w:eastAsia="Calibri" w:hAnsi="Calibri"/>
          <w:sz w:val="17"/>
          <w:szCs w:val="17"/>
          <w:color w:val="auto"/>
        </w:rPr>
        <w:t>– EAs are originated by Pathward. We purchase a 90% partcipaton interest, at par, in all EAs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originated by Pathward in accordance with our partcipaton agreement. Efectve October 20, 2023, we amended the Program Management Agreement and entered into a new partcipaton agreement related to EAs originated by Pathward. We purchased partcipaton interests of $341.8 million during the six months ended December 31, 2023.</w:t>
      </w:r>
    </w:p>
    <w:p>
      <w:pPr>
        <w:spacing w:after="0" w:line="105"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There have been no other material changes in our contractual obligatons and commercial commitments from those reported in our June 30, 2023 Annual Report on Form 10-K.</w:t>
      </w:r>
    </w:p>
    <w:p>
      <w:pPr>
        <w:spacing w:after="0" w:line="106"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b w:val="1"/>
          <w:bCs w:val="1"/>
          <w:color w:val="auto"/>
        </w:rPr>
        <w:t xml:space="preserve">SUMMARIZED GUARANTOR FINANCIAL STATEMENTS </w:t>
      </w:r>
      <w:r>
        <w:rPr>
          <w:rFonts w:ascii="Calibri" w:cs="Calibri" w:eastAsia="Calibri" w:hAnsi="Calibri"/>
          <w:sz w:val="17"/>
          <w:szCs w:val="17"/>
          <w:color w:val="auto"/>
        </w:rPr>
        <w:t>– Block Financial is a 100% owned subsidiary of H&amp;R Block, Inc. Block Financial is the Issuer and H&amp;R Block,</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Inc. is the full and unconditonal Guarantor of our Senior Notes, CLOC and other indebtedness issued from tme to tme.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hanging="259"/>
        <w:spacing w:after="0"/>
        <w:tabs>
          <w:tab w:leader="none" w:pos="360" w:val="left"/>
        </w:tabs>
        <w:numPr>
          <w:ilvl w:val="0"/>
          <w:numId w:val="18"/>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following table presents summarized fnancial informaton for H&amp;R Block, Inc. (Guarantor) and Block Financial (Issuer) on a combined basis afer intercompany eliminatons and excludes investments in and equity earnings in non-guarantor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7138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60" w:type="dxa"/>
            <w:vAlign w:val="bottom"/>
            <w:gridSpan w:val="2"/>
          </w:tcPr>
          <w:p>
            <w:pPr>
              <w:ind w:left="20"/>
              <w:spacing w:after="0"/>
              <w:rPr>
                <w:sz w:val="20"/>
                <w:szCs w:val="20"/>
                <w:color w:val="auto"/>
              </w:rPr>
            </w:pPr>
            <w:r>
              <w:rPr>
                <w:rFonts w:ascii="Calibri" w:cs="Calibri" w:eastAsia="Calibri" w:hAnsi="Calibri"/>
                <w:sz w:val="15"/>
                <w:szCs w:val="15"/>
                <w:b w:val="1"/>
                <w:bCs w:val="1"/>
                <w:color w:val="auto"/>
              </w:rPr>
              <w:t>SUMMARIZED BALANCE SHEET - GUARANTOR AND ISSUER</w:t>
            </w:r>
          </w:p>
        </w:tc>
        <w:tc>
          <w:tcPr>
            <w:tcW w:w="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26"/>
        </w:trPr>
        <w:tc>
          <w:tcPr>
            <w:tcW w:w="6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77"/>
        </w:trPr>
        <w:tc>
          <w:tcPr>
            <w:tcW w:w="6960" w:type="dxa"/>
            <w:vAlign w:val="bottom"/>
            <w:gridSpan w:val="2"/>
          </w:tcPr>
          <w:p>
            <w:pPr>
              <w:ind w:left="20"/>
              <w:spacing w:after="0" w:line="177" w:lineRule="exact"/>
              <w:rPr>
                <w:sz w:val="20"/>
                <w:szCs w:val="20"/>
                <w:color w:val="auto"/>
              </w:rPr>
            </w:pPr>
            <w:r>
              <w:rPr>
                <w:rFonts w:ascii="Calibri" w:cs="Calibri" w:eastAsia="Calibri" w:hAnsi="Calibri"/>
                <w:sz w:val="15"/>
                <w:szCs w:val="15"/>
                <w:color w:val="auto"/>
              </w:rPr>
              <w:t>As of</w:t>
            </w:r>
          </w:p>
        </w:tc>
        <w:tc>
          <w:tcPr>
            <w:tcW w:w="160" w:type="dxa"/>
            <w:vAlign w:val="bottom"/>
          </w:tcPr>
          <w:p>
            <w:pPr>
              <w:spacing w:after="0"/>
              <w:rPr>
                <w:sz w:val="15"/>
                <w:szCs w:val="15"/>
                <w:color w:val="auto"/>
              </w:rPr>
            </w:pPr>
          </w:p>
        </w:tc>
        <w:tc>
          <w:tcPr>
            <w:tcW w:w="2020" w:type="dxa"/>
            <w:vAlign w:val="bottom"/>
            <w:gridSpan w:val="2"/>
          </w:tcPr>
          <w:p>
            <w:pPr>
              <w:jc w:val="right"/>
              <w:ind w:right="100"/>
              <w:spacing w:after="0" w:line="177" w:lineRule="exact"/>
              <w:rPr>
                <w:sz w:val="20"/>
                <w:szCs w:val="20"/>
                <w:color w:val="auto"/>
              </w:rPr>
            </w:pPr>
            <w:r>
              <w:rPr>
                <w:rFonts w:ascii="Calibri" w:cs="Calibri" w:eastAsia="Calibri" w:hAnsi="Calibri"/>
                <w:sz w:val="15"/>
                <w:szCs w:val="15"/>
                <w:b w:val="1"/>
                <w:bCs w:val="1"/>
                <w:color w:val="auto"/>
              </w:rPr>
              <w:t>December 31, 2023</w:t>
            </w:r>
          </w:p>
        </w:tc>
        <w:tc>
          <w:tcPr>
            <w:tcW w:w="120" w:type="dxa"/>
            <w:vAlign w:val="bottom"/>
          </w:tcPr>
          <w:p>
            <w:pPr>
              <w:spacing w:after="0"/>
              <w:rPr>
                <w:sz w:val="15"/>
                <w:szCs w:val="15"/>
                <w:color w:val="auto"/>
              </w:rPr>
            </w:pPr>
          </w:p>
        </w:tc>
        <w:tc>
          <w:tcPr>
            <w:tcW w:w="1980" w:type="dxa"/>
            <w:vAlign w:val="bottom"/>
          </w:tcPr>
          <w:p>
            <w:pPr>
              <w:jc w:val="right"/>
              <w:spacing w:after="0" w:line="177" w:lineRule="exact"/>
              <w:rPr>
                <w:sz w:val="20"/>
                <w:szCs w:val="20"/>
                <w:color w:val="auto"/>
              </w:rPr>
            </w:pPr>
            <w:r>
              <w:rPr>
                <w:rFonts w:ascii="Calibri" w:cs="Calibri" w:eastAsia="Calibri" w:hAnsi="Calibri"/>
                <w:sz w:val="15"/>
                <w:szCs w:val="15"/>
                <w:color w:val="auto"/>
              </w:rPr>
              <w:t>June 30, 2023</w:t>
            </w:r>
          </w:p>
        </w:tc>
      </w:tr>
      <w:tr>
        <w:trPr>
          <w:trHeight w:val="22"/>
        </w:trPr>
        <w:tc>
          <w:tcPr>
            <w:tcW w:w="6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7"/>
        </w:trPr>
        <w:tc>
          <w:tcPr>
            <w:tcW w:w="6860" w:type="dxa"/>
            <w:vAlign w:val="bottom"/>
          </w:tcPr>
          <w:p>
            <w:pPr>
              <w:ind w:left="20"/>
              <w:spacing w:after="0" w:line="177" w:lineRule="exact"/>
              <w:rPr>
                <w:sz w:val="20"/>
                <w:szCs w:val="20"/>
                <w:color w:val="auto"/>
              </w:rPr>
            </w:pPr>
            <w:r>
              <w:rPr>
                <w:rFonts w:ascii="Calibri" w:cs="Calibri" w:eastAsia="Calibri" w:hAnsi="Calibri"/>
                <w:sz w:val="15"/>
                <w:szCs w:val="15"/>
                <w:color w:val="auto"/>
              </w:rPr>
              <w:t>Current assets</w:t>
            </w:r>
          </w:p>
        </w:tc>
        <w:tc>
          <w:tcPr>
            <w:tcW w:w="100" w:type="dxa"/>
            <w:vAlign w:val="bottom"/>
          </w:tcPr>
          <w:p>
            <w:pPr>
              <w:spacing w:after="0"/>
              <w:rPr>
                <w:sz w:val="15"/>
                <w:szCs w:val="15"/>
                <w:color w:val="auto"/>
              </w:rPr>
            </w:pPr>
          </w:p>
        </w:tc>
        <w:tc>
          <w:tcPr>
            <w:tcW w:w="160" w:type="dxa"/>
            <w:vAlign w:val="bottom"/>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19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380,296</w:t>
            </w:r>
          </w:p>
        </w:tc>
        <w:tc>
          <w:tcPr>
            <w:tcW w:w="80" w:type="dxa"/>
            <w:vAlign w:val="bottom"/>
          </w:tcPr>
          <w:p>
            <w:pPr>
              <w:spacing w:after="0"/>
              <w:rPr>
                <w:sz w:val="15"/>
                <w:szCs w:val="15"/>
                <w:color w:val="auto"/>
              </w:rPr>
            </w:pPr>
          </w:p>
        </w:tc>
        <w:tc>
          <w:tcPr>
            <w:tcW w:w="120" w:type="dxa"/>
            <w:vAlign w:val="bottom"/>
          </w:tcPr>
          <w:p>
            <w:pPr>
              <w:jc w:val="right"/>
              <w:spacing w:after="0" w:line="177" w:lineRule="exact"/>
              <w:rPr>
                <w:sz w:val="20"/>
                <w:szCs w:val="20"/>
                <w:color w:val="auto"/>
              </w:rPr>
            </w:pPr>
            <w:r>
              <w:rPr>
                <w:rFonts w:ascii="Calibri" w:cs="Calibri" w:eastAsia="Calibri" w:hAnsi="Calibri"/>
                <w:sz w:val="15"/>
                <w:szCs w:val="15"/>
                <w:color w:val="auto"/>
              </w:rPr>
              <w:t>$</w:t>
            </w:r>
          </w:p>
        </w:tc>
        <w:tc>
          <w:tcPr>
            <w:tcW w:w="1980" w:type="dxa"/>
            <w:vAlign w:val="bottom"/>
          </w:tcPr>
          <w:p>
            <w:pPr>
              <w:jc w:val="right"/>
              <w:spacing w:after="0" w:line="177" w:lineRule="exact"/>
              <w:rPr>
                <w:sz w:val="20"/>
                <w:szCs w:val="20"/>
                <w:color w:val="auto"/>
              </w:rPr>
            </w:pPr>
            <w:r>
              <w:rPr>
                <w:rFonts w:ascii="Calibri" w:cs="Calibri" w:eastAsia="Calibri" w:hAnsi="Calibri"/>
                <w:sz w:val="15"/>
                <w:szCs w:val="15"/>
                <w:color w:val="auto"/>
              </w:rPr>
              <w:t>37,407</w:t>
            </w:r>
          </w:p>
        </w:tc>
      </w:tr>
      <w:tr>
        <w:trPr>
          <w:trHeight w:val="22"/>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6"/>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Noncurrent assets</w:t>
            </w:r>
          </w:p>
        </w:tc>
        <w:tc>
          <w:tcPr>
            <w:tcW w:w="16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2,189,621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1,725,234</w:t>
            </w:r>
          </w:p>
        </w:tc>
      </w:tr>
      <w:tr>
        <w:trPr>
          <w:trHeight w:val="184"/>
        </w:trPr>
        <w:tc>
          <w:tcPr>
            <w:tcW w:w="6960" w:type="dxa"/>
            <w:vAlign w:val="bottom"/>
            <w:gridSpan w:val="2"/>
          </w:tcPr>
          <w:p>
            <w:pPr>
              <w:ind w:left="20"/>
              <w:spacing w:after="0"/>
              <w:rPr>
                <w:sz w:val="20"/>
                <w:szCs w:val="20"/>
                <w:color w:val="auto"/>
              </w:rPr>
            </w:pPr>
            <w:r>
              <w:rPr>
                <w:rFonts w:ascii="Calibri" w:cs="Calibri" w:eastAsia="Calibri" w:hAnsi="Calibri"/>
                <w:sz w:val="15"/>
                <w:szCs w:val="15"/>
                <w:color w:val="auto"/>
              </w:rPr>
              <w:t>Current liabilites</w:t>
            </w:r>
          </w:p>
        </w:tc>
        <w:tc>
          <w:tcPr>
            <w:tcW w:w="1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Calibri" w:cs="Calibri" w:eastAsia="Calibri" w:hAnsi="Calibri"/>
                <w:sz w:val="15"/>
                <w:szCs w:val="15"/>
                <w:b w:val="1"/>
                <w:bCs w:val="1"/>
                <w:color w:val="auto"/>
              </w:rPr>
              <w:t>81,405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5"/>
                <w:szCs w:val="15"/>
                <w:color w:val="auto"/>
              </w:rPr>
              <w:t>78,259</w:t>
            </w:r>
          </w:p>
        </w:tc>
      </w:tr>
      <w:tr>
        <w:trPr>
          <w:trHeight w:val="22"/>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6"/>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Noncurrent liabilites</w:t>
            </w:r>
          </w:p>
        </w:tc>
        <w:tc>
          <w:tcPr>
            <w:tcW w:w="16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2,291,912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1,494,010</w:t>
            </w:r>
          </w:p>
        </w:tc>
      </w:tr>
      <w:tr>
        <w:trPr>
          <w:trHeight w:val="52"/>
        </w:trPr>
        <w:tc>
          <w:tcPr>
            <w:tcW w:w="6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r>
        <w:trPr>
          <w:trHeight w:val="212"/>
        </w:trPr>
        <w:tc>
          <w:tcPr>
            <w:tcW w:w="696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r>
      <w:tr>
        <w:trPr>
          <w:trHeight w:val="177"/>
        </w:trPr>
        <w:tc>
          <w:tcPr>
            <w:tcW w:w="6960" w:type="dxa"/>
            <w:vAlign w:val="bottom"/>
            <w:gridSpan w:val="2"/>
          </w:tcPr>
          <w:p>
            <w:pPr>
              <w:ind w:left="20"/>
              <w:spacing w:after="0" w:line="177" w:lineRule="exact"/>
              <w:rPr>
                <w:sz w:val="20"/>
                <w:szCs w:val="20"/>
                <w:color w:val="auto"/>
              </w:rPr>
            </w:pPr>
            <w:r>
              <w:rPr>
                <w:rFonts w:ascii="Calibri" w:cs="Calibri" w:eastAsia="Calibri" w:hAnsi="Calibri"/>
                <w:sz w:val="15"/>
                <w:szCs w:val="15"/>
                <w:b w:val="1"/>
                <w:bCs w:val="1"/>
                <w:color w:val="auto"/>
              </w:rPr>
              <w:t>SUMMARIZED STATEMENTS OF OPERATIONS - GUARANTOR AND ISSUER</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jc w:val="right"/>
              <w:spacing w:after="0" w:line="164" w:lineRule="exact"/>
              <w:rPr>
                <w:sz w:val="20"/>
                <w:szCs w:val="20"/>
                <w:color w:val="auto"/>
              </w:rPr>
            </w:pPr>
            <w:r>
              <w:rPr>
                <w:rFonts w:ascii="Calibri" w:cs="Calibri" w:eastAsia="Calibri" w:hAnsi="Calibri"/>
                <w:sz w:val="14"/>
                <w:szCs w:val="14"/>
                <w:color w:val="auto"/>
              </w:rPr>
              <w:t>(in 000s)</w:t>
            </w:r>
          </w:p>
        </w:tc>
      </w:tr>
      <w:tr>
        <w:trPr>
          <w:trHeight w:val="22"/>
        </w:trPr>
        <w:tc>
          <w:tcPr>
            <w:tcW w:w="6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43"/>
        </w:trPr>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2"/>
          </w:tcPr>
          <w:p>
            <w:pPr>
              <w:jc w:val="right"/>
              <w:ind w:right="100"/>
              <w:spacing w:after="0" w:line="143" w:lineRule="exact"/>
              <w:rPr>
                <w:sz w:val="20"/>
                <w:szCs w:val="20"/>
                <w:color w:val="auto"/>
              </w:rPr>
            </w:pPr>
            <w:r>
              <w:rPr>
                <w:rFonts w:ascii="Calibri" w:cs="Calibri" w:eastAsia="Calibri" w:hAnsi="Calibri"/>
                <w:sz w:val="15"/>
                <w:szCs w:val="15"/>
                <w:b w:val="1"/>
                <w:bCs w:val="1"/>
                <w:color w:val="auto"/>
              </w:rPr>
              <w:t>Six months ended December</w:t>
            </w:r>
          </w:p>
        </w:tc>
        <w:tc>
          <w:tcPr>
            <w:tcW w:w="120" w:type="dxa"/>
            <w:vAlign w:val="bottom"/>
          </w:tcPr>
          <w:p>
            <w:pPr>
              <w:spacing w:after="0"/>
              <w:rPr>
                <w:sz w:val="12"/>
                <w:szCs w:val="12"/>
                <w:color w:val="auto"/>
              </w:rPr>
            </w:pPr>
          </w:p>
        </w:tc>
        <w:tc>
          <w:tcPr>
            <w:tcW w:w="1980" w:type="dxa"/>
            <w:vAlign w:val="bottom"/>
          </w:tcPr>
          <w:p>
            <w:pPr>
              <w:jc w:val="right"/>
              <w:spacing w:after="0" w:line="143" w:lineRule="exact"/>
              <w:rPr>
                <w:sz w:val="20"/>
                <w:szCs w:val="20"/>
                <w:color w:val="auto"/>
              </w:rPr>
            </w:pPr>
            <w:r>
              <w:rPr>
                <w:rFonts w:ascii="Calibri" w:cs="Calibri" w:eastAsia="Calibri" w:hAnsi="Calibri"/>
                <w:sz w:val="15"/>
                <w:szCs w:val="15"/>
                <w:color w:val="auto"/>
              </w:rPr>
              <w:t>Twelve months ended June 30,</w:t>
            </w:r>
          </w:p>
        </w:tc>
      </w:tr>
      <w:tr>
        <w:trPr>
          <w:trHeight w:val="184"/>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Calibri" w:cs="Calibri" w:eastAsia="Calibri" w:hAnsi="Calibri"/>
                <w:sz w:val="15"/>
                <w:szCs w:val="15"/>
                <w:b w:val="1"/>
                <w:bCs w:val="1"/>
                <w:color w:val="auto"/>
              </w:rPr>
              <w:t>31, 2023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5"/>
                <w:szCs w:val="15"/>
                <w:color w:val="auto"/>
              </w:rPr>
              <w:t>2023</w:t>
            </w:r>
          </w:p>
        </w:tc>
      </w:tr>
      <w:tr>
        <w:trPr>
          <w:trHeight w:val="26"/>
        </w:trPr>
        <w:tc>
          <w:tcPr>
            <w:tcW w:w="6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177"/>
        </w:trPr>
        <w:tc>
          <w:tcPr>
            <w:tcW w:w="686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Total revenues</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3"/>
              <w:spacing w:after="0" w:line="177" w:lineRule="exact"/>
              <w:rPr>
                <w:sz w:val="20"/>
                <w:szCs w:val="20"/>
                <w:color w:val="auto"/>
              </w:rPr>
            </w:pPr>
            <w:r>
              <w:rPr>
                <w:rFonts w:ascii="Calibri" w:cs="Calibri" w:eastAsia="Calibri" w:hAnsi="Calibri"/>
                <w:sz w:val="15"/>
                <w:szCs w:val="15"/>
                <w:b w:val="1"/>
                <w:bCs w:val="1"/>
                <w:color w:val="auto"/>
                <w:w w:val="78"/>
              </w:rPr>
              <w:t>$</w:t>
            </w:r>
          </w:p>
        </w:tc>
        <w:tc>
          <w:tcPr>
            <w:tcW w:w="19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38,176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w:t>
            </w:r>
          </w:p>
        </w:tc>
        <w:tc>
          <w:tcPr>
            <w:tcW w:w="19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160,236</w:t>
            </w:r>
          </w:p>
        </w:tc>
      </w:tr>
      <w:tr>
        <w:trPr>
          <w:trHeight w:val="22"/>
        </w:trPr>
        <w:tc>
          <w:tcPr>
            <w:tcW w:w="6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6"/>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Income from contnuing operatons before income taxes</w:t>
            </w:r>
          </w:p>
        </w:tc>
        <w:tc>
          <w:tcPr>
            <w:tcW w:w="16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5,580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40,258</w:t>
            </w:r>
          </w:p>
        </w:tc>
      </w:tr>
      <w:tr>
        <w:trPr>
          <w:trHeight w:val="184"/>
        </w:trPr>
        <w:tc>
          <w:tcPr>
            <w:tcW w:w="6960" w:type="dxa"/>
            <w:vAlign w:val="bottom"/>
            <w:gridSpan w:val="2"/>
          </w:tcPr>
          <w:p>
            <w:pPr>
              <w:ind w:left="20"/>
              <w:spacing w:after="0"/>
              <w:rPr>
                <w:sz w:val="20"/>
                <w:szCs w:val="20"/>
                <w:color w:val="auto"/>
              </w:rPr>
            </w:pPr>
            <w:r>
              <w:rPr>
                <w:rFonts w:ascii="Calibri" w:cs="Calibri" w:eastAsia="Calibri" w:hAnsi="Calibri"/>
                <w:sz w:val="15"/>
                <w:szCs w:val="15"/>
                <w:color w:val="auto"/>
              </w:rPr>
              <w:t>Net income from contnuing operatons</w:t>
            </w:r>
          </w:p>
        </w:tc>
        <w:tc>
          <w:tcPr>
            <w:tcW w:w="1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Calibri" w:cs="Calibri" w:eastAsia="Calibri" w:hAnsi="Calibri"/>
                <w:sz w:val="15"/>
                <w:szCs w:val="15"/>
                <w:b w:val="1"/>
                <w:bCs w:val="1"/>
                <w:color w:val="auto"/>
              </w:rPr>
              <w:t>4,242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Calibri" w:cs="Calibri" w:eastAsia="Calibri" w:hAnsi="Calibri"/>
                <w:sz w:val="15"/>
                <w:szCs w:val="15"/>
                <w:color w:val="auto"/>
              </w:rPr>
              <w:t>31,713</w:t>
            </w:r>
          </w:p>
        </w:tc>
      </w:tr>
      <w:tr>
        <w:trPr>
          <w:trHeight w:val="22"/>
        </w:trPr>
        <w:tc>
          <w:tcPr>
            <w:tcW w:w="6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6"/>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Net income</w:t>
            </w:r>
          </w:p>
        </w:tc>
        <w:tc>
          <w:tcPr>
            <w:tcW w:w="16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2,994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color w:val="auto"/>
              </w:rPr>
              <w:t>23,613</w:t>
            </w:r>
          </w:p>
        </w:tc>
      </w:tr>
      <w:tr>
        <w:trPr>
          <w:trHeight w:val="52"/>
        </w:trPr>
        <w:tc>
          <w:tcPr>
            <w:tcW w:w="6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159"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table above refects $2.1 billion and $1.7 billion of non-current intercompany receivables due to the Issuer from non-guarantor subsidiaries as of December 31, 2023 and June 30, 2023, respectvely.</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REGULATORY ENVIRONMENT</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color w:val="auto"/>
        </w:rPr>
        <w:t>There have been no material changes in our regulatory environment from what was reported in our June 30, 2023 Annual Report on Form 10-K.</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NON-GAAP FINANCIAL INFORMATION</w:t>
      </w:r>
    </w:p>
    <w:p>
      <w:pPr>
        <w:spacing w:after="0" w:line="1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Non-GAAP fnancial measures should not be considered as a substtute for, or superior to, measures of fnancial performance prepared in accordance with U.S. generally accepted accountng principles (GAAP). Because these measures are not measures of fnancial performance under GAAP and are susceptble to varying calculatons, they may not be comparable to similarly ttled measures for other companies.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We consider our non-GAAP fnancial measures to be performance measures and a useful metric for management and investors to evaluate and compare the ongoing operatng performance of our business. We make adjustments for certain non-GAAP fnancial measures related to amortzaton of intangibles from acquisitons and goodwill impairments. We may consider whether other signifcant items that arise in the future should be excluded from our non-GAAP fnancial measures.</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We measure the performance of our business using a variety of metrics, including earnings before interest, taxes, depreciaton and amortzaton (EBITDA) from contnuing operatons, adjusted EBITDA from contnuing operatons, adjusted diluted earnings per share from contnuing operatons, free cash fow and free cash fow yield. We also use EBITDA from contnuing operatons and pretax income of contnuing operatons, each subject to permited adjustments, as performance metrics in incentve compensaton calculatons for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3"/>
          <w:szCs w:val="13"/>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Calibri" w:cs="Calibri" w:eastAsia="Calibri" w:hAnsi="Calibri"/>
          <w:sz w:val="17"/>
          <w:szCs w:val="17"/>
          <w:color w:val="auto"/>
        </w:rPr>
        <w:t>The following is a reconciliaton of net loss to EBITDA from contnuing operatons, which is a non-GAAP fnancial measure:</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(in 000s)</w:t>
            </w:r>
          </w:p>
        </w:tc>
      </w:tr>
      <w:tr>
        <w:trPr>
          <w:trHeight w:val="43"/>
        </w:trPr>
        <w:tc>
          <w:tcPr>
            <w:tcW w:w="4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5"/>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gridSpan w:val="4"/>
          </w:tcPr>
          <w:p>
            <w:pPr>
              <w:spacing w:after="0"/>
              <w:rPr>
                <w:sz w:val="3"/>
                <w:szCs w:val="3"/>
                <w:color w:val="auto"/>
              </w:rPr>
            </w:pPr>
          </w:p>
        </w:tc>
      </w:tr>
      <w:tr>
        <w:trPr>
          <w:trHeight w:val="177"/>
        </w:trPr>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5"/>
          </w:tcPr>
          <w:p>
            <w:pPr>
              <w:ind w:left="220"/>
              <w:spacing w:after="0" w:line="177" w:lineRule="exact"/>
              <w:rPr>
                <w:sz w:val="20"/>
                <w:szCs w:val="20"/>
                <w:color w:val="auto"/>
              </w:rPr>
            </w:pPr>
            <w:r>
              <w:rPr>
                <w:rFonts w:ascii="Calibri" w:cs="Calibri" w:eastAsia="Calibri" w:hAnsi="Calibri"/>
                <w:sz w:val="15"/>
                <w:szCs w:val="15"/>
                <w:color w:val="auto"/>
              </w:rPr>
              <w:t>Three months ended December 31,</w:t>
            </w:r>
          </w:p>
        </w:tc>
        <w:tc>
          <w:tcPr>
            <w:tcW w:w="360" w:type="dxa"/>
            <w:vAlign w:val="bottom"/>
          </w:tcPr>
          <w:p>
            <w:pPr>
              <w:spacing w:after="0"/>
              <w:rPr>
                <w:sz w:val="15"/>
                <w:szCs w:val="15"/>
                <w:color w:val="auto"/>
              </w:rPr>
            </w:pPr>
          </w:p>
        </w:tc>
        <w:tc>
          <w:tcPr>
            <w:tcW w:w="2940" w:type="dxa"/>
            <w:vAlign w:val="bottom"/>
            <w:gridSpan w:val="4"/>
          </w:tcPr>
          <w:p>
            <w:pPr>
              <w:jc w:val="right"/>
              <w:ind w:right="564"/>
              <w:spacing w:after="0" w:line="177" w:lineRule="exact"/>
              <w:rPr>
                <w:sz w:val="20"/>
                <w:szCs w:val="20"/>
                <w:color w:val="auto"/>
              </w:rPr>
            </w:pPr>
            <w:r>
              <w:rPr>
                <w:rFonts w:ascii="Calibri" w:cs="Calibri" w:eastAsia="Calibri" w:hAnsi="Calibri"/>
                <w:sz w:val="15"/>
                <w:szCs w:val="15"/>
                <w:color w:val="auto"/>
              </w:rPr>
              <w:t>Six months ended December 31,</w:t>
            </w:r>
          </w:p>
        </w:tc>
      </w:tr>
      <w:tr>
        <w:trPr>
          <w:trHeight w:val="22"/>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r>
      <w:tr>
        <w:trPr>
          <w:trHeight w:val="22"/>
        </w:trPr>
        <w:tc>
          <w:tcPr>
            <w:tcW w:w="4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4460" w:type="dxa"/>
            <w:vAlign w:val="bottom"/>
          </w:tcPr>
          <w:p>
            <w:pPr>
              <w:ind w:left="20"/>
              <w:spacing w:after="0" w:line="177" w:lineRule="exact"/>
              <w:rPr>
                <w:sz w:val="20"/>
                <w:szCs w:val="20"/>
                <w:color w:val="auto"/>
              </w:rPr>
            </w:pPr>
            <w:r>
              <w:rPr>
                <w:rFonts w:ascii="Calibri" w:cs="Calibri" w:eastAsia="Calibri" w:hAnsi="Calibri"/>
                <w:sz w:val="15"/>
                <w:szCs w:val="15"/>
                <w:color w:val="auto"/>
              </w:rPr>
              <w:t>Net loss - as reported</w:t>
            </w:r>
          </w:p>
        </w:tc>
        <w:tc>
          <w:tcPr>
            <w:tcW w:w="80" w:type="dxa"/>
            <w:vAlign w:val="bottom"/>
          </w:tcPr>
          <w:p>
            <w:pPr>
              <w:spacing w:after="0"/>
              <w:rPr>
                <w:sz w:val="15"/>
                <w:szCs w:val="15"/>
                <w:color w:val="auto"/>
              </w:rPr>
            </w:pPr>
          </w:p>
        </w:tc>
        <w:tc>
          <w:tcPr>
            <w:tcW w:w="320" w:type="dxa"/>
            <w:vAlign w:val="bottom"/>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(189,755)</w:t>
            </w:r>
          </w:p>
        </w:tc>
        <w:tc>
          <w:tcPr>
            <w:tcW w:w="100" w:type="dxa"/>
            <w:vAlign w:val="bottom"/>
          </w:tcPr>
          <w:p>
            <w:pPr>
              <w:spacing w:after="0"/>
              <w:rPr>
                <w:sz w:val="15"/>
                <w:szCs w:val="15"/>
                <w:color w:val="auto"/>
              </w:rPr>
            </w:pPr>
          </w:p>
        </w:tc>
        <w:tc>
          <w:tcPr>
            <w:tcW w:w="52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w w:val="78"/>
              </w:rPr>
              <w:t>$</w:t>
            </w:r>
          </w:p>
        </w:tc>
        <w:tc>
          <w:tcPr>
            <w:tcW w:w="1080" w:type="dxa"/>
            <w:vAlign w:val="bottom"/>
          </w:tcPr>
          <w:p>
            <w:pPr>
              <w:jc w:val="right"/>
              <w:spacing w:after="0" w:line="177" w:lineRule="exact"/>
              <w:rPr>
                <w:sz w:val="20"/>
                <w:szCs w:val="20"/>
                <w:color w:val="auto"/>
              </w:rPr>
            </w:pPr>
            <w:r>
              <w:rPr>
                <w:rFonts w:ascii="Calibri" w:cs="Calibri" w:eastAsia="Calibri" w:hAnsi="Calibri"/>
                <w:sz w:val="15"/>
                <w:szCs w:val="15"/>
                <w:color w:val="auto"/>
              </w:rPr>
              <w:t>(223,579)</w:t>
            </w:r>
          </w:p>
        </w:tc>
        <w:tc>
          <w:tcPr>
            <w:tcW w:w="80" w:type="dxa"/>
            <w:vAlign w:val="bottom"/>
          </w:tcPr>
          <w:p>
            <w:pPr>
              <w:spacing w:after="0"/>
              <w:rPr>
                <w:sz w:val="15"/>
                <w:szCs w:val="15"/>
                <w:color w:val="auto"/>
              </w:rPr>
            </w:pPr>
          </w:p>
        </w:tc>
        <w:tc>
          <w:tcPr>
            <w:tcW w:w="360" w:type="dxa"/>
            <w:vAlign w:val="bottom"/>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(353,237)</w:t>
            </w:r>
          </w:p>
        </w:tc>
        <w:tc>
          <w:tcPr>
            <w:tcW w:w="100" w:type="dxa"/>
            <w:vAlign w:val="bottom"/>
          </w:tcPr>
          <w:p>
            <w:pPr>
              <w:spacing w:after="0"/>
              <w:rPr>
                <w:sz w:val="15"/>
                <w:szCs w:val="15"/>
                <w:color w:val="auto"/>
              </w:rPr>
            </w:pPr>
          </w:p>
        </w:tc>
        <w:tc>
          <w:tcPr>
            <w:tcW w:w="52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w w:val="78"/>
              </w:rPr>
              <w:t>$</w:t>
            </w:r>
          </w:p>
        </w:tc>
        <w:tc>
          <w:tcPr>
            <w:tcW w:w="1080" w:type="dxa"/>
            <w:vAlign w:val="bottom"/>
          </w:tcPr>
          <w:p>
            <w:pPr>
              <w:jc w:val="right"/>
              <w:spacing w:after="0" w:line="177" w:lineRule="exact"/>
              <w:rPr>
                <w:sz w:val="20"/>
                <w:szCs w:val="20"/>
                <w:color w:val="auto"/>
              </w:rPr>
            </w:pPr>
            <w:r>
              <w:rPr>
                <w:rFonts w:ascii="Calibri" w:cs="Calibri" w:eastAsia="Calibri" w:hAnsi="Calibri"/>
                <w:sz w:val="15"/>
                <w:szCs w:val="15"/>
                <w:color w:val="auto"/>
              </w:rPr>
              <w:t>(392,000)</w:t>
            </w:r>
          </w:p>
        </w:tc>
      </w:tr>
      <w:tr>
        <w:trPr>
          <w:trHeight w:val="22"/>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6"/>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Discontnued operatons, net</w:t>
            </w: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639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2,716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1,248</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4"/>
              <w:spacing w:after="0"/>
              <w:rPr>
                <w:sz w:val="20"/>
                <w:szCs w:val="20"/>
                <w:color w:val="auto"/>
              </w:rPr>
            </w:pPr>
            <w:r>
              <w:rPr>
                <w:rFonts w:ascii="Calibri" w:cs="Calibri" w:eastAsia="Calibri" w:hAnsi="Calibri"/>
                <w:sz w:val="15"/>
                <w:szCs w:val="15"/>
                <w:color w:val="auto"/>
              </w:rPr>
              <w:t>3,770</w:t>
            </w:r>
          </w:p>
        </w:tc>
      </w:tr>
      <w:tr>
        <w:trPr>
          <w:trHeight w:val="177"/>
        </w:trPr>
        <w:tc>
          <w:tcPr>
            <w:tcW w:w="454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Net loss from contnuing operatons - as reported</w:t>
            </w: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(189,116)</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(220,863)</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(351,989)</w:t>
            </w: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(388,230)</w:t>
            </w:r>
          </w:p>
        </w:tc>
      </w:tr>
      <w:tr>
        <w:trPr>
          <w:trHeight w:val="22"/>
        </w:trPr>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6"/>
        </w:trPr>
        <w:tc>
          <w:tcPr>
            <w:tcW w:w="4540" w:type="dxa"/>
            <w:vAlign w:val="bottom"/>
            <w:tcBorders>
              <w:bottom w:val="single" w:sz="8" w:color="CCEEFF"/>
            </w:tcBorders>
            <w:gridSpan w:val="2"/>
            <w:shd w:val="clear" w:color="auto" w:fill="CCEEFF"/>
          </w:tcPr>
          <w:p>
            <w:pPr>
              <w:ind w:left="20"/>
              <w:spacing w:after="0" w:line="164" w:lineRule="exact"/>
              <w:rPr>
                <w:sz w:val="20"/>
                <w:szCs w:val="20"/>
                <w:color w:val="auto"/>
              </w:rPr>
            </w:pPr>
            <w:r>
              <w:rPr>
                <w:rFonts w:ascii="Calibri" w:cs="Calibri" w:eastAsia="Calibri" w:hAnsi="Calibri"/>
                <w:sz w:val="15"/>
                <w:szCs w:val="15"/>
                <w:color w:val="auto"/>
              </w:rPr>
              <w:t>Add back:</w:t>
            </w:r>
          </w:p>
        </w:tc>
        <w:tc>
          <w:tcPr>
            <w:tcW w:w="3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r>
      <w:tr>
        <w:trPr>
          <w:trHeight w:val="184"/>
        </w:trPr>
        <w:tc>
          <w:tcPr>
            <w:tcW w:w="4540" w:type="dxa"/>
            <w:vAlign w:val="bottom"/>
            <w:gridSpan w:val="2"/>
          </w:tcPr>
          <w:p>
            <w:pPr>
              <w:ind w:left="140"/>
              <w:spacing w:after="0"/>
              <w:rPr>
                <w:sz w:val="20"/>
                <w:szCs w:val="20"/>
                <w:color w:val="auto"/>
              </w:rPr>
            </w:pPr>
            <w:r>
              <w:rPr>
                <w:rFonts w:ascii="Calibri" w:cs="Calibri" w:eastAsia="Calibri" w:hAnsi="Calibri"/>
                <w:sz w:val="15"/>
                <w:szCs w:val="15"/>
                <w:color w:val="auto"/>
              </w:rPr>
              <w:t>Income tax beneft</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(93,758)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(77,140)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(143,245)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(131,097)</w:t>
            </w:r>
          </w:p>
        </w:tc>
      </w:tr>
      <w:tr>
        <w:trPr>
          <w:trHeight w:val="22"/>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6"/>
        </w:trPr>
        <w:tc>
          <w:tcPr>
            <w:tcW w:w="454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5"/>
                <w:szCs w:val="15"/>
                <w:color w:val="auto"/>
              </w:rPr>
              <w:t>Interest expense</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21,364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Calibri" w:cs="Calibri" w:eastAsia="Calibri" w:hAnsi="Calibri"/>
                <w:sz w:val="15"/>
                <w:szCs w:val="15"/>
                <w:color w:val="auto"/>
              </w:rPr>
              <w:t>18,985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37,234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4"/>
              <w:spacing w:after="0"/>
              <w:rPr>
                <w:sz w:val="20"/>
                <w:szCs w:val="20"/>
                <w:color w:val="auto"/>
              </w:rPr>
            </w:pPr>
            <w:r>
              <w:rPr>
                <w:rFonts w:ascii="Calibri" w:cs="Calibri" w:eastAsia="Calibri" w:hAnsi="Calibri"/>
                <w:sz w:val="15"/>
                <w:szCs w:val="15"/>
                <w:color w:val="auto"/>
              </w:rPr>
              <w:t>34,809</w:t>
            </w:r>
          </w:p>
        </w:tc>
      </w:tr>
      <w:tr>
        <w:trPr>
          <w:trHeight w:val="184"/>
        </w:trPr>
        <w:tc>
          <w:tcPr>
            <w:tcW w:w="4540" w:type="dxa"/>
            <w:vAlign w:val="bottom"/>
            <w:gridSpan w:val="2"/>
          </w:tcPr>
          <w:p>
            <w:pPr>
              <w:ind w:left="140"/>
              <w:spacing w:after="0"/>
              <w:rPr>
                <w:sz w:val="20"/>
                <w:szCs w:val="20"/>
                <w:color w:val="auto"/>
              </w:rPr>
            </w:pPr>
            <w:r>
              <w:rPr>
                <w:rFonts w:ascii="Calibri" w:cs="Calibri" w:eastAsia="Calibri" w:hAnsi="Calibri"/>
                <w:sz w:val="15"/>
                <w:szCs w:val="15"/>
                <w:color w:val="auto"/>
              </w:rPr>
              <w:t>Depreciaton and amortzaton</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30,107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3"/>
              <w:spacing w:after="0"/>
              <w:rPr>
                <w:sz w:val="20"/>
                <w:szCs w:val="20"/>
                <w:color w:val="auto"/>
              </w:rPr>
            </w:pPr>
            <w:r>
              <w:rPr>
                <w:rFonts w:ascii="Calibri" w:cs="Calibri" w:eastAsia="Calibri" w:hAnsi="Calibri"/>
                <w:sz w:val="15"/>
                <w:szCs w:val="15"/>
                <w:color w:val="auto"/>
              </w:rPr>
              <w:t>32,723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60,332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4"/>
              <w:spacing w:after="0"/>
              <w:rPr>
                <w:sz w:val="20"/>
                <w:szCs w:val="20"/>
                <w:color w:val="auto"/>
              </w:rPr>
            </w:pPr>
            <w:r>
              <w:rPr>
                <w:rFonts w:ascii="Calibri" w:cs="Calibri" w:eastAsia="Calibri" w:hAnsi="Calibri"/>
                <w:sz w:val="15"/>
                <w:szCs w:val="15"/>
                <w:color w:val="auto"/>
              </w:rPr>
              <w:t>66,347</w:t>
            </w:r>
          </w:p>
        </w:tc>
      </w:tr>
      <w:tr>
        <w:trPr>
          <w:trHeight w:val="22"/>
        </w:trPr>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9"/>
        </w:trPr>
        <w:tc>
          <w:tcPr>
            <w:tcW w:w="4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(42,287)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(25,432)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(45,679)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(29,941)</w:t>
            </w:r>
          </w:p>
        </w:tc>
      </w:tr>
      <w:tr>
        <w:trPr>
          <w:trHeight w:val="177"/>
        </w:trPr>
        <w:tc>
          <w:tcPr>
            <w:tcW w:w="454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EBITDA from contnuing operatons</w:t>
            </w:r>
          </w:p>
        </w:tc>
        <w:tc>
          <w:tcPr>
            <w:tcW w:w="320" w:type="dxa"/>
            <w:vAlign w:val="bottom"/>
            <w:tcBorders>
              <w:top w:val="single" w:sz="8" w:color="auto"/>
            </w:tcBorders>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(231,403)</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63"/>
              <w:spacing w:after="0" w:line="177" w:lineRule="exact"/>
              <w:rPr>
                <w:sz w:val="20"/>
                <w:szCs w:val="20"/>
                <w:color w:val="auto"/>
              </w:rPr>
            </w:pPr>
            <w:r>
              <w:rPr>
                <w:rFonts w:ascii="Calibri" w:cs="Calibri" w:eastAsia="Calibri" w:hAnsi="Calibri"/>
                <w:sz w:val="15"/>
                <w:szCs w:val="15"/>
                <w:color w:val="auto"/>
                <w:w w:val="78"/>
              </w:rPr>
              <w:t>$</w:t>
            </w:r>
          </w:p>
        </w:tc>
        <w:tc>
          <w:tcPr>
            <w:tcW w:w="10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(246,295)</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(397,668)</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ind w:right="363"/>
              <w:spacing w:after="0" w:line="177" w:lineRule="exact"/>
              <w:rPr>
                <w:sz w:val="20"/>
                <w:szCs w:val="20"/>
                <w:color w:val="auto"/>
              </w:rPr>
            </w:pPr>
            <w:r>
              <w:rPr>
                <w:rFonts w:ascii="Calibri" w:cs="Calibri" w:eastAsia="Calibri" w:hAnsi="Calibri"/>
                <w:sz w:val="15"/>
                <w:szCs w:val="15"/>
                <w:color w:val="auto"/>
                <w:w w:val="78"/>
              </w:rPr>
              <w:t>$</w:t>
            </w:r>
          </w:p>
        </w:tc>
        <w:tc>
          <w:tcPr>
            <w:tcW w:w="108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color w:val="auto"/>
              </w:rPr>
              <w:t>(418,171)</w:t>
            </w:r>
          </w:p>
        </w:tc>
      </w:tr>
      <w:tr>
        <w:trPr>
          <w:trHeight w:val="59"/>
        </w:trPr>
        <w:tc>
          <w:tcPr>
            <w:tcW w:w="44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0"/>
        </w:trPr>
        <w:tc>
          <w:tcPr>
            <w:tcW w:w="44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r>
    </w:tbl>
    <w:p>
      <w:pPr>
        <w:spacing w:after="0" w:line="172" w:lineRule="exact"/>
        <w:rPr>
          <w:sz w:val="20"/>
          <w:szCs w:val="20"/>
          <w:color w:val="auto"/>
        </w:rPr>
      </w:pPr>
    </w:p>
    <w:p>
      <w:pPr>
        <w:jc w:val="both"/>
        <w:ind w:firstLine="232"/>
        <w:spacing w:after="0" w:line="237" w:lineRule="auto"/>
        <w:rPr>
          <w:sz w:val="20"/>
          <w:szCs w:val="20"/>
          <w:color w:val="auto"/>
        </w:rPr>
      </w:pPr>
      <w:r>
        <w:rPr>
          <w:rFonts w:ascii="Calibri" w:cs="Calibri" w:eastAsia="Calibri" w:hAnsi="Calibri"/>
          <w:sz w:val="17"/>
          <w:szCs w:val="17"/>
          <w:color w:val="auto"/>
        </w:rPr>
        <w:t>The following is a reconciliaton of our results from contnuing operatons to our adjusted results from contnuing operatons, which is a non-GAAP fnancial measure:</w:t>
      </w:r>
    </w:p>
    <w:p>
      <w:pPr>
        <w:spacing w:after="0" w:line="62" w:lineRule="exact"/>
        <w:rPr>
          <w:sz w:val="20"/>
          <w:szCs w:val="20"/>
          <w:color w:val="auto"/>
        </w:rPr>
      </w:pPr>
    </w:p>
    <w:p>
      <w:pPr>
        <w:ind w:left="9240"/>
        <w:spacing w:after="0"/>
        <w:rPr>
          <w:sz w:val="20"/>
          <w:szCs w:val="20"/>
          <w:color w:val="auto"/>
        </w:rPr>
      </w:pPr>
      <w:r>
        <w:rPr>
          <w:rFonts w:ascii="Calibri" w:cs="Calibri" w:eastAsia="Calibri" w:hAnsi="Calibri"/>
          <w:sz w:val="13"/>
          <w:szCs w:val="13"/>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Calibri" w:cs="Calibri" w:eastAsia="Calibri" w:hAnsi="Calibri"/>
                <w:sz w:val="15"/>
                <w:szCs w:val="15"/>
                <w:color w:val="auto"/>
              </w:rPr>
              <w:t>Three months ended December 31,</w:t>
            </w:r>
          </w:p>
        </w:tc>
        <w:tc>
          <w:tcPr>
            <w:tcW w:w="360" w:type="dxa"/>
            <w:vAlign w:val="bottom"/>
          </w:tcPr>
          <w:p>
            <w:pPr>
              <w:spacing w:after="0"/>
              <w:rPr>
                <w:sz w:val="16"/>
                <w:szCs w:val="16"/>
                <w:color w:val="auto"/>
              </w:rPr>
            </w:pPr>
          </w:p>
        </w:tc>
        <w:tc>
          <w:tcPr>
            <w:tcW w:w="2920" w:type="dxa"/>
            <w:vAlign w:val="bottom"/>
            <w:gridSpan w:val="4"/>
          </w:tcPr>
          <w:p>
            <w:pPr>
              <w:jc w:val="right"/>
              <w:ind w:right="543"/>
              <w:spacing w:after="0"/>
              <w:rPr>
                <w:sz w:val="20"/>
                <w:szCs w:val="20"/>
                <w:color w:val="auto"/>
              </w:rPr>
            </w:pPr>
            <w:r>
              <w:rPr>
                <w:rFonts w:ascii="Calibri" w:cs="Calibri" w:eastAsia="Calibri" w:hAnsi="Calibri"/>
                <w:sz w:val="15"/>
                <w:szCs w:val="15"/>
                <w:color w:val="auto"/>
              </w:rPr>
              <w:t>Six months ended December 31,</w:t>
            </w:r>
          </w:p>
        </w:tc>
      </w:tr>
      <w:tr>
        <w:trPr>
          <w:trHeight w:val="26"/>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7"/>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2023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2022</w:t>
            </w:r>
          </w:p>
        </w:tc>
      </w:tr>
      <w:tr>
        <w:trPr>
          <w:trHeight w:val="22"/>
        </w:trPr>
        <w:tc>
          <w:tcPr>
            <w:tcW w:w="4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4480" w:type="dxa"/>
            <w:vAlign w:val="bottom"/>
          </w:tcPr>
          <w:p>
            <w:pPr>
              <w:ind w:left="20"/>
              <w:spacing w:after="0" w:line="177" w:lineRule="exact"/>
              <w:rPr>
                <w:sz w:val="20"/>
                <w:szCs w:val="20"/>
                <w:color w:val="auto"/>
              </w:rPr>
            </w:pPr>
            <w:r>
              <w:rPr>
                <w:rFonts w:ascii="Calibri" w:cs="Calibri" w:eastAsia="Calibri" w:hAnsi="Calibri"/>
                <w:sz w:val="15"/>
                <w:szCs w:val="15"/>
                <w:color w:val="auto"/>
              </w:rPr>
              <w:t>Net loss from contnuing operatons - as reported</w:t>
            </w:r>
          </w:p>
        </w:tc>
        <w:tc>
          <w:tcPr>
            <w:tcW w:w="100" w:type="dxa"/>
            <w:vAlign w:val="bottom"/>
          </w:tcPr>
          <w:p>
            <w:pPr>
              <w:spacing w:after="0"/>
              <w:rPr>
                <w:sz w:val="15"/>
                <w:szCs w:val="15"/>
                <w:color w:val="auto"/>
              </w:rPr>
            </w:pPr>
          </w:p>
        </w:tc>
        <w:tc>
          <w:tcPr>
            <w:tcW w:w="320" w:type="dxa"/>
            <w:vAlign w:val="bottom"/>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(189,116)</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(220,863)</w:t>
            </w:r>
          </w:p>
        </w:tc>
        <w:tc>
          <w:tcPr>
            <w:tcW w:w="100" w:type="dxa"/>
            <w:vAlign w:val="bottom"/>
          </w:tcPr>
          <w:p>
            <w:pPr>
              <w:spacing w:after="0"/>
              <w:rPr>
                <w:sz w:val="15"/>
                <w:szCs w:val="15"/>
                <w:color w:val="auto"/>
              </w:rPr>
            </w:pPr>
          </w:p>
        </w:tc>
        <w:tc>
          <w:tcPr>
            <w:tcW w:w="360" w:type="dxa"/>
            <w:vAlign w:val="bottom"/>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(351,989)</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(388,230)</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6"/>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Adjustments:</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84"/>
        </w:trPr>
        <w:tc>
          <w:tcPr>
            <w:tcW w:w="4580" w:type="dxa"/>
            <w:vAlign w:val="bottom"/>
            <w:gridSpan w:val="2"/>
          </w:tcPr>
          <w:p>
            <w:pPr>
              <w:ind w:left="140"/>
              <w:spacing w:after="0"/>
              <w:rPr>
                <w:sz w:val="20"/>
                <w:szCs w:val="20"/>
                <w:color w:val="auto"/>
              </w:rPr>
            </w:pPr>
            <w:r>
              <w:rPr>
                <w:rFonts w:ascii="Calibri" w:cs="Calibri" w:eastAsia="Calibri" w:hAnsi="Calibri"/>
                <w:sz w:val="15"/>
                <w:szCs w:val="15"/>
                <w:color w:val="auto"/>
              </w:rPr>
              <w:t>Amortzaton of intangibles related to acquisitons (pretax)</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12,269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12,839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24,824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25,535</w:t>
            </w:r>
          </w:p>
        </w:tc>
      </w:tr>
      <w:tr>
        <w:trPr>
          <w:trHeight w:val="22"/>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6"/>
        </w:trPr>
        <w:tc>
          <w:tcPr>
            <w:tcW w:w="4580" w:type="dxa"/>
            <w:vAlign w:val="bottom"/>
            <w:gridSpan w:val="2"/>
            <w:shd w:val="clear" w:color="auto" w:fill="CCEEFF"/>
          </w:tcPr>
          <w:p>
            <w:pPr>
              <w:ind w:left="140"/>
              <w:spacing w:after="0" w:line="206" w:lineRule="exact"/>
              <w:rPr>
                <w:sz w:val="20"/>
                <w:szCs w:val="20"/>
                <w:color w:val="auto"/>
              </w:rPr>
            </w:pPr>
            <w:r>
              <w:rPr>
                <w:rFonts w:ascii="Calibri" w:cs="Calibri" w:eastAsia="Calibri" w:hAnsi="Calibri"/>
                <w:sz w:val="15"/>
                <w:szCs w:val="15"/>
                <w:color w:val="auto"/>
              </w:rPr>
              <w:t xml:space="preserve">Tax efect of adjustments </w:t>
            </w:r>
            <w:r>
              <w:rPr>
                <w:rFonts w:ascii="Calibri" w:cs="Calibri" w:eastAsia="Calibri" w:hAnsi="Calibri"/>
                <w:sz w:val="20"/>
                <w:szCs w:val="20"/>
                <w:color w:val="auto"/>
                <w:vertAlign w:val="superscript"/>
              </w:rPr>
              <w:t>(1)</w:t>
            </w:r>
          </w:p>
        </w:tc>
        <w:tc>
          <w:tcPr>
            <w:tcW w:w="3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(3,087)</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color w:val="auto"/>
              </w:rPr>
              <w:t>(2,787)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(6,022)</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5"/>
                <w:szCs w:val="15"/>
                <w:color w:val="auto"/>
              </w:rPr>
              <w:t>(6,008)</w:t>
            </w:r>
          </w:p>
        </w:tc>
      </w:tr>
      <w:tr>
        <w:trPr>
          <w:trHeight w:val="177"/>
        </w:trPr>
        <w:tc>
          <w:tcPr>
            <w:tcW w:w="4580" w:type="dxa"/>
            <w:vAlign w:val="bottom"/>
            <w:gridSpan w:val="2"/>
          </w:tcPr>
          <w:p>
            <w:pPr>
              <w:ind w:left="20"/>
              <w:spacing w:after="0" w:line="173" w:lineRule="exact"/>
              <w:rPr>
                <w:sz w:val="20"/>
                <w:szCs w:val="20"/>
                <w:color w:val="auto"/>
              </w:rPr>
            </w:pPr>
            <w:r>
              <w:rPr>
                <w:rFonts w:ascii="Calibri" w:cs="Calibri" w:eastAsia="Calibri" w:hAnsi="Calibri"/>
                <w:sz w:val="15"/>
                <w:szCs w:val="15"/>
                <w:color w:val="auto"/>
              </w:rPr>
              <w:t>Adjusted net loss from contnuing operatons</w:t>
            </w:r>
          </w:p>
        </w:tc>
        <w:tc>
          <w:tcPr>
            <w:tcW w:w="320" w:type="dxa"/>
            <w:vAlign w:val="bottom"/>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(179,934)</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(210,811)</w:t>
            </w:r>
          </w:p>
        </w:tc>
        <w:tc>
          <w:tcPr>
            <w:tcW w:w="100" w:type="dxa"/>
            <w:vAlign w:val="bottom"/>
          </w:tcPr>
          <w:p>
            <w:pPr>
              <w:spacing w:after="0"/>
              <w:rPr>
                <w:sz w:val="15"/>
                <w:szCs w:val="15"/>
                <w:color w:val="auto"/>
              </w:rPr>
            </w:pPr>
          </w:p>
        </w:tc>
        <w:tc>
          <w:tcPr>
            <w:tcW w:w="360" w:type="dxa"/>
            <w:vAlign w:val="bottom"/>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Pr>
          <w:p>
            <w:pPr>
              <w:jc w:val="right"/>
              <w:spacing w:after="0" w:line="177" w:lineRule="exact"/>
              <w:rPr>
                <w:sz w:val="20"/>
                <w:szCs w:val="20"/>
                <w:color w:val="auto"/>
              </w:rPr>
            </w:pPr>
            <w:r>
              <w:rPr>
                <w:rFonts w:ascii="Calibri" w:cs="Calibri" w:eastAsia="Calibri" w:hAnsi="Calibri"/>
                <w:sz w:val="15"/>
                <w:szCs w:val="15"/>
                <w:b w:val="1"/>
                <w:bCs w:val="1"/>
                <w:color w:val="auto"/>
              </w:rPr>
              <w:t>(333,187)</w:t>
            </w:r>
          </w:p>
        </w:tc>
        <w:tc>
          <w:tcPr>
            <w:tcW w:w="80" w:type="dxa"/>
            <w:vAlign w:val="bottom"/>
          </w:tcPr>
          <w:p>
            <w:pPr>
              <w:spacing w:after="0"/>
              <w:rPr>
                <w:sz w:val="15"/>
                <w:szCs w:val="15"/>
                <w:color w:val="auto"/>
              </w:rPr>
            </w:pPr>
          </w:p>
        </w:tc>
        <w:tc>
          <w:tcPr>
            <w:tcW w:w="540" w:type="dxa"/>
            <w:vAlign w:val="bottom"/>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Pr>
          <w:p>
            <w:pPr>
              <w:jc w:val="right"/>
              <w:spacing w:after="0" w:line="177" w:lineRule="exact"/>
              <w:rPr>
                <w:sz w:val="20"/>
                <w:szCs w:val="20"/>
                <w:color w:val="auto"/>
              </w:rPr>
            </w:pPr>
            <w:r>
              <w:rPr>
                <w:rFonts w:ascii="Calibri" w:cs="Calibri" w:eastAsia="Calibri" w:hAnsi="Calibri"/>
                <w:sz w:val="15"/>
                <w:szCs w:val="15"/>
                <w:color w:val="auto"/>
              </w:rPr>
              <w:t>(368,703)</w:t>
            </w: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9"/>
        </w:trPr>
        <w:tc>
          <w:tcPr>
            <w:tcW w:w="45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Diluted loss per share from contnuing operatons - as reported</w:t>
            </w:r>
          </w:p>
        </w:tc>
        <w:tc>
          <w:tcPr>
            <w:tcW w:w="320" w:type="dxa"/>
            <w:vAlign w:val="bottom"/>
            <w:tcBorders>
              <w:bottom w:val="single" w:sz="8" w:color="CCEEFF"/>
            </w:tcBorders>
            <w:shd w:val="clear" w:color="auto" w:fill="CCEEFF"/>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(1.33)</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(1.43)</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(2.44)</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(2.48)</w:t>
            </w:r>
          </w:p>
        </w:tc>
      </w:tr>
      <w:tr>
        <w:trPr>
          <w:trHeight w:val="184"/>
        </w:trPr>
        <w:tc>
          <w:tcPr>
            <w:tcW w:w="4580" w:type="dxa"/>
            <w:vAlign w:val="bottom"/>
            <w:gridSpan w:val="2"/>
          </w:tcPr>
          <w:p>
            <w:pPr>
              <w:ind w:left="20"/>
              <w:spacing w:after="0"/>
              <w:rPr>
                <w:sz w:val="20"/>
                <w:szCs w:val="20"/>
                <w:color w:val="auto"/>
              </w:rPr>
            </w:pPr>
            <w:r>
              <w:rPr>
                <w:rFonts w:ascii="Calibri" w:cs="Calibri" w:eastAsia="Calibri" w:hAnsi="Calibri"/>
                <w:sz w:val="15"/>
                <w:szCs w:val="15"/>
                <w:color w:val="auto"/>
              </w:rPr>
              <w:t>Adjustments, net of tax</w:t>
            </w: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5"/>
                <w:szCs w:val="15"/>
                <w:b w:val="1"/>
                <w:bCs w:val="1"/>
                <w:color w:val="auto"/>
              </w:rPr>
              <w:t>0.06</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0.06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alibri" w:cs="Calibri" w:eastAsia="Calibri" w:hAnsi="Calibri"/>
                <w:sz w:val="15"/>
                <w:szCs w:val="15"/>
                <w:b w:val="1"/>
                <w:bCs w:val="1"/>
                <w:color w:val="auto"/>
              </w:rPr>
              <w:t>0.13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alibri" w:cs="Calibri" w:eastAsia="Calibri" w:hAnsi="Calibri"/>
                <w:sz w:val="15"/>
                <w:szCs w:val="15"/>
                <w:color w:val="auto"/>
              </w:rPr>
              <w:t>0.12</w:t>
            </w: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9"/>
        </w:trPr>
        <w:tc>
          <w:tcPr>
            <w:tcW w:w="4580" w:type="dxa"/>
            <w:vAlign w:val="bottom"/>
            <w:tcBorders>
              <w:bottom w:val="single" w:sz="8" w:color="CCEEFF"/>
            </w:tcBorders>
            <w:gridSpan w:val="2"/>
            <w:shd w:val="clear" w:color="auto" w:fill="CCEEFF"/>
          </w:tcPr>
          <w:p>
            <w:pPr>
              <w:ind w:left="20"/>
              <w:spacing w:after="0" w:line="173" w:lineRule="exact"/>
              <w:rPr>
                <w:sz w:val="20"/>
                <w:szCs w:val="20"/>
                <w:color w:val="auto"/>
              </w:rPr>
            </w:pPr>
            <w:r>
              <w:rPr>
                <w:rFonts w:ascii="Calibri" w:cs="Calibri" w:eastAsia="Calibri" w:hAnsi="Calibri"/>
                <w:sz w:val="15"/>
                <w:szCs w:val="15"/>
                <w:color w:val="auto"/>
              </w:rPr>
              <w:t>Adjusted diluted loss per share from contnuing operatons</w:t>
            </w:r>
          </w:p>
        </w:tc>
        <w:tc>
          <w:tcPr>
            <w:tcW w:w="320" w:type="dxa"/>
            <w:vAlign w:val="bottom"/>
            <w:tcBorders>
              <w:bottom w:val="single" w:sz="8" w:color="CCEEFF"/>
            </w:tcBorders>
            <w:shd w:val="clear" w:color="auto" w:fill="CCEEFF"/>
          </w:tcPr>
          <w:p>
            <w:pPr>
              <w:jc w:val="right"/>
              <w:ind w:right="143"/>
              <w:spacing w:after="0" w:line="177" w:lineRule="exact"/>
              <w:rPr>
                <w:sz w:val="20"/>
                <w:szCs w:val="20"/>
                <w:color w:val="auto"/>
              </w:rPr>
            </w:pPr>
            <w:r>
              <w:rPr>
                <w:rFonts w:ascii="Calibri" w:cs="Calibri" w:eastAsia="Calibri" w:hAnsi="Calibri"/>
                <w:sz w:val="15"/>
                <w:szCs w:val="15"/>
                <w:b w:val="1"/>
                <w:bCs w:val="1"/>
                <w:color w:val="auto"/>
              </w:rPr>
              <w:t>$</w:t>
            </w:r>
          </w:p>
        </w:tc>
        <w:tc>
          <w:tcPr>
            <w:tcW w:w="128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(1.27)</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(1.37)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3"/>
              <w:spacing w:after="0" w:line="177" w:lineRule="exact"/>
              <w:rPr>
                <w:sz w:val="20"/>
                <w:szCs w:val="20"/>
                <w:color w:val="auto"/>
              </w:rPr>
            </w:pPr>
            <w:r>
              <w:rPr>
                <w:rFonts w:ascii="Calibri" w:cs="Calibri" w:eastAsia="Calibri" w:hAnsi="Calibri"/>
                <w:sz w:val="15"/>
                <w:szCs w:val="15"/>
                <w:b w:val="1"/>
                <w:bCs w:val="1"/>
                <w:color w:val="auto"/>
              </w:rPr>
              <w:t>$</w:t>
            </w:r>
          </w:p>
        </w:tc>
        <w:tc>
          <w:tcPr>
            <w:tcW w:w="124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(2.31)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3"/>
              <w:spacing w:after="0" w:line="177" w:lineRule="exact"/>
              <w:rPr>
                <w:sz w:val="20"/>
                <w:szCs w:val="20"/>
                <w:color w:val="auto"/>
              </w:rPr>
            </w:pPr>
            <w:r>
              <w:rPr>
                <w:rFonts w:ascii="Calibri" w:cs="Calibri" w:eastAsia="Calibri" w:hAnsi="Calibri"/>
                <w:sz w:val="15"/>
                <w:szCs w:val="15"/>
                <w:color w:val="auto"/>
              </w:rPr>
              <w:t>$</w:t>
            </w:r>
          </w:p>
        </w:tc>
        <w:tc>
          <w:tcPr>
            <w:tcW w:w="10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color w:val="auto"/>
              </w:rPr>
              <w:t>(2.36)</w:t>
            </w:r>
          </w:p>
        </w:tc>
      </w:tr>
      <w:tr>
        <w:trPr>
          <w:trHeight w:val="32"/>
        </w:trPr>
        <w:tc>
          <w:tcPr>
            <w:tcW w:w="4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bl>
    <w:p>
      <w:pPr>
        <w:spacing w:after="0" w:line="95" w:lineRule="exact"/>
        <w:rPr>
          <w:sz w:val="20"/>
          <w:szCs w:val="20"/>
          <w:color w:val="auto"/>
        </w:rPr>
      </w:pPr>
    </w:p>
    <w:p>
      <w:pPr>
        <w:spacing w:after="0"/>
        <w:rPr>
          <w:sz w:val="20"/>
          <w:szCs w:val="20"/>
          <w:color w:val="auto"/>
        </w:rPr>
      </w:pPr>
      <w:r>
        <w:rPr>
          <w:rFonts w:ascii="Calibri" w:cs="Calibri" w:eastAsia="Calibri" w:hAnsi="Calibri"/>
          <w:sz w:val="17"/>
          <w:szCs w:val="17"/>
          <w:color w:val="auto"/>
          <w:vertAlign w:val="superscript"/>
        </w:rPr>
        <w:t>(1)</w:t>
      </w:r>
      <w:r>
        <w:rPr>
          <w:rFonts w:ascii="Calibri" w:cs="Calibri" w:eastAsia="Calibri" w:hAnsi="Calibri"/>
          <w:sz w:val="14"/>
          <w:szCs w:val="14"/>
          <w:color w:val="auto"/>
        </w:rPr>
        <w:t>Tax efect of adjustments is the diference between the tax provision calculated on a GAAP basis and on an adjusted non-GAAP basis.</w:t>
      </w:r>
    </w:p>
    <w:p>
      <w:pPr>
        <w:spacing w:after="0" w:line="6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FORWARD-LOOKING INFORMATION</w:t>
      </w:r>
    </w:p>
    <w:p>
      <w:pPr>
        <w:spacing w:after="0" w:line="105" w:lineRule="exact"/>
        <w:rPr>
          <w:sz w:val="20"/>
          <w:szCs w:val="20"/>
          <w:color w:val="auto"/>
        </w:rPr>
      </w:pPr>
    </w:p>
    <w:p>
      <w:pPr>
        <w:jc w:val="both"/>
        <w:spacing w:after="0" w:line="254" w:lineRule="auto"/>
        <w:rPr>
          <w:sz w:val="20"/>
          <w:szCs w:val="20"/>
          <w:color w:val="auto"/>
        </w:rPr>
      </w:pPr>
      <w:r>
        <w:rPr>
          <w:rFonts w:ascii="Calibri" w:cs="Calibri" w:eastAsia="Calibri" w:hAnsi="Calibri"/>
          <w:sz w:val="16"/>
          <w:szCs w:val="16"/>
          <w:color w:val="auto"/>
        </w:rPr>
        <w:t>This report and other documents fled with the Securites and Exchange Commission (SEC) may contain forward-looking statements. In additon, our senior management may make forward-looking statements orally to analysts, investors, the media and others. Forward-looking statements can be identfed by the fact that they do not relate strictly to historical or current facts. They ofen include words or variaton of words such as "expects," "antcipates," "intends," "plans," "believes," "commits," "seeks," "estmates," "projects," "forecasts," "targets," "would," "will," "should," "could," "may" or other similar expressions. Forward-looking statements provide management's current expectatons or predictons of future conditons, events or results. All statements that address operatng performance, events or developments that we expect or antcipate will occur in the future are forward-looking statements. They may include estmates of revenues, client trajectory, income, efectve tax rate, earnings per share, cost savings, capital expenditures, dividends, share repurchases, liquidity, capital structure, market share, industry volumes or other fnancial items, descriptons of management's plans or objectves for future operatons, services or products, or descriptons of assumptons underlying any of the above. They may also include the expected impact of external events beyond the Company's control, such as outbreaks of infectous disease (including the coronavirus (COVID-19) pandemic), severe weather events, natural or manmade disasters, or changes in the regulatory environment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hanging="259"/>
        <w:spacing w:after="0"/>
        <w:tabs>
          <w:tab w:leader="none" w:pos="360" w:val="left"/>
        </w:tabs>
        <w:numPr>
          <w:ilvl w:val="0"/>
          <w:numId w:val="19"/>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All forward-looking statements speak only as of the date they are made and refect the Company's good faith beliefs, assumptons and expectatons, but they are not guarantees of future performance or events. Furthermore, the Company disclaims any obligaton to publicly update or revise any forward-looking statement to refect changes in underlying assumptons, factors, or expectatons, new informaton, data or methods, future events or other changes, except as required by law.</w:t>
      </w:r>
    </w:p>
    <w:p>
      <w:pPr>
        <w:spacing w:after="0" w:line="105"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By their nature, forward-looking statements are subject to risks and uncertaintes that could cause actual results to difer materially from those suggested by the forward-looking statements. Factors that might cause such diferences include, but are not limited to, a variety of economic, compettve, operatonal and regulatory factors, many of which are beyond the Company's control. In additon, factors that may cause the Company’s actual efectve tax rate to difer from estmates include the Company’s actual results from operatons compared to current estmates, future discrete items, changes in interpretatons and assumptons the Company has made, future actons of the Company, and increases in applicable tax rates in jurisdictons where the Company operates. Investors should understand that it is not possible to predict or identfy all such factors and, consequently, should not consider any such list to be a complete set of all potental risks or uncertaintes.</w:t>
      </w:r>
    </w:p>
    <w:p>
      <w:pPr>
        <w:spacing w:after="0" w:line="106" w:lineRule="exact"/>
        <w:rPr>
          <w:sz w:val="20"/>
          <w:szCs w:val="20"/>
          <w:color w:val="auto"/>
        </w:rPr>
      </w:pPr>
    </w:p>
    <w:p>
      <w:pPr>
        <w:jc w:val="both"/>
        <w:ind w:firstLine="232"/>
        <w:spacing w:after="0" w:line="238" w:lineRule="auto"/>
        <w:rPr>
          <w:sz w:val="20"/>
          <w:szCs w:val="20"/>
          <w:color w:val="auto"/>
        </w:rPr>
      </w:pPr>
      <w:r>
        <w:rPr>
          <w:rFonts w:ascii="Calibri" w:cs="Calibri" w:eastAsia="Calibri" w:hAnsi="Calibri"/>
          <w:sz w:val="17"/>
          <w:szCs w:val="17"/>
          <w:color w:val="auto"/>
        </w:rPr>
        <w:t>Details about risks, uncertaintes and assumptons that could afect various aspects of our business are included throughout our Annual Report on Form 10-K for the fscal year ended June 30, 2023 and are also described from tme to tme in other flings with the SEC. Investors should carefully consider all of these risks, and should pay partcular atenton to Item 1A, "Risk Factors," and Item 7 under "Critcal Accountng Policies" of our Annual Report on Form 10-K for the fscal year ended June 30, 2023.</w:t>
      </w:r>
    </w:p>
    <w:p>
      <w:pPr>
        <w:spacing w:after="0" w:line="87"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24"/>
          <w:szCs w:val="24"/>
          <w:b w:val="1"/>
          <w:bCs w:val="1"/>
          <w:color w:val="14AA40"/>
        </w:rPr>
        <w:t>ITEM 3.</w:t>
        <w:tab/>
        <w:t>QUANTITATIVE AND QUALITATIVE DISCLOSURES ABOUT MARKET RISK</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There have been no material changes in our market risks from those reported in our June 30, 2023 Annual Report on Form 10-K.</w:t>
      </w:r>
    </w:p>
    <w:p>
      <w:pPr>
        <w:spacing w:after="0" w:line="86"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24"/>
          <w:szCs w:val="24"/>
          <w:b w:val="1"/>
          <w:bCs w:val="1"/>
          <w:color w:val="14AA40"/>
        </w:rPr>
        <w:t>ITEM 4.</w:t>
        <w:tab/>
        <w:t>CONTROLS AND PROCEDURES</w:t>
      </w:r>
    </w:p>
    <w:p>
      <w:pPr>
        <w:spacing w:after="0" w:line="12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b w:val="1"/>
          <w:bCs w:val="1"/>
          <w:color w:val="auto"/>
        </w:rPr>
        <w:t xml:space="preserve">EVALUATION OF DISCLOSURE CONTROLS AND PROCEDURES </w:t>
      </w:r>
      <w:r>
        <w:rPr>
          <w:rFonts w:ascii="Calibri" w:cs="Calibri" w:eastAsia="Calibri" w:hAnsi="Calibri"/>
          <w:sz w:val="17"/>
          <w:szCs w:val="17"/>
          <w:color w:val="auto"/>
        </w:rPr>
        <w:t>– As of the end of the period covered by this Form 10-Q, management, under the supervision and with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partcipaton of our Chief Executve Ofcer and Chief Financial Ofcer, evaluated the efectveness of the design and operaton of our disclosure controls and procedures (as defned in Exchange Act Rules 13a-15(e) and 15d-15(e)). Based on this evaluaton, our Chief Executve Ofcer and Chief Financial Ofcer have concluded that our disclosure controls and procedures were efectve as of the end of the period covered by this Quarterly Report on Form 10-Q.</w:t>
      </w:r>
    </w:p>
    <w:p>
      <w:pPr>
        <w:spacing w:after="0" w:line="105"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b w:val="1"/>
          <w:bCs w:val="1"/>
          <w:color w:val="auto"/>
        </w:rPr>
        <w:t xml:space="preserve">CHANGES IN INTERNAL CONTROL OVER FINANCIAL REPORTING </w:t>
      </w:r>
      <w:r>
        <w:rPr>
          <w:rFonts w:ascii="Calibri" w:cs="Calibri" w:eastAsia="Calibri" w:hAnsi="Calibri"/>
          <w:sz w:val="17"/>
          <w:szCs w:val="17"/>
          <w:color w:val="auto"/>
        </w:rPr>
        <w:t>– There were no changes during the three months ended December 31, 2023 that materially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afected, or are reasonably likely to materially afect, our internal control over fnancial reportng.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80"/>
        <w:spacing w:after="0"/>
        <w:tabs>
          <w:tab w:leader="none" w:pos="1098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3"/>
          <w:szCs w:val="13"/>
          <w:color w:val="FFFFFF"/>
          <w:highlight w:val="black"/>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920" w:val="left"/>
        </w:tabs>
        <w:rPr>
          <w:sz w:val="20"/>
          <w:szCs w:val="20"/>
          <w:color w:val="auto"/>
        </w:rPr>
      </w:pPr>
      <w:r>
        <w:rPr>
          <w:rFonts w:ascii="Calibri" w:cs="Calibri" w:eastAsia="Calibri" w:hAnsi="Calibri"/>
          <w:sz w:val="24"/>
          <w:szCs w:val="24"/>
          <w:b w:val="1"/>
          <w:bCs w:val="1"/>
          <w:color w:val="14AA40"/>
        </w:rPr>
        <w:t>PART II</w:t>
        <w:tab/>
        <w:t>OTHER INFORMATION</w:t>
      </w:r>
    </w:p>
    <w:p>
      <w:pPr>
        <w:spacing w:after="0" w:line="94" w:lineRule="exact"/>
        <w:rPr>
          <w:sz w:val="20"/>
          <w:szCs w:val="20"/>
          <w:color w:val="auto"/>
        </w:rPr>
      </w:pPr>
    </w:p>
    <w:p>
      <w:pPr>
        <w:spacing w:after="0"/>
        <w:tabs>
          <w:tab w:leader="none" w:pos="1020" w:val="left"/>
        </w:tabs>
        <w:rPr>
          <w:sz w:val="20"/>
          <w:szCs w:val="20"/>
          <w:color w:val="auto"/>
        </w:rPr>
      </w:pPr>
      <w:r>
        <w:rPr>
          <w:rFonts w:ascii="Calibri" w:cs="Calibri" w:eastAsia="Calibri" w:hAnsi="Calibri"/>
          <w:sz w:val="24"/>
          <w:szCs w:val="24"/>
          <w:b w:val="1"/>
          <w:bCs w:val="1"/>
          <w:color w:val="14AA40"/>
        </w:rPr>
        <w:t>ITEM 1.</w:t>
        <w:tab/>
        <w:t>LEGAL PROCEEDINGS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For a descripton of our material pending legal proceedings, see discussion in </w:t>
      </w:r>
      <w:r>
        <w:rPr>
          <w:rFonts w:ascii="Calibri" w:cs="Calibri" w:eastAsia="Calibri" w:hAnsi="Calibri"/>
          <w:sz w:val="17"/>
          <w:szCs w:val="17"/>
          <w:u w:val="single" w:color="auto"/>
          <w:color w:val="0000FF"/>
        </w:rPr>
        <w:t>Part I, Item 1, note 9</w:t>
      </w:r>
      <w:r>
        <w:rPr>
          <w:rFonts w:ascii="Calibri" w:cs="Calibri" w:eastAsia="Calibri" w:hAnsi="Calibri"/>
          <w:sz w:val="17"/>
          <w:szCs w:val="17"/>
          <w:color w:val="auto"/>
        </w:rPr>
        <w:t xml:space="preserve"> to the consolidated fnancial statements.</w:t>
      </w:r>
    </w:p>
    <w:p>
      <w:pPr>
        <w:spacing w:after="0" w:line="86" w:lineRule="exact"/>
        <w:rPr>
          <w:sz w:val="20"/>
          <w:szCs w:val="20"/>
          <w:color w:val="auto"/>
        </w:rPr>
      </w:pPr>
    </w:p>
    <w:p>
      <w:pPr>
        <w:spacing w:after="0"/>
        <w:tabs>
          <w:tab w:leader="none" w:pos="1120" w:val="left"/>
        </w:tabs>
        <w:rPr>
          <w:sz w:val="20"/>
          <w:szCs w:val="20"/>
          <w:color w:val="auto"/>
        </w:rPr>
      </w:pPr>
      <w:r>
        <w:rPr>
          <w:rFonts w:ascii="Calibri" w:cs="Calibri" w:eastAsia="Calibri" w:hAnsi="Calibri"/>
          <w:sz w:val="24"/>
          <w:szCs w:val="24"/>
          <w:b w:val="1"/>
          <w:bCs w:val="1"/>
          <w:color w:val="14AA40"/>
        </w:rPr>
        <w:t>ITEM 1A.</w:t>
        <w:tab/>
        <w:t>RISK FACTORS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There have been no material changes in our risk factors from those reported in our June 30, 2023 Annual Report on Form 10-K.</w:t>
      </w:r>
    </w:p>
    <w:p>
      <w:pPr>
        <w:spacing w:after="0" w:line="86"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2.</w:t>
        <w:tab/>
        <w:t>UNREGISTERED SALES OF EQUITY SECURITIES AND USE OF PROCEEDS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A summary of our purchases of H&amp;R Block common stock during the three months ended December 31, 2023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alibri" w:cs="Calibri" w:eastAsia="Calibri" w:hAnsi="Calibri"/>
                <w:sz w:val="14"/>
                <w:szCs w:val="14"/>
                <w:color w:val="auto"/>
              </w:rPr>
              <w:t>(in 000s, except per share amounts)</w:t>
            </w:r>
          </w:p>
        </w:tc>
      </w:tr>
      <w:tr>
        <w:trPr>
          <w:trHeight w:val="43"/>
        </w:trPr>
        <w:tc>
          <w:tcPr>
            <w:tcW w:w="2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195"/>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Calibri" w:cs="Calibri" w:eastAsia="Calibri" w:hAnsi="Calibri"/>
                <w:sz w:val="15"/>
                <w:szCs w:val="15"/>
                <w:color w:val="auto"/>
              </w:rPr>
              <w:t>Total Number of Shares</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Calibri" w:cs="Calibri" w:eastAsia="Calibri" w:hAnsi="Calibri"/>
                <w:sz w:val="15"/>
                <w:szCs w:val="15"/>
                <w:color w:val="auto"/>
              </w:rPr>
              <w:t>Maximum Dollar Value of</w:t>
            </w:r>
          </w:p>
        </w:tc>
      </w:tr>
      <w:tr>
        <w:trPr>
          <w:trHeight w:val="155"/>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Calibri" w:cs="Calibri" w:eastAsia="Calibri" w:hAnsi="Calibri"/>
                <w:sz w:val="15"/>
                <w:szCs w:val="15"/>
                <w:color w:val="auto"/>
              </w:rPr>
              <w:t>Average</w:t>
            </w:r>
          </w:p>
        </w:tc>
        <w:tc>
          <w:tcPr>
            <w:tcW w:w="2460" w:type="dxa"/>
            <w:vAlign w:val="bottom"/>
          </w:tcPr>
          <w:p>
            <w:pPr>
              <w:jc w:val="right"/>
              <w:spacing w:after="0" w:line="155" w:lineRule="exact"/>
              <w:rPr>
                <w:sz w:val="20"/>
                <w:szCs w:val="20"/>
                <w:color w:val="auto"/>
              </w:rPr>
            </w:pPr>
            <w:r>
              <w:rPr>
                <w:rFonts w:ascii="Calibri" w:cs="Calibri" w:eastAsia="Calibri" w:hAnsi="Calibri"/>
                <w:sz w:val="15"/>
                <w:szCs w:val="15"/>
                <w:color w:val="auto"/>
              </w:rPr>
              <w:t>Purchased as Part of</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00" w:type="dxa"/>
            <w:vAlign w:val="bottom"/>
          </w:tcPr>
          <w:p>
            <w:pPr>
              <w:jc w:val="right"/>
              <w:spacing w:after="0" w:line="155" w:lineRule="exact"/>
              <w:rPr>
                <w:sz w:val="20"/>
                <w:szCs w:val="20"/>
                <w:color w:val="auto"/>
              </w:rPr>
            </w:pPr>
            <w:r>
              <w:rPr>
                <w:rFonts w:ascii="Calibri" w:cs="Calibri" w:eastAsia="Calibri" w:hAnsi="Calibri"/>
                <w:sz w:val="15"/>
                <w:szCs w:val="15"/>
                <w:color w:val="auto"/>
              </w:rPr>
              <w:t>Shares that May Yet Be</w:t>
            </w:r>
          </w:p>
        </w:tc>
      </w:tr>
      <w:tr>
        <w:trPr>
          <w:trHeight w:val="154"/>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jc w:val="right"/>
              <w:spacing w:after="0" w:line="154" w:lineRule="exact"/>
              <w:rPr>
                <w:sz w:val="20"/>
                <w:szCs w:val="20"/>
                <w:color w:val="auto"/>
              </w:rPr>
            </w:pPr>
            <w:r>
              <w:rPr>
                <w:rFonts w:ascii="Calibri" w:cs="Calibri" w:eastAsia="Calibri" w:hAnsi="Calibri"/>
                <w:sz w:val="15"/>
                <w:szCs w:val="15"/>
                <w:color w:val="auto"/>
              </w:rPr>
              <w:t>Total Number of</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00"/>
              <w:spacing w:after="0" w:line="154" w:lineRule="exact"/>
              <w:rPr>
                <w:sz w:val="20"/>
                <w:szCs w:val="20"/>
                <w:color w:val="auto"/>
              </w:rPr>
            </w:pPr>
            <w:r>
              <w:rPr>
                <w:rFonts w:ascii="Calibri" w:cs="Calibri" w:eastAsia="Calibri" w:hAnsi="Calibri"/>
                <w:sz w:val="15"/>
                <w:szCs w:val="15"/>
                <w:color w:val="auto"/>
              </w:rPr>
              <w:t>Price Paid</w:t>
            </w:r>
          </w:p>
        </w:tc>
        <w:tc>
          <w:tcPr>
            <w:tcW w:w="2460" w:type="dxa"/>
            <w:vAlign w:val="bottom"/>
          </w:tcPr>
          <w:p>
            <w:pPr>
              <w:jc w:val="right"/>
              <w:spacing w:after="0" w:line="154" w:lineRule="exact"/>
              <w:rPr>
                <w:sz w:val="20"/>
                <w:szCs w:val="20"/>
                <w:color w:val="auto"/>
              </w:rPr>
            </w:pPr>
            <w:r>
              <w:rPr>
                <w:rFonts w:ascii="Calibri" w:cs="Calibri" w:eastAsia="Calibri" w:hAnsi="Calibri"/>
                <w:sz w:val="15"/>
                <w:szCs w:val="15"/>
                <w:color w:val="auto"/>
              </w:rPr>
              <w:t>Publicly Announced Plans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00" w:type="dxa"/>
            <w:vAlign w:val="bottom"/>
          </w:tcPr>
          <w:p>
            <w:pPr>
              <w:jc w:val="right"/>
              <w:spacing w:after="0" w:line="154" w:lineRule="exact"/>
              <w:rPr>
                <w:sz w:val="20"/>
                <w:szCs w:val="20"/>
                <w:color w:val="auto"/>
              </w:rPr>
            </w:pPr>
            <w:r>
              <w:rPr>
                <w:rFonts w:ascii="Calibri" w:cs="Calibri" w:eastAsia="Calibri" w:hAnsi="Calibri"/>
                <w:sz w:val="15"/>
                <w:szCs w:val="15"/>
                <w:color w:val="auto"/>
              </w:rPr>
              <w:t>Purchased Under the Plans</w:t>
            </w:r>
          </w:p>
        </w:tc>
      </w:tr>
      <w:tr>
        <w:trPr>
          <w:trHeight w:val="211"/>
        </w:trPr>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spacing w:after="0" w:line="211" w:lineRule="exact"/>
              <w:rPr>
                <w:sz w:val="20"/>
                <w:szCs w:val="20"/>
                <w:color w:val="auto"/>
              </w:rPr>
            </w:pPr>
            <w:r>
              <w:rPr>
                <w:rFonts w:ascii="Calibri" w:cs="Calibri" w:eastAsia="Calibri" w:hAnsi="Calibri"/>
                <w:sz w:val="15"/>
                <w:szCs w:val="15"/>
                <w:color w:val="auto"/>
              </w:rPr>
              <w:t xml:space="preserve">Shares Purchased </w:t>
            </w:r>
            <w:r>
              <w:rPr>
                <w:rFonts w:ascii="Calibri" w:cs="Calibri" w:eastAsia="Calibri" w:hAnsi="Calibri"/>
                <w:sz w:val="20"/>
                <w:szCs w:val="20"/>
                <w:color w:val="auto"/>
                <w:vertAlign w:val="superscript"/>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per Share</w:t>
            </w:r>
          </w:p>
        </w:tc>
        <w:tc>
          <w:tcPr>
            <w:tcW w:w="2460" w:type="dxa"/>
            <w:vAlign w:val="bottom"/>
          </w:tcPr>
          <w:p>
            <w:pPr>
              <w:jc w:val="right"/>
              <w:spacing w:after="0" w:line="211" w:lineRule="exact"/>
              <w:rPr>
                <w:sz w:val="20"/>
                <w:szCs w:val="20"/>
                <w:color w:val="auto"/>
              </w:rPr>
            </w:pPr>
            <w:r>
              <w:rPr>
                <w:rFonts w:ascii="Calibri" w:cs="Calibri" w:eastAsia="Calibri" w:hAnsi="Calibri"/>
                <w:sz w:val="15"/>
                <w:szCs w:val="15"/>
                <w:color w:val="auto"/>
              </w:rPr>
              <w:t xml:space="preserve">or Programs </w:t>
            </w:r>
            <w:r>
              <w:rPr>
                <w:rFonts w:ascii="Calibri" w:cs="Calibri" w:eastAsia="Calibri" w:hAnsi="Calibri"/>
                <w:sz w:val="20"/>
                <w:szCs w:val="20"/>
                <w:color w:val="auto"/>
                <w:vertAlign w:val="superscript"/>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jc w:val="right"/>
              <w:spacing w:after="0" w:line="211" w:lineRule="exact"/>
              <w:rPr>
                <w:sz w:val="20"/>
                <w:szCs w:val="20"/>
                <w:color w:val="auto"/>
              </w:rPr>
            </w:pPr>
            <w:r>
              <w:rPr>
                <w:rFonts w:ascii="Calibri" w:cs="Calibri" w:eastAsia="Calibri" w:hAnsi="Calibri"/>
                <w:sz w:val="15"/>
                <w:szCs w:val="15"/>
                <w:color w:val="auto"/>
              </w:rPr>
              <w:t xml:space="preserve">or Programs </w:t>
            </w:r>
            <w:r>
              <w:rPr>
                <w:rFonts w:ascii="Calibri" w:cs="Calibri" w:eastAsia="Calibri" w:hAnsi="Calibri"/>
                <w:sz w:val="20"/>
                <w:szCs w:val="20"/>
                <w:color w:val="auto"/>
                <w:vertAlign w:val="superscript"/>
              </w:rPr>
              <w:t>(2)</w:t>
            </w:r>
          </w:p>
        </w:tc>
      </w:tr>
      <w:tr>
        <w:trPr>
          <w:trHeight w:val="177"/>
        </w:trPr>
        <w:tc>
          <w:tcPr>
            <w:tcW w:w="2700" w:type="dxa"/>
            <w:vAlign w:val="bottom"/>
            <w:tcBorders>
              <w:top w:val="single" w:sz="8" w:color="auto"/>
            </w:tcBorders>
          </w:tcPr>
          <w:p>
            <w:pPr>
              <w:ind w:left="20"/>
              <w:spacing w:after="0" w:line="177" w:lineRule="exact"/>
              <w:rPr>
                <w:sz w:val="20"/>
                <w:szCs w:val="20"/>
                <w:color w:val="auto"/>
              </w:rPr>
            </w:pPr>
            <w:r>
              <w:rPr>
                <w:rFonts w:ascii="Calibri" w:cs="Calibri" w:eastAsia="Calibri" w:hAnsi="Calibri"/>
                <w:sz w:val="15"/>
                <w:szCs w:val="15"/>
                <w:color w:val="auto"/>
              </w:rPr>
              <w:t>October 1 - October 31</w:t>
            </w:r>
          </w:p>
        </w:tc>
        <w:tc>
          <w:tcPr>
            <w:tcW w:w="80" w:type="dxa"/>
            <w:vAlign w:val="bottom"/>
          </w:tcPr>
          <w:p>
            <w:pPr>
              <w:spacing w:after="0"/>
              <w:rPr>
                <w:sz w:val="15"/>
                <w:szCs w:val="15"/>
                <w:color w:val="auto"/>
              </w:rPr>
            </w:pPr>
          </w:p>
        </w:tc>
        <w:tc>
          <w:tcPr>
            <w:tcW w:w="19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2</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03"/>
              <w:spacing w:after="0" w:line="177" w:lineRule="exact"/>
              <w:rPr>
                <w:sz w:val="20"/>
                <w:szCs w:val="20"/>
                <w:color w:val="auto"/>
              </w:rPr>
            </w:pPr>
            <w:r>
              <w:rPr>
                <w:rFonts w:ascii="Calibri" w:cs="Calibri" w:eastAsia="Calibri" w:hAnsi="Calibri"/>
                <w:sz w:val="15"/>
                <w:szCs w:val="15"/>
                <w:b w:val="1"/>
                <w:bCs w:val="1"/>
                <w:color w:val="auto"/>
              </w:rPr>
              <w:t>$</w:t>
            </w:r>
          </w:p>
        </w:tc>
        <w:tc>
          <w:tcPr>
            <w:tcW w:w="82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41.42</w:t>
            </w:r>
          </w:p>
        </w:tc>
        <w:tc>
          <w:tcPr>
            <w:tcW w:w="80" w:type="dxa"/>
            <w:vAlign w:val="bottom"/>
          </w:tcPr>
          <w:p>
            <w:pPr>
              <w:spacing w:after="0"/>
              <w:rPr>
                <w:sz w:val="15"/>
                <w:szCs w:val="15"/>
                <w:color w:val="auto"/>
              </w:rPr>
            </w:pPr>
          </w:p>
        </w:tc>
        <w:tc>
          <w:tcPr>
            <w:tcW w:w="246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23"/>
              <w:spacing w:after="0" w:line="177" w:lineRule="exact"/>
              <w:rPr>
                <w:sz w:val="20"/>
                <w:szCs w:val="20"/>
                <w:color w:val="auto"/>
              </w:rPr>
            </w:pPr>
            <w:r>
              <w:rPr>
                <w:rFonts w:ascii="Calibri" w:cs="Calibri" w:eastAsia="Calibri" w:hAnsi="Calibri"/>
                <w:sz w:val="15"/>
                <w:szCs w:val="15"/>
                <w:b w:val="1"/>
                <w:bCs w:val="1"/>
                <w:color w:val="auto"/>
              </w:rPr>
              <w:t>$</w:t>
            </w:r>
          </w:p>
        </w:tc>
        <w:tc>
          <w:tcPr>
            <w:tcW w:w="2300" w:type="dxa"/>
            <w:vAlign w:val="bottom"/>
            <w:tcBorders>
              <w:top w:val="single" w:sz="8" w:color="auto"/>
            </w:tcBorders>
          </w:tcPr>
          <w:p>
            <w:pPr>
              <w:jc w:val="right"/>
              <w:spacing w:after="0" w:line="177" w:lineRule="exact"/>
              <w:rPr>
                <w:sz w:val="20"/>
                <w:szCs w:val="20"/>
                <w:color w:val="auto"/>
              </w:rPr>
            </w:pPr>
            <w:r>
              <w:rPr>
                <w:rFonts w:ascii="Calibri" w:cs="Calibri" w:eastAsia="Calibri" w:hAnsi="Calibri"/>
                <w:sz w:val="15"/>
                <w:szCs w:val="15"/>
                <w:b w:val="1"/>
                <w:bCs w:val="1"/>
                <w:color w:val="auto"/>
              </w:rPr>
              <w:t>568,068</w:t>
            </w:r>
          </w:p>
        </w:tc>
      </w:tr>
      <w:tr>
        <w:trPr>
          <w:trHeight w:val="22"/>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86"/>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Calibri" w:cs="Calibri" w:eastAsia="Calibri" w:hAnsi="Calibri"/>
                <w:sz w:val="15"/>
                <w:szCs w:val="15"/>
                <w:color w:val="auto"/>
              </w:rPr>
              <w:t>November 1 - November 30</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2,588</w:t>
            </w:r>
          </w:p>
        </w:tc>
        <w:tc>
          <w:tcPr>
            <w:tcW w:w="3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Calibri" w:cs="Calibri" w:eastAsia="Calibri" w:hAnsi="Calibri"/>
                <w:sz w:val="15"/>
                <w:szCs w:val="15"/>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45.55</w:t>
            </w:r>
          </w:p>
        </w:tc>
        <w:tc>
          <w:tcPr>
            <w:tcW w:w="8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2,588</w:t>
            </w:r>
          </w:p>
        </w:tc>
        <w:tc>
          <w:tcPr>
            <w:tcW w:w="500" w:type="dxa"/>
            <w:vAlign w:val="bottom"/>
            <w:tcBorders>
              <w:bottom w:val="single" w:sz="8" w:color="CCEEFF"/>
            </w:tcBorders>
            <w:gridSpan w:val="2"/>
            <w:shd w:val="clear" w:color="auto" w:fill="CCEEFF"/>
          </w:tcPr>
          <w:p>
            <w:pPr>
              <w:jc w:val="right"/>
              <w:ind w:right="223"/>
              <w:spacing w:after="0"/>
              <w:rPr>
                <w:sz w:val="20"/>
                <w:szCs w:val="20"/>
                <w:color w:val="auto"/>
              </w:rPr>
            </w:pPr>
            <w:r>
              <w:rPr>
                <w:rFonts w:ascii="Calibri" w:cs="Calibri" w:eastAsia="Calibri" w:hAnsi="Calibri"/>
                <w:sz w:val="15"/>
                <w:szCs w:val="15"/>
                <w:b w:val="1"/>
                <w:bCs w:val="1"/>
                <w:color w:val="auto"/>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5"/>
                <w:szCs w:val="15"/>
                <w:b w:val="1"/>
                <w:bCs w:val="1"/>
                <w:color w:val="auto"/>
              </w:rPr>
              <w:t>450,190</w:t>
            </w:r>
          </w:p>
        </w:tc>
      </w:tr>
      <w:tr>
        <w:trPr>
          <w:trHeight w:val="184"/>
        </w:trPr>
        <w:tc>
          <w:tcPr>
            <w:tcW w:w="2780" w:type="dxa"/>
            <w:vAlign w:val="bottom"/>
            <w:gridSpan w:val="2"/>
          </w:tcPr>
          <w:p>
            <w:pPr>
              <w:ind w:left="20"/>
              <w:spacing w:after="0"/>
              <w:rPr>
                <w:sz w:val="20"/>
                <w:szCs w:val="20"/>
                <w:color w:val="auto"/>
              </w:rPr>
            </w:pPr>
            <w:r>
              <w:rPr>
                <w:rFonts w:ascii="Calibri" w:cs="Calibri" w:eastAsia="Calibri" w:hAnsi="Calibri"/>
                <w:sz w:val="15"/>
                <w:szCs w:val="15"/>
                <w:color w:val="auto"/>
              </w:rPr>
              <w:t>December 1 - December 31</w:t>
            </w:r>
          </w:p>
        </w:tc>
        <w:tc>
          <w:tcPr>
            <w:tcW w:w="1920" w:type="dxa"/>
            <w:vAlign w:val="bottom"/>
          </w:tcPr>
          <w:p>
            <w:pPr>
              <w:jc w:val="right"/>
              <w:spacing w:after="0"/>
              <w:rPr>
                <w:sz w:val="20"/>
                <w:szCs w:val="20"/>
                <w:color w:val="auto"/>
              </w:rPr>
            </w:pPr>
            <w:r>
              <w:rPr>
                <w:rFonts w:ascii="Calibri" w:cs="Calibri" w:eastAsia="Calibri" w:hAnsi="Calibri"/>
                <w:sz w:val="15"/>
                <w:szCs w:val="15"/>
                <w:b w:val="1"/>
                <w:bCs w:val="1"/>
                <w:color w:val="auto"/>
              </w:rPr>
              <w:t>2,168</w:t>
            </w:r>
          </w:p>
        </w:tc>
        <w:tc>
          <w:tcPr>
            <w:tcW w:w="380" w:type="dxa"/>
            <w:vAlign w:val="bottom"/>
            <w:gridSpan w:val="2"/>
          </w:tcPr>
          <w:p>
            <w:pPr>
              <w:jc w:val="right"/>
              <w:ind w:right="103"/>
              <w:spacing w:after="0"/>
              <w:rPr>
                <w:sz w:val="20"/>
                <w:szCs w:val="20"/>
                <w:color w:val="auto"/>
              </w:rPr>
            </w:pPr>
            <w:r>
              <w:rPr>
                <w:rFonts w:ascii="Calibri" w:cs="Calibri" w:eastAsia="Calibri" w:hAnsi="Calibri"/>
                <w:sz w:val="15"/>
                <w:szCs w:val="15"/>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5"/>
                <w:szCs w:val="15"/>
                <w:b w:val="1"/>
                <w:bCs w:val="1"/>
                <w:color w:val="auto"/>
              </w:rPr>
              <w:t>46.23</w:t>
            </w:r>
          </w:p>
        </w:tc>
        <w:tc>
          <w:tcPr>
            <w:tcW w:w="8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Calibri" w:cs="Calibri" w:eastAsia="Calibri" w:hAnsi="Calibri"/>
                <w:sz w:val="15"/>
                <w:szCs w:val="15"/>
                <w:b w:val="1"/>
                <w:bCs w:val="1"/>
                <w:color w:val="auto"/>
              </w:rPr>
              <w:t>2,167</w:t>
            </w:r>
          </w:p>
        </w:tc>
        <w:tc>
          <w:tcPr>
            <w:tcW w:w="500" w:type="dxa"/>
            <w:vAlign w:val="bottom"/>
            <w:gridSpan w:val="2"/>
          </w:tcPr>
          <w:p>
            <w:pPr>
              <w:jc w:val="right"/>
              <w:ind w:right="223"/>
              <w:spacing w:after="0"/>
              <w:rPr>
                <w:sz w:val="20"/>
                <w:szCs w:val="20"/>
                <w:color w:val="auto"/>
              </w:rPr>
            </w:pPr>
            <w:r>
              <w:rPr>
                <w:rFonts w:ascii="Calibri" w:cs="Calibri" w:eastAsia="Calibri" w:hAnsi="Calibri"/>
                <w:sz w:val="15"/>
                <w:szCs w:val="15"/>
                <w:b w:val="1"/>
                <w:bCs w:val="1"/>
                <w:color w:val="auto"/>
              </w:rPr>
              <w:t>$</w:t>
            </w:r>
          </w:p>
        </w:tc>
        <w:tc>
          <w:tcPr>
            <w:tcW w:w="2300" w:type="dxa"/>
            <w:vAlign w:val="bottom"/>
          </w:tcPr>
          <w:p>
            <w:pPr>
              <w:jc w:val="right"/>
              <w:spacing w:after="0"/>
              <w:rPr>
                <w:sz w:val="20"/>
                <w:szCs w:val="20"/>
                <w:color w:val="auto"/>
              </w:rPr>
            </w:pPr>
            <w:r>
              <w:rPr>
                <w:rFonts w:ascii="Calibri" w:cs="Calibri" w:eastAsia="Calibri" w:hAnsi="Calibri"/>
                <w:sz w:val="15"/>
                <w:szCs w:val="15"/>
                <w:b w:val="1"/>
                <w:bCs w:val="1"/>
                <w:color w:val="auto"/>
              </w:rPr>
              <w:t>350,000</w:t>
            </w:r>
          </w:p>
        </w:tc>
      </w:tr>
      <w:tr>
        <w:trPr>
          <w:trHeight w:val="22"/>
        </w:trPr>
        <w:tc>
          <w:tcPr>
            <w:tcW w:w="2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r>
      <w:tr>
        <w:trPr>
          <w:trHeight w:val="199"/>
        </w:trPr>
        <w:tc>
          <w:tcPr>
            <w:tcW w:w="2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4,758</w:t>
            </w:r>
          </w:p>
        </w:tc>
        <w:tc>
          <w:tcPr>
            <w:tcW w:w="380" w:type="dxa"/>
            <w:vAlign w:val="bottom"/>
            <w:tcBorders>
              <w:bottom w:val="single" w:sz="8" w:color="CCEEFF"/>
            </w:tcBorders>
            <w:gridSpan w:val="2"/>
            <w:shd w:val="clear" w:color="auto" w:fill="CCEEFF"/>
          </w:tcPr>
          <w:p>
            <w:pPr>
              <w:jc w:val="right"/>
              <w:ind w:right="103"/>
              <w:spacing w:after="0" w:line="173" w:lineRule="exact"/>
              <w:rPr>
                <w:sz w:val="20"/>
                <w:szCs w:val="20"/>
                <w:color w:val="auto"/>
              </w:rPr>
            </w:pPr>
            <w:r>
              <w:rPr>
                <w:rFonts w:ascii="Calibri" w:cs="Calibri" w:eastAsia="Calibri" w:hAnsi="Calibri"/>
                <w:sz w:val="15"/>
                <w:szCs w:val="15"/>
                <w:b w:val="1"/>
                <w:bCs w:val="1"/>
                <w:color w:val="auto"/>
              </w:rPr>
              <w:t>$</w:t>
            </w:r>
          </w:p>
        </w:tc>
        <w:tc>
          <w:tcPr>
            <w:tcW w:w="820" w:type="dxa"/>
            <w:vAlign w:val="bottom"/>
            <w:tcBorders>
              <w:bottom w:val="single" w:sz="8" w:color="CCEEFF"/>
            </w:tcBorders>
            <w:shd w:val="clear" w:color="auto" w:fill="CCEEFF"/>
          </w:tcPr>
          <w:p>
            <w:pPr>
              <w:jc w:val="right"/>
              <w:spacing w:after="0" w:line="173" w:lineRule="exact"/>
              <w:rPr>
                <w:sz w:val="20"/>
                <w:szCs w:val="20"/>
                <w:color w:val="auto"/>
              </w:rPr>
            </w:pPr>
            <w:r>
              <w:rPr>
                <w:rFonts w:ascii="Calibri" w:cs="Calibri" w:eastAsia="Calibri" w:hAnsi="Calibri"/>
                <w:sz w:val="15"/>
                <w:szCs w:val="15"/>
                <w:b w:val="1"/>
                <w:bCs w:val="1"/>
                <w:color w:val="auto"/>
              </w:rPr>
              <w:t>45.86</w:t>
            </w:r>
          </w:p>
        </w:tc>
        <w:tc>
          <w:tcPr>
            <w:tcW w:w="8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right"/>
              <w:spacing w:after="0" w:line="177" w:lineRule="exact"/>
              <w:rPr>
                <w:sz w:val="20"/>
                <w:szCs w:val="20"/>
                <w:color w:val="auto"/>
              </w:rPr>
            </w:pPr>
            <w:r>
              <w:rPr>
                <w:rFonts w:ascii="Calibri" w:cs="Calibri" w:eastAsia="Calibri" w:hAnsi="Calibri"/>
                <w:sz w:val="15"/>
                <w:szCs w:val="15"/>
                <w:b w:val="1"/>
                <w:bCs w:val="1"/>
                <w:color w:val="auto"/>
              </w:rPr>
              <w:t>4,755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spacing w:after="0"/>
              <w:rPr>
                <w:sz w:val="17"/>
                <w:szCs w:val="17"/>
                <w:color w:val="auto"/>
              </w:rPr>
            </w:pPr>
          </w:p>
        </w:tc>
      </w:tr>
      <w:tr>
        <w:trPr>
          <w:trHeight w:val="32"/>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bl>
    <w:p>
      <w:pPr>
        <w:spacing w:after="0" w:line="8" w:lineRule="exact"/>
        <w:rPr>
          <w:sz w:val="20"/>
          <w:szCs w:val="20"/>
          <w:color w:val="auto"/>
        </w:rPr>
      </w:pPr>
    </w:p>
    <w:p>
      <w:pPr>
        <w:ind w:left="160" w:hanging="157"/>
        <w:spacing w:after="0"/>
        <w:tabs>
          <w:tab w:leader="none" w:pos="160" w:val="left"/>
        </w:tabs>
        <w:numPr>
          <w:ilvl w:val="0"/>
          <w:numId w:val="20"/>
        </w:numPr>
        <w:rPr>
          <w:rFonts w:ascii="Calibri" w:cs="Calibri" w:eastAsia="Calibri" w:hAnsi="Calibri"/>
          <w:sz w:val="18"/>
          <w:szCs w:val="18"/>
          <w:color w:val="auto"/>
          <w:vertAlign w:val="superscript"/>
        </w:rPr>
      </w:pPr>
      <w:r>
        <w:rPr>
          <w:rFonts w:ascii="Calibri" w:cs="Calibri" w:eastAsia="Calibri" w:hAnsi="Calibri"/>
          <w:sz w:val="14"/>
          <w:szCs w:val="14"/>
          <w:color w:val="auto"/>
        </w:rPr>
        <w:t>We purchased approximately 3 thousand shares in connecton with funding employee income tax withholding obligatons arising upon the lapse of restrictons on restricted share units.</w:t>
      </w:r>
    </w:p>
    <w:p>
      <w:pPr>
        <w:spacing w:after="0" w:line="30" w:lineRule="exact"/>
        <w:rPr>
          <w:rFonts w:ascii="Calibri" w:cs="Calibri" w:eastAsia="Calibri" w:hAnsi="Calibri"/>
          <w:sz w:val="18"/>
          <w:szCs w:val="18"/>
          <w:color w:val="auto"/>
          <w:vertAlign w:val="superscript"/>
        </w:rPr>
      </w:pPr>
    </w:p>
    <w:p>
      <w:pPr>
        <w:ind w:left="160" w:hanging="157"/>
        <w:spacing w:after="0" w:line="192" w:lineRule="auto"/>
        <w:tabs>
          <w:tab w:leader="none" w:pos="160" w:val="left"/>
        </w:tabs>
        <w:numPr>
          <w:ilvl w:val="0"/>
          <w:numId w:val="20"/>
        </w:numPr>
        <w:rPr>
          <w:rFonts w:ascii="Calibri" w:cs="Calibri" w:eastAsia="Calibri" w:hAnsi="Calibri"/>
          <w:sz w:val="14"/>
          <w:szCs w:val="14"/>
          <w:color w:val="auto"/>
          <w:vertAlign w:val="superscript"/>
        </w:rPr>
      </w:pPr>
      <w:r>
        <w:rPr>
          <w:rFonts w:ascii="Calibri" w:cs="Calibri" w:eastAsia="Calibri" w:hAnsi="Calibri"/>
          <w:sz w:val="11"/>
          <w:szCs w:val="11"/>
          <w:color w:val="auto"/>
        </w:rPr>
        <w:t>In August 2022, we announced that our Board of Directors approved a $1.25 billion share repurchase program, efectve through June 2025.</w:t>
      </w:r>
    </w:p>
    <w:p>
      <w:pPr>
        <w:spacing w:after="0" w:line="81"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3.</w:t>
        <w:tab/>
        <w:t>DEFAULTS UPON SENIOR SECURITIES</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color w:val="auto"/>
        </w:rPr>
        <w:t>None.</w:t>
      </w:r>
    </w:p>
    <w:p>
      <w:pPr>
        <w:spacing w:after="0" w:line="86"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4.</w:t>
        <w:tab/>
        <w:t>MINE SAFETY DISCLOSURES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Not applicable.</w:t>
      </w:r>
    </w:p>
    <w:p>
      <w:pPr>
        <w:spacing w:after="0" w:line="86"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5.</w:t>
        <w:tab/>
        <w:t>OTHER INFORMATION</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Director and Secton 16 Ofcer Trading Arrangements</w:t>
      </w:r>
    </w:p>
    <w:p>
      <w:pPr>
        <w:spacing w:after="0" w:line="105" w:lineRule="exact"/>
        <w:rPr>
          <w:sz w:val="20"/>
          <w:szCs w:val="20"/>
          <w:color w:val="auto"/>
        </w:rPr>
      </w:pPr>
    </w:p>
    <w:p>
      <w:pPr>
        <w:jc w:val="both"/>
        <w:spacing w:after="0" w:line="238" w:lineRule="auto"/>
        <w:rPr>
          <w:sz w:val="20"/>
          <w:szCs w:val="20"/>
          <w:color w:val="auto"/>
        </w:rPr>
      </w:pPr>
      <w:r>
        <w:rPr>
          <w:rFonts w:ascii="Calibri" w:cs="Calibri" w:eastAsia="Calibri" w:hAnsi="Calibri"/>
          <w:sz w:val="17"/>
          <w:szCs w:val="17"/>
          <w:color w:val="auto"/>
        </w:rPr>
        <w:t>On November 14, 2023, Jefrey J. Jones II, President, Chief Executve Ofcer and Director, adopted a Rule 10b5-1 plan (“Rule 10b5-1 Plan”) intended to satsfy the afrmatve defense conditons of Rule 10b5-1(c) under the Exchange Act. Mr. Jones’s Rule 10b5-1 Plan provides for the sale of up to 155,556 shares of the Company’s common stock, pursuant to the terms of the Rule 10b5-1 Plan. The Rule 10b5-1 Plan expires on November 12, 2024, or upon the earlier completon of all authorized transactons under such Rule 10b5-1 Plan.</w:t>
      </w:r>
    </w:p>
    <w:p>
      <w:pPr>
        <w:spacing w:after="0" w:line="105" w:lineRule="exact"/>
        <w:rPr>
          <w:sz w:val="20"/>
          <w:szCs w:val="20"/>
          <w:color w:val="auto"/>
        </w:rPr>
      </w:pPr>
    </w:p>
    <w:p>
      <w:pPr>
        <w:jc w:val="both"/>
        <w:spacing w:after="0" w:line="237" w:lineRule="auto"/>
        <w:rPr>
          <w:sz w:val="20"/>
          <w:szCs w:val="20"/>
          <w:color w:val="auto"/>
        </w:rPr>
      </w:pPr>
      <w:r>
        <w:rPr>
          <w:rFonts w:ascii="Calibri" w:cs="Calibri" w:eastAsia="Calibri" w:hAnsi="Calibri"/>
          <w:sz w:val="17"/>
          <w:szCs w:val="17"/>
          <w:color w:val="auto"/>
        </w:rPr>
        <w:t>No other director or Secton 16 ofcer adopted or terminated a "Rule 10b5-1 trading arrangement" or "non-Rule 10b5-1 trading arrangement," as each term is defned in Item 408(a) of Regulaton S-K, during the three months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hanging="259"/>
        <w:spacing w:after="0"/>
        <w:tabs>
          <w:tab w:leader="none" w:pos="360" w:val="left"/>
        </w:tabs>
        <w:numPr>
          <w:ilvl w:val="0"/>
          <w:numId w:val="21"/>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960" w:val="left"/>
        </w:tabs>
        <w:rPr>
          <w:sz w:val="20"/>
          <w:szCs w:val="20"/>
          <w:color w:val="auto"/>
        </w:rPr>
      </w:pPr>
      <w:r>
        <w:rPr>
          <w:rFonts w:ascii="Calibri" w:cs="Calibri" w:eastAsia="Calibri" w:hAnsi="Calibri"/>
          <w:sz w:val="24"/>
          <w:szCs w:val="24"/>
          <w:b w:val="1"/>
          <w:bCs w:val="1"/>
          <w:color w:val="14AA40"/>
        </w:rPr>
        <w:t>ITEM 6.</w:t>
        <w:tab/>
        <w:t>EXHIBITS</w:t>
      </w:r>
    </w:p>
    <w:p>
      <w:pPr>
        <w:spacing w:after="0" w:line="58"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exhibits are numbered in accordance with the Exhibit Table of Item 601 of Regulaton S-K:</w:t>
      </w:r>
    </w:p>
    <w:p>
      <w:pPr>
        <w:spacing w:after="0" w:line="40" w:lineRule="exact"/>
        <w:rPr>
          <w:sz w:val="20"/>
          <w:szCs w:val="20"/>
          <w:color w:val="auto"/>
        </w:rPr>
      </w:pPr>
    </w:p>
    <w:p>
      <w:pPr>
        <w:ind w:left="1060" w:right="60" w:hanging="1040"/>
        <w:spacing w:after="0" w:line="230" w:lineRule="auto"/>
        <w:tabs>
          <w:tab w:leader="none" w:pos="1060" w:val="left"/>
        </w:tabs>
        <w:numPr>
          <w:ilvl w:val="0"/>
          <w:numId w:val="22"/>
        </w:numPr>
        <w:rPr>
          <w:rFonts w:ascii="Calibri" w:cs="Calibri" w:eastAsia="Calibri" w:hAnsi="Calibri"/>
          <w:sz w:val="17"/>
          <w:szCs w:val="17"/>
          <w:u w:val="single" w:color="auto"/>
          <w:color w:val="0000FF"/>
        </w:rPr>
      </w:pPr>
      <w:hyperlink r:id="rId75">
        <w:r>
          <w:rPr>
            <w:rFonts w:ascii="Calibri" w:cs="Calibri" w:eastAsia="Calibri" w:hAnsi="Calibri"/>
            <w:sz w:val="17"/>
            <w:szCs w:val="17"/>
            <w:u w:val="single" w:color="auto"/>
            <w:color w:val="0000FF"/>
          </w:rPr>
          <w:t>List of Guarantor and Issuer Subsidiaries, fled as Exhibit 22 to the Company’s Annual Report on Form 10-K for the year ended June 30, 2023, fle</w:t>
        </w:r>
      </w:hyperlink>
      <w:r>
        <w:rPr>
          <w:rFonts w:ascii="Calibri" w:cs="Calibri" w:eastAsia="Calibri" w:hAnsi="Calibri"/>
          <w:sz w:val="17"/>
          <w:szCs w:val="17"/>
          <w:u w:val="single" w:color="auto"/>
          <w:color w:val="0000FF"/>
        </w:rPr>
        <w:t xml:space="preserve"> </w:t>
      </w:r>
      <w:hyperlink r:id="rId75">
        <w:r>
          <w:rPr>
            <w:rFonts w:ascii="Calibri" w:cs="Calibri" w:eastAsia="Calibri" w:hAnsi="Calibri"/>
            <w:sz w:val="17"/>
            <w:szCs w:val="17"/>
            <w:u w:val="single" w:color="auto"/>
            <w:color w:val="0000FF"/>
          </w:rPr>
          <w:t>number 1-06089, is incorporated herein by reference.</w:t>
        </w:r>
      </w:hyperlink>
    </w:p>
    <w:p>
      <w:pPr>
        <w:spacing w:after="0" w:line="9" w:lineRule="exact"/>
        <w:rPr>
          <w:rFonts w:ascii="Calibri" w:cs="Calibri" w:eastAsia="Calibri" w:hAnsi="Calibri"/>
          <w:sz w:val="17"/>
          <w:szCs w:val="17"/>
          <w:u w:val="single" w:color="auto"/>
          <w:color w:val="0000FF"/>
        </w:rPr>
      </w:pPr>
    </w:p>
    <w:tbl>
      <w:tblPr>
        <w:tblLayout w:type="fixed"/>
        <w:tblInd w:w="0" w:type="dxa"/>
        <w:tblCellMar>
          <w:top w:w="0" w:type="dxa"/>
          <w:left w:w="0" w:type="dxa"/>
          <w:bottom w:w="0" w:type="dxa"/>
          <w:right w:w="0" w:type="dxa"/>
        </w:tblCellMar>
      </w:tblPr>
      <w:tr>
        <w:trPr>
          <w:trHeight w:val="208"/>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Calibri" w:cs="Calibri" w:eastAsia="Calibri" w:hAnsi="Calibri"/>
                <w:sz w:val="17"/>
                <w:szCs w:val="17"/>
                <w:color w:val="0000FF"/>
                <w:w w:val="92"/>
              </w:rPr>
              <w:t>31.</w:t>
            </w:r>
            <w:r>
              <w:rPr>
                <w:rFonts w:ascii="Calibri" w:cs="Calibri" w:eastAsia="Calibri" w:hAnsi="Calibri"/>
                <w:sz w:val="17"/>
                <w:szCs w:val="17"/>
                <w:u w:val="single" w:color="auto"/>
                <w:color w:val="0000FF"/>
                <w:w w:val="92"/>
              </w:rPr>
              <w:t>1</w:t>
            </w:r>
          </w:p>
        </w:tc>
        <w:tc>
          <w:tcPr>
            <w:tcW w:w="500" w:type="dxa"/>
            <w:vAlign w:val="bottom"/>
            <w:shd w:val="clear" w:color="auto" w:fill="CCEEFF"/>
          </w:tcPr>
          <w:p>
            <w:pPr>
              <w:spacing w:after="0"/>
              <w:rPr>
                <w:sz w:val="18"/>
                <w:szCs w:val="18"/>
                <w:color w:val="auto"/>
              </w:rPr>
            </w:pPr>
          </w:p>
        </w:tc>
        <w:tc>
          <w:tcPr>
            <w:tcW w:w="10280" w:type="dxa"/>
            <w:vAlign w:val="bottom"/>
            <w:gridSpan w:val="6"/>
            <w:shd w:val="clear" w:color="auto" w:fill="CCEEFF"/>
          </w:tcPr>
          <w:p>
            <w:pPr>
              <w:ind w:left="240"/>
              <w:spacing w:after="0"/>
              <w:rPr>
                <w:sz w:val="20"/>
                <w:szCs w:val="20"/>
                <w:color w:val="auto"/>
              </w:rPr>
            </w:pPr>
            <w:r>
              <w:rPr>
                <w:rFonts w:ascii="Calibri" w:cs="Calibri" w:eastAsia="Calibri" w:hAnsi="Calibri"/>
                <w:sz w:val="17"/>
                <w:szCs w:val="17"/>
                <w:color w:val="0000FF"/>
              </w:rPr>
              <w:t>Certfcaton by Chief Executve Ofcer pursuant to Secton 302 of the Sarbanes-Oxley Act of 2002.</w:t>
            </w: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r>
      <w:tr>
        <w:trPr>
          <w:trHeight w:val="168"/>
        </w:trPr>
        <w:tc>
          <w:tcPr>
            <w:tcW w:w="20" w:type="dxa"/>
            <w:vAlign w:val="bottom"/>
          </w:tcPr>
          <w:p>
            <w:pPr>
              <w:spacing w:after="0"/>
              <w:rPr>
                <w:sz w:val="14"/>
                <w:szCs w:val="14"/>
                <w:color w:val="auto"/>
              </w:rPr>
            </w:pPr>
          </w:p>
        </w:tc>
        <w:tc>
          <w:tcPr>
            <w:tcW w:w="300" w:type="dxa"/>
            <w:vAlign w:val="bottom"/>
          </w:tcPr>
          <w:p>
            <w:pPr>
              <w:spacing w:after="0" w:line="167" w:lineRule="exact"/>
              <w:rPr>
                <w:sz w:val="20"/>
                <w:szCs w:val="20"/>
                <w:color w:val="auto"/>
              </w:rPr>
            </w:pPr>
            <w:r>
              <w:rPr>
                <w:rFonts w:ascii="Calibri" w:cs="Calibri" w:eastAsia="Calibri" w:hAnsi="Calibri"/>
                <w:sz w:val="17"/>
                <w:szCs w:val="17"/>
                <w:color w:val="0000FF"/>
                <w:w w:val="92"/>
              </w:rPr>
              <w:t>31.</w:t>
            </w:r>
            <w:r>
              <w:rPr>
                <w:rFonts w:ascii="Calibri" w:cs="Calibri" w:eastAsia="Calibri" w:hAnsi="Calibri"/>
                <w:sz w:val="17"/>
                <w:szCs w:val="17"/>
                <w:u w:val="single" w:color="auto"/>
                <w:color w:val="0000FF"/>
                <w:w w:val="92"/>
              </w:rPr>
              <w:t>2</w:t>
            </w:r>
          </w:p>
        </w:tc>
        <w:tc>
          <w:tcPr>
            <w:tcW w:w="500" w:type="dxa"/>
            <w:vAlign w:val="bottom"/>
          </w:tcPr>
          <w:p>
            <w:pPr>
              <w:spacing w:after="0"/>
              <w:rPr>
                <w:sz w:val="14"/>
                <w:szCs w:val="14"/>
                <w:color w:val="auto"/>
              </w:rPr>
            </w:pPr>
          </w:p>
        </w:tc>
        <w:tc>
          <w:tcPr>
            <w:tcW w:w="10280" w:type="dxa"/>
            <w:vAlign w:val="bottom"/>
            <w:gridSpan w:val="6"/>
          </w:tcPr>
          <w:p>
            <w:pPr>
              <w:ind w:left="240"/>
              <w:spacing w:after="0" w:line="167" w:lineRule="exact"/>
              <w:rPr>
                <w:sz w:val="20"/>
                <w:szCs w:val="20"/>
                <w:color w:val="auto"/>
              </w:rPr>
            </w:pPr>
            <w:r>
              <w:rPr>
                <w:rFonts w:ascii="Calibri" w:cs="Calibri" w:eastAsia="Calibri" w:hAnsi="Calibri"/>
                <w:sz w:val="17"/>
                <w:szCs w:val="17"/>
                <w:color w:val="0000FF"/>
              </w:rPr>
              <w:t>Certfcaton by Chief Financial Ofcer pursuant to Secton 302 of the Sarbanes-Oxley Act of 2002.</w:t>
            </w:r>
          </w:p>
        </w:tc>
      </w:tr>
      <w:tr>
        <w:trPr>
          <w:trHeight w:val="32"/>
        </w:trPr>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68"/>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line="167" w:lineRule="exact"/>
              <w:rPr>
                <w:sz w:val="20"/>
                <w:szCs w:val="20"/>
                <w:color w:val="auto"/>
              </w:rPr>
            </w:pPr>
            <w:r>
              <w:rPr>
                <w:rFonts w:ascii="Calibri" w:cs="Calibri" w:eastAsia="Calibri" w:hAnsi="Calibri"/>
                <w:sz w:val="17"/>
                <w:szCs w:val="17"/>
                <w:color w:val="0000FF"/>
                <w:w w:val="92"/>
              </w:rPr>
              <w:t>32.</w:t>
            </w:r>
            <w:r>
              <w:rPr>
                <w:rFonts w:ascii="Calibri" w:cs="Calibri" w:eastAsia="Calibri" w:hAnsi="Calibri"/>
                <w:sz w:val="17"/>
                <w:szCs w:val="17"/>
                <w:u w:val="single" w:color="auto"/>
                <w:color w:val="0000FF"/>
                <w:w w:val="92"/>
              </w:rPr>
              <w:t>1</w:t>
            </w:r>
          </w:p>
        </w:tc>
        <w:tc>
          <w:tcPr>
            <w:tcW w:w="500" w:type="dxa"/>
            <w:vAlign w:val="bottom"/>
            <w:shd w:val="clear" w:color="auto" w:fill="CCEEFF"/>
          </w:tcPr>
          <w:p>
            <w:pPr>
              <w:spacing w:after="0"/>
              <w:rPr>
                <w:sz w:val="14"/>
                <w:szCs w:val="14"/>
                <w:color w:val="auto"/>
              </w:rPr>
            </w:pPr>
          </w:p>
        </w:tc>
        <w:tc>
          <w:tcPr>
            <w:tcW w:w="10280" w:type="dxa"/>
            <w:vAlign w:val="bottom"/>
            <w:gridSpan w:val="6"/>
            <w:shd w:val="clear" w:color="auto" w:fill="CCEEFF"/>
          </w:tcPr>
          <w:p>
            <w:pPr>
              <w:ind w:left="240"/>
              <w:spacing w:after="0" w:line="167" w:lineRule="exact"/>
              <w:rPr>
                <w:sz w:val="20"/>
                <w:szCs w:val="20"/>
                <w:color w:val="auto"/>
              </w:rPr>
            </w:pPr>
            <w:r>
              <w:rPr>
                <w:rFonts w:ascii="Calibri" w:cs="Calibri" w:eastAsia="Calibri" w:hAnsi="Calibri"/>
                <w:sz w:val="17"/>
                <w:szCs w:val="17"/>
                <w:color w:val="0000FF"/>
              </w:rPr>
              <w:t>Certfcaton by Chief Executve Ofcer pursuant to 18 U.S.C. 1350, as adopted by Secton 906 of the Sarbanes-Oxley Act of 2002.</w:t>
            </w: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r>
      <w:tr>
        <w:trPr>
          <w:trHeight w:val="168"/>
        </w:trPr>
        <w:tc>
          <w:tcPr>
            <w:tcW w:w="20" w:type="dxa"/>
            <w:vAlign w:val="bottom"/>
          </w:tcPr>
          <w:p>
            <w:pPr>
              <w:spacing w:after="0"/>
              <w:rPr>
                <w:sz w:val="14"/>
                <w:szCs w:val="14"/>
                <w:color w:val="auto"/>
              </w:rPr>
            </w:pPr>
          </w:p>
        </w:tc>
        <w:tc>
          <w:tcPr>
            <w:tcW w:w="300" w:type="dxa"/>
            <w:vAlign w:val="bottom"/>
          </w:tcPr>
          <w:p>
            <w:pPr>
              <w:spacing w:after="0" w:line="167" w:lineRule="exact"/>
              <w:rPr>
                <w:sz w:val="20"/>
                <w:szCs w:val="20"/>
                <w:color w:val="auto"/>
              </w:rPr>
            </w:pPr>
            <w:r>
              <w:rPr>
                <w:rFonts w:ascii="Calibri" w:cs="Calibri" w:eastAsia="Calibri" w:hAnsi="Calibri"/>
                <w:sz w:val="17"/>
                <w:szCs w:val="17"/>
                <w:color w:val="0000FF"/>
                <w:w w:val="92"/>
              </w:rPr>
              <w:t>32.</w:t>
            </w:r>
            <w:r>
              <w:rPr>
                <w:rFonts w:ascii="Calibri" w:cs="Calibri" w:eastAsia="Calibri" w:hAnsi="Calibri"/>
                <w:sz w:val="17"/>
                <w:szCs w:val="17"/>
                <w:u w:val="single" w:color="auto"/>
                <w:color w:val="0000FF"/>
                <w:w w:val="92"/>
              </w:rPr>
              <w:t>2</w:t>
            </w:r>
          </w:p>
        </w:tc>
        <w:tc>
          <w:tcPr>
            <w:tcW w:w="500" w:type="dxa"/>
            <w:vAlign w:val="bottom"/>
          </w:tcPr>
          <w:p>
            <w:pPr>
              <w:spacing w:after="0"/>
              <w:rPr>
                <w:sz w:val="14"/>
                <w:szCs w:val="14"/>
                <w:color w:val="auto"/>
              </w:rPr>
            </w:pPr>
          </w:p>
        </w:tc>
        <w:tc>
          <w:tcPr>
            <w:tcW w:w="10280" w:type="dxa"/>
            <w:vAlign w:val="bottom"/>
            <w:gridSpan w:val="6"/>
          </w:tcPr>
          <w:p>
            <w:pPr>
              <w:ind w:left="240"/>
              <w:spacing w:after="0" w:line="167" w:lineRule="exact"/>
              <w:rPr>
                <w:sz w:val="20"/>
                <w:szCs w:val="20"/>
                <w:color w:val="auto"/>
              </w:rPr>
            </w:pPr>
            <w:r>
              <w:rPr>
                <w:rFonts w:ascii="Calibri" w:cs="Calibri" w:eastAsia="Calibri" w:hAnsi="Calibri"/>
                <w:sz w:val="17"/>
                <w:szCs w:val="17"/>
                <w:color w:val="0000FF"/>
              </w:rPr>
              <w:t>Certfcaton by Chief Financial Ofcer pursuant to 18 U.S.C. 1350, as adopted by Secton 906 of the Sarbanes-Oxley Act of 2002.</w:t>
            </w:r>
          </w:p>
        </w:tc>
      </w:tr>
      <w:tr>
        <w:trPr>
          <w:trHeight w:val="32"/>
        </w:trPr>
        <w:tc>
          <w:tcPr>
            <w:tcW w:w="2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2"/>
        </w:trPr>
        <w:tc>
          <w:tcPr>
            <w:tcW w:w="820" w:type="dxa"/>
            <w:vAlign w:val="bottom"/>
            <w:gridSpan w:val="3"/>
            <w:shd w:val="clear" w:color="auto" w:fill="CCEEFF"/>
          </w:tcPr>
          <w:p>
            <w:pPr>
              <w:ind w:left="20"/>
              <w:spacing w:after="0" w:line="173" w:lineRule="exact"/>
              <w:rPr>
                <w:sz w:val="20"/>
                <w:szCs w:val="20"/>
                <w:color w:val="auto"/>
              </w:rPr>
            </w:pPr>
            <w:r>
              <w:rPr>
                <w:rFonts w:ascii="Calibri" w:cs="Calibri" w:eastAsia="Calibri" w:hAnsi="Calibri"/>
                <w:sz w:val="17"/>
                <w:szCs w:val="17"/>
                <w:color w:val="auto"/>
              </w:rPr>
              <w:t>101.INS</w:t>
            </w:r>
          </w:p>
        </w:tc>
        <w:tc>
          <w:tcPr>
            <w:tcW w:w="10280" w:type="dxa"/>
            <w:vAlign w:val="bottom"/>
            <w:gridSpan w:val="6"/>
            <w:shd w:val="clear" w:color="auto" w:fill="CCEEFF"/>
          </w:tcPr>
          <w:p>
            <w:pPr>
              <w:ind w:left="240"/>
              <w:spacing w:after="0" w:line="173" w:lineRule="exact"/>
              <w:rPr>
                <w:sz w:val="20"/>
                <w:szCs w:val="20"/>
                <w:color w:val="auto"/>
              </w:rPr>
            </w:pPr>
            <w:r>
              <w:rPr>
                <w:rFonts w:ascii="Calibri" w:cs="Calibri" w:eastAsia="Calibri" w:hAnsi="Calibri"/>
                <w:sz w:val="17"/>
                <w:szCs w:val="17"/>
                <w:color w:val="auto"/>
              </w:rPr>
              <w:t>Inline XBRL Instance Document - the instance document does not appear in the Interactve Data File because its XBRL tags are embedded within</w:t>
            </w: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280" w:type="dxa"/>
            <w:vAlign w:val="bottom"/>
            <w:tcBorders>
              <w:bottom w:val="single" w:sz="8" w:color="CCEEFF"/>
            </w:tcBorders>
            <w:gridSpan w:val="6"/>
            <w:shd w:val="clear" w:color="auto" w:fill="CCEEFF"/>
          </w:tcPr>
          <w:p>
            <w:pPr>
              <w:ind w:left="240"/>
              <w:spacing w:after="0" w:line="205" w:lineRule="exact"/>
              <w:rPr>
                <w:sz w:val="20"/>
                <w:szCs w:val="20"/>
                <w:color w:val="auto"/>
              </w:rPr>
            </w:pPr>
            <w:r>
              <w:rPr>
                <w:rFonts w:ascii="Calibri" w:cs="Calibri" w:eastAsia="Calibri" w:hAnsi="Calibri"/>
                <w:sz w:val="17"/>
                <w:szCs w:val="17"/>
                <w:color w:val="auto"/>
              </w:rPr>
              <w:t>the Inline XBRL document</w:t>
            </w:r>
          </w:p>
        </w:tc>
      </w:tr>
      <w:tr>
        <w:trPr>
          <w:trHeight w:val="212"/>
        </w:trPr>
        <w:tc>
          <w:tcPr>
            <w:tcW w:w="8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101.SCH</w:t>
            </w:r>
          </w:p>
        </w:tc>
        <w:tc>
          <w:tcPr>
            <w:tcW w:w="10280" w:type="dxa"/>
            <w:vAlign w:val="bottom"/>
            <w:gridSpan w:val="6"/>
          </w:tcPr>
          <w:p>
            <w:pPr>
              <w:ind w:left="240"/>
              <w:spacing w:after="0" w:line="205" w:lineRule="exact"/>
              <w:rPr>
                <w:sz w:val="20"/>
                <w:szCs w:val="20"/>
                <w:color w:val="auto"/>
              </w:rPr>
            </w:pPr>
            <w:r>
              <w:rPr>
                <w:rFonts w:ascii="Calibri" w:cs="Calibri" w:eastAsia="Calibri" w:hAnsi="Calibri"/>
                <w:sz w:val="17"/>
                <w:szCs w:val="17"/>
                <w:color w:val="auto"/>
              </w:rPr>
              <w:t>Inline XBRL Taxonomy Extension Schema</w:t>
            </w:r>
          </w:p>
        </w:tc>
      </w:tr>
      <w:tr>
        <w:trPr>
          <w:trHeight w:val="226"/>
        </w:trPr>
        <w:tc>
          <w:tcPr>
            <w:tcW w:w="820" w:type="dxa"/>
            <w:vAlign w:val="bottom"/>
            <w:gridSpan w:val="3"/>
            <w:shd w:val="clear" w:color="auto" w:fill="CCEEFF"/>
          </w:tcPr>
          <w:p>
            <w:pPr>
              <w:ind w:left="20"/>
              <w:spacing w:after="0"/>
              <w:rPr>
                <w:sz w:val="20"/>
                <w:szCs w:val="20"/>
                <w:color w:val="auto"/>
              </w:rPr>
            </w:pPr>
            <w:r>
              <w:rPr>
                <w:rFonts w:ascii="Calibri" w:cs="Calibri" w:eastAsia="Calibri" w:hAnsi="Calibri"/>
                <w:sz w:val="17"/>
                <w:szCs w:val="17"/>
                <w:color w:val="auto"/>
              </w:rPr>
              <w:t>101.CAL</w:t>
            </w:r>
          </w:p>
        </w:tc>
        <w:tc>
          <w:tcPr>
            <w:tcW w:w="10280" w:type="dxa"/>
            <w:vAlign w:val="bottom"/>
            <w:gridSpan w:val="6"/>
            <w:shd w:val="clear" w:color="auto" w:fill="CCEEFF"/>
          </w:tcPr>
          <w:p>
            <w:pPr>
              <w:ind w:left="240"/>
              <w:spacing w:after="0"/>
              <w:rPr>
                <w:sz w:val="20"/>
                <w:szCs w:val="20"/>
                <w:color w:val="auto"/>
              </w:rPr>
            </w:pPr>
            <w:r>
              <w:rPr>
                <w:rFonts w:ascii="Calibri" w:cs="Calibri" w:eastAsia="Calibri" w:hAnsi="Calibri"/>
                <w:sz w:val="17"/>
                <w:szCs w:val="17"/>
                <w:color w:val="auto"/>
              </w:rPr>
              <w:t>Inline XBRL Extension Calculaton Linkbase</w:t>
            </w:r>
          </w:p>
        </w:tc>
      </w:tr>
      <w:tr>
        <w:trPr>
          <w:trHeight w:val="212"/>
        </w:trPr>
        <w:tc>
          <w:tcPr>
            <w:tcW w:w="8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101.LAB</w:t>
            </w:r>
          </w:p>
        </w:tc>
        <w:tc>
          <w:tcPr>
            <w:tcW w:w="10280" w:type="dxa"/>
            <w:vAlign w:val="bottom"/>
            <w:gridSpan w:val="6"/>
          </w:tcPr>
          <w:p>
            <w:pPr>
              <w:ind w:left="240"/>
              <w:spacing w:after="0" w:line="205" w:lineRule="exact"/>
              <w:rPr>
                <w:sz w:val="20"/>
                <w:szCs w:val="20"/>
                <w:color w:val="auto"/>
              </w:rPr>
            </w:pPr>
            <w:r>
              <w:rPr>
                <w:rFonts w:ascii="Calibri" w:cs="Calibri" w:eastAsia="Calibri" w:hAnsi="Calibri"/>
                <w:sz w:val="17"/>
                <w:szCs w:val="17"/>
                <w:color w:val="auto"/>
              </w:rPr>
              <w:t>Inline XBRL Taxonomy Extension Label Linkbase</w:t>
            </w:r>
          </w:p>
        </w:tc>
      </w:tr>
      <w:tr>
        <w:trPr>
          <w:trHeight w:val="226"/>
        </w:trPr>
        <w:tc>
          <w:tcPr>
            <w:tcW w:w="820" w:type="dxa"/>
            <w:vAlign w:val="bottom"/>
            <w:gridSpan w:val="3"/>
            <w:shd w:val="clear" w:color="auto" w:fill="CCEEFF"/>
          </w:tcPr>
          <w:p>
            <w:pPr>
              <w:ind w:left="20"/>
              <w:spacing w:after="0"/>
              <w:rPr>
                <w:sz w:val="20"/>
                <w:szCs w:val="20"/>
                <w:color w:val="auto"/>
              </w:rPr>
            </w:pPr>
            <w:r>
              <w:rPr>
                <w:rFonts w:ascii="Calibri" w:cs="Calibri" w:eastAsia="Calibri" w:hAnsi="Calibri"/>
                <w:sz w:val="17"/>
                <w:szCs w:val="17"/>
                <w:color w:val="auto"/>
              </w:rPr>
              <w:t>101.PRE</w:t>
            </w:r>
          </w:p>
        </w:tc>
        <w:tc>
          <w:tcPr>
            <w:tcW w:w="10280" w:type="dxa"/>
            <w:vAlign w:val="bottom"/>
            <w:gridSpan w:val="6"/>
            <w:shd w:val="clear" w:color="auto" w:fill="CCEEFF"/>
          </w:tcPr>
          <w:p>
            <w:pPr>
              <w:ind w:left="240"/>
              <w:spacing w:after="0"/>
              <w:rPr>
                <w:sz w:val="20"/>
                <w:szCs w:val="20"/>
                <w:color w:val="auto"/>
              </w:rPr>
            </w:pPr>
            <w:r>
              <w:rPr>
                <w:rFonts w:ascii="Calibri" w:cs="Calibri" w:eastAsia="Calibri" w:hAnsi="Calibri"/>
                <w:sz w:val="17"/>
                <w:szCs w:val="17"/>
                <w:color w:val="auto"/>
              </w:rPr>
              <w:t>Inline XBRL Taxonomy Extension Presentaton Linkbase</w:t>
            </w:r>
          </w:p>
        </w:tc>
      </w:tr>
      <w:tr>
        <w:trPr>
          <w:trHeight w:val="212"/>
        </w:trPr>
        <w:tc>
          <w:tcPr>
            <w:tcW w:w="820" w:type="dxa"/>
            <w:vAlign w:val="bottom"/>
            <w:gridSpan w:val="3"/>
          </w:tcPr>
          <w:p>
            <w:pPr>
              <w:ind w:left="20"/>
              <w:spacing w:after="0" w:line="205" w:lineRule="exact"/>
              <w:rPr>
                <w:sz w:val="20"/>
                <w:szCs w:val="20"/>
                <w:color w:val="auto"/>
              </w:rPr>
            </w:pPr>
            <w:r>
              <w:rPr>
                <w:rFonts w:ascii="Calibri" w:cs="Calibri" w:eastAsia="Calibri" w:hAnsi="Calibri"/>
                <w:sz w:val="17"/>
                <w:szCs w:val="17"/>
                <w:color w:val="auto"/>
              </w:rPr>
              <w:t>101.DEF</w:t>
            </w:r>
          </w:p>
        </w:tc>
        <w:tc>
          <w:tcPr>
            <w:tcW w:w="10280" w:type="dxa"/>
            <w:vAlign w:val="bottom"/>
            <w:gridSpan w:val="6"/>
          </w:tcPr>
          <w:p>
            <w:pPr>
              <w:ind w:left="240"/>
              <w:spacing w:after="0" w:line="205" w:lineRule="exact"/>
              <w:rPr>
                <w:sz w:val="20"/>
                <w:szCs w:val="20"/>
                <w:color w:val="auto"/>
              </w:rPr>
            </w:pPr>
            <w:r>
              <w:rPr>
                <w:rFonts w:ascii="Calibri" w:cs="Calibri" w:eastAsia="Calibri" w:hAnsi="Calibri"/>
                <w:sz w:val="17"/>
                <w:szCs w:val="17"/>
                <w:color w:val="auto"/>
              </w:rPr>
              <w:t>Inline XBRL Taxonomy Extension Defniton Linkbase</w:t>
            </w:r>
          </w:p>
        </w:tc>
      </w:tr>
      <w:tr>
        <w:trPr>
          <w:trHeight w:val="226"/>
        </w:trPr>
        <w:tc>
          <w:tcPr>
            <w:tcW w:w="320" w:type="dxa"/>
            <w:vAlign w:val="bottom"/>
            <w:gridSpan w:val="2"/>
            <w:shd w:val="clear" w:color="auto" w:fill="CCEEFF"/>
          </w:tcPr>
          <w:p>
            <w:pPr>
              <w:ind w:left="20"/>
              <w:spacing w:after="0"/>
              <w:rPr>
                <w:sz w:val="20"/>
                <w:szCs w:val="20"/>
                <w:color w:val="auto"/>
              </w:rPr>
            </w:pPr>
            <w:r>
              <w:rPr>
                <w:rFonts w:ascii="Calibri" w:cs="Calibri" w:eastAsia="Calibri" w:hAnsi="Calibri"/>
                <w:sz w:val="17"/>
                <w:szCs w:val="17"/>
                <w:color w:val="auto"/>
              </w:rPr>
              <w:t>104</w:t>
            </w:r>
          </w:p>
        </w:tc>
        <w:tc>
          <w:tcPr>
            <w:tcW w:w="500" w:type="dxa"/>
            <w:vAlign w:val="bottom"/>
            <w:shd w:val="clear" w:color="auto" w:fill="CCEEFF"/>
          </w:tcPr>
          <w:p>
            <w:pPr>
              <w:spacing w:after="0"/>
              <w:rPr>
                <w:sz w:val="19"/>
                <w:szCs w:val="19"/>
                <w:color w:val="auto"/>
              </w:rPr>
            </w:pPr>
          </w:p>
        </w:tc>
        <w:tc>
          <w:tcPr>
            <w:tcW w:w="10280" w:type="dxa"/>
            <w:vAlign w:val="bottom"/>
            <w:gridSpan w:val="6"/>
            <w:shd w:val="clear" w:color="auto" w:fill="CCEEFF"/>
          </w:tcPr>
          <w:p>
            <w:pPr>
              <w:ind w:left="240"/>
              <w:spacing w:after="0"/>
              <w:rPr>
                <w:sz w:val="20"/>
                <w:szCs w:val="20"/>
                <w:color w:val="auto"/>
              </w:rPr>
            </w:pPr>
            <w:r>
              <w:rPr>
                <w:rFonts w:ascii="Calibri" w:cs="Calibri" w:eastAsia="Calibri" w:hAnsi="Calibri"/>
                <w:sz w:val="17"/>
                <w:szCs w:val="17"/>
                <w:color w:val="auto"/>
              </w:rPr>
              <w:t>Cover Page Interactve Data File (formated as Inline XBRL and contained in Exhibit 101)</w:t>
            </w:r>
          </w:p>
        </w:tc>
      </w:tr>
    </w:tbl>
    <w:p>
      <w:pPr>
        <w:spacing w:after="0" w:line="200" w:lineRule="exact"/>
        <w:rPr>
          <w:rFonts w:ascii="Calibri" w:cs="Calibri" w:eastAsia="Calibri" w:hAnsi="Calibri"/>
          <w:sz w:val="17"/>
          <w:szCs w:val="17"/>
          <w:u w:val="single" w:color="auto"/>
          <w:color w:val="0000FF"/>
        </w:rPr>
      </w:pPr>
    </w:p>
    <w:p>
      <w:pPr>
        <w:spacing w:after="0" w:line="200" w:lineRule="exact"/>
        <w:rPr>
          <w:rFonts w:ascii="Calibri" w:cs="Calibri" w:eastAsia="Calibri" w:hAnsi="Calibri"/>
          <w:sz w:val="17"/>
          <w:szCs w:val="17"/>
          <w:u w:val="single" w:color="auto"/>
          <w:color w:val="0000FF"/>
        </w:rPr>
      </w:pPr>
    </w:p>
    <w:p>
      <w:pPr>
        <w:spacing w:after="0" w:line="200" w:lineRule="exact"/>
        <w:rPr>
          <w:rFonts w:ascii="Calibri" w:cs="Calibri" w:eastAsia="Calibri" w:hAnsi="Calibri"/>
          <w:sz w:val="17"/>
          <w:szCs w:val="17"/>
          <w:u w:val="single" w:color="auto"/>
          <w:color w:val="0000FF"/>
        </w:rPr>
      </w:pPr>
    </w:p>
    <w:p>
      <w:pPr>
        <w:spacing w:after="0" w:line="200" w:lineRule="exact"/>
        <w:rPr>
          <w:rFonts w:ascii="Calibri" w:cs="Calibri" w:eastAsia="Calibri" w:hAnsi="Calibri"/>
          <w:sz w:val="17"/>
          <w:szCs w:val="17"/>
          <w:u w:val="single" w:color="auto"/>
          <w:color w:val="0000FF"/>
        </w:rPr>
      </w:pPr>
    </w:p>
    <w:p>
      <w:pPr>
        <w:spacing w:after="0" w:line="223" w:lineRule="exact"/>
        <w:rPr>
          <w:rFonts w:ascii="Calibri" w:cs="Calibri" w:eastAsia="Calibri" w:hAnsi="Calibri"/>
          <w:sz w:val="17"/>
          <w:szCs w:val="17"/>
          <w:u w:val="single" w:color="auto"/>
          <w:color w:val="0000FF"/>
        </w:rPr>
      </w:pPr>
    </w:p>
    <w:p>
      <w:pPr>
        <w:jc w:val="right"/>
        <w:spacing w:after="0"/>
        <w:tabs>
          <w:tab w:leader="none" w:pos="120" w:val="left"/>
        </w:tabs>
        <w:rPr>
          <w:sz w:val="20"/>
          <w:szCs w:val="20"/>
          <w:color w:val="auto"/>
        </w:rPr>
      </w:pPr>
      <w:r>
        <w:rPr>
          <w:rFonts w:ascii="Calibri" w:cs="Calibri" w:eastAsia="Calibri" w:hAnsi="Calibri"/>
          <w:sz w:val="14"/>
          <w:szCs w:val="14"/>
          <w:b w:val="1"/>
          <w:bCs w:val="1"/>
          <w:color w:val="auto"/>
        </w:rPr>
        <w:t xml:space="preserve">H&amp;R Block, Inc. </w:t>
      </w:r>
      <w:r>
        <w:rPr>
          <w:rFonts w:ascii="Calibri" w:cs="Calibri" w:eastAsia="Calibri" w:hAnsi="Calibri"/>
          <w:sz w:val="14"/>
          <w:szCs w:val="14"/>
          <w:color w:val="auto"/>
        </w:rPr>
        <w:t>|Q2 FY2024 Form 10-Q</w:t>
      </w:r>
      <w:r>
        <w:rPr>
          <w:sz w:val="20"/>
          <w:szCs w:val="20"/>
          <w:color w:val="auto"/>
        </w:rPr>
        <w:tab/>
      </w:r>
      <w:r>
        <w:rPr>
          <w:rFonts w:ascii="Calibri" w:cs="Calibri" w:eastAsia="Calibri" w:hAnsi="Calibri"/>
          <w:sz w:val="13"/>
          <w:szCs w:val="13"/>
          <w:color w:val="FFFFFF"/>
          <w:highlight w:val="black"/>
        </w:rPr>
        <w:t>27</w:t>
      </w:r>
    </w:p>
    <w:p>
      <w:pPr>
        <w:spacing w:after="0" w:line="20" w:lineRule="exact"/>
        <w:rPr>
          <w:rFonts w:ascii="Calibri" w:cs="Calibri" w:eastAsia="Calibri" w:hAnsi="Calibri"/>
          <w:sz w:val="17"/>
          <w:szCs w:val="17"/>
          <w:u w:val="single" w:color="auto"/>
          <w:color w:val="0000FF"/>
        </w:rPr>
      </w:pPr>
      <w:r>
        <w:rPr>
          <w:rFonts w:ascii="Calibri" w:cs="Calibri" w:eastAsia="Calibri" w:hAnsi="Calibri"/>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137795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6919595</wp:posOffset>
            </wp:positionH>
            <wp:positionV relativeFrom="paragraph">
              <wp:posOffset>-94615</wp:posOffset>
            </wp:positionV>
            <wp:extent cx="220980" cy="1225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29" w:name="page30"/>
    <w:bookmarkEnd w:id="29"/>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SIGNATURES</w:t>
      </w:r>
    </w:p>
    <w:p>
      <w:pPr>
        <w:spacing w:after="0" w:line="105"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Pursuant to the requirements of the Securites Exchange Act of 1934, the registrant has duly caused this report to be signed on its behalf by the undersigned thereunto duly authorized.</w:t>
      </w:r>
    </w:p>
    <w:p>
      <w:pPr>
        <w:spacing w:after="0" w:line="12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H&amp;R BLOCK, INC.</w:t>
      </w:r>
    </w:p>
    <w:p>
      <w:pPr>
        <w:spacing w:after="0" w:line="26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/s/ Jefrey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13970</wp:posOffset>
            </wp:positionV>
            <wp:extent cx="26358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Jefrey J. Jones II</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President and Chief Executve Ofcer</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February 6, 2024</w:t>
      </w:r>
    </w:p>
    <w:p>
      <w:pPr>
        <w:spacing w:after="0" w:line="26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13970</wp:posOffset>
            </wp:positionV>
            <wp:extent cx="26358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Tony G. Bowen</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Chief Financial Ofcer</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February 6, 2024</w:t>
      </w:r>
    </w:p>
    <w:p>
      <w:pPr>
        <w:spacing w:after="0" w:line="269"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13970</wp:posOffset>
            </wp:positionV>
            <wp:extent cx="26358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Kellie J. Logerwell</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Chief Accountng Ofcer</w:t>
      </w:r>
    </w:p>
    <w:p>
      <w:pPr>
        <w:spacing w:after="0" w:line="12" w:lineRule="exact"/>
        <w:rPr>
          <w:sz w:val="20"/>
          <w:szCs w:val="20"/>
          <w:color w:val="auto"/>
        </w:rPr>
      </w:pPr>
    </w:p>
    <w:p>
      <w:pPr>
        <w:ind w:left="7120"/>
        <w:spacing w:after="0"/>
        <w:rPr>
          <w:sz w:val="20"/>
          <w:szCs w:val="20"/>
          <w:color w:val="auto"/>
        </w:rPr>
      </w:pPr>
      <w:r>
        <w:rPr>
          <w:rFonts w:ascii="Calibri" w:cs="Calibri" w:eastAsia="Calibri" w:hAnsi="Calibri"/>
          <w:sz w:val="17"/>
          <w:szCs w:val="17"/>
          <w:color w:val="auto"/>
        </w:rPr>
        <w:t>February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hanging="259"/>
        <w:spacing w:after="0"/>
        <w:tabs>
          <w:tab w:leader="none" w:pos="360" w:val="left"/>
        </w:tabs>
        <w:numPr>
          <w:ilvl w:val="0"/>
          <w:numId w:val="23"/>
        </w:numPr>
        <w:rPr>
          <w:rFonts w:ascii="Calibri" w:cs="Calibri" w:eastAsia="Calibri" w:hAnsi="Calibri"/>
          <w:sz w:val="14"/>
          <w:szCs w:val="14"/>
          <w:color w:val="FFFFFF"/>
          <w:highlight w:val="black"/>
        </w:rPr>
      </w:pPr>
      <w:r>
        <w:rPr>
          <w:rFonts w:ascii="Calibri" w:cs="Calibri" w:eastAsia="Calibri" w:hAnsi="Calibri"/>
          <w:sz w:val="14"/>
          <w:szCs w:val="14"/>
          <w:color w:val="auto"/>
        </w:rPr>
        <w:t xml:space="preserve">Q2 FY2024 Form 10-Q| </w:t>
      </w:r>
      <w:r>
        <w:rPr>
          <w:rFonts w:ascii="Calibri" w:cs="Calibri" w:eastAsia="Calibri" w:hAnsi="Calibri"/>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212725" cy="1225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jc w:val="right"/>
        <w:spacing w:after="0"/>
        <w:rPr>
          <w:sz w:val="20"/>
          <w:szCs w:val="20"/>
          <w:color w:val="auto"/>
        </w:rPr>
      </w:pPr>
      <w:r>
        <w:rPr>
          <w:rFonts w:ascii="Calibri" w:cs="Calibri" w:eastAsia="Calibri" w:hAnsi="Calibri"/>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302 OF THE SARBANES-OXLEY ACT OF 2002</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I, Jefrey J. Jones II, Chief Executve Ofcer, certfy that:</w:t>
      </w:r>
    </w:p>
    <w:p>
      <w:pPr>
        <w:spacing w:after="0" w:line="231" w:lineRule="exact"/>
        <w:rPr>
          <w:sz w:val="20"/>
          <w:szCs w:val="20"/>
          <w:color w:val="auto"/>
        </w:rPr>
      </w:pPr>
    </w:p>
    <w:p>
      <w:pPr>
        <w:ind w:left="160" w:hanging="157"/>
        <w:spacing w:after="0"/>
        <w:tabs>
          <w:tab w:leader="none" w:pos="160"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I have reviewed this quarterly report on Form 10-Q of H&amp;R Block, Inc.;</w:t>
      </w:r>
    </w:p>
    <w:p>
      <w:pPr>
        <w:spacing w:after="0" w:line="233" w:lineRule="exact"/>
        <w:rPr>
          <w:rFonts w:ascii="Calibri" w:cs="Calibri" w:eastAsia="Calibri" w:hAnsi="Calibri"/>
          <w:sz w:val="17"/>
          <w:szCs w:val="17"/>
          <w:color w:val="auto"/>
        </w:rPr>
      </w:pPr>
    </w:p>
    <w:p>
      <w:pPr>
        <w:ind w:right="280" w:firstLine="3"/>
        <w:spacing w:after="0" w:line="237" w:lineRule="auto"/>
        <w:tabs>
          <w:tab w:leader="none" w:pos="165"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Calibri" w:cs="Calibri" w:eastAsia="Calibri" w:hAnsi="Calibri"/>
          <w:sz w:val="17"/>
          <w:szCs w:val="17"/>
          <w:color w:val="auto"/>
        </w:rPr>
      </w:pPr>
    </w:p>
    <w:p>
      <w:pPr>
        <w:ind w:right="540" w:firstLine="3"/>
        <w:spacing w:after="0" w:line="237" w:lineRule="auto"/>
        <w:tabs>
          <w:tab w:leader="none" w:pos="165"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Calibri" w:cs="Calibri" w:eastAsia="Calibri" w:hAnsi="Calibri"/>
          <w:sz w:val="17"/>
          <w:szCs w:val="17"/>
          <w:color w:val="auto"/>
        </w:rPr>
      </w:pPr>
    </w:p>
    <w:p>
      <w:pPr>
        <w:ind w:left="160" w:hanging="157"/>
        <w:spacing w:after="0"/>
        <w:tabs>
          <w:tab w:leader="none" w:pos="160"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are responsible for establishing and maintaining disclosure controls and procedures (as defned in Exchange Act Rules</w:t>
      </w:r>
    </w:p>
    <w:p>
      <w:pPr>
        <w:spacing w:after="0" w:line="238" w:lineRule="auto"/>
        <w:rPr>
          <w:rFonts w:ascii="Calibri" w:cs="Calibri" w:eastAsia="Calibri" w:hAnsi="Calibri"/>
          <w:sz w:val="17"/>
          <w:szCs w:val="17"/>
          <w:color w:val="auto"/>
        </w:rPr>
      </w:pPr>
      <w:r>
        <w:rPr>
          <w:rFonts w:ascii="Calibri" w:cs="Calibri" w:eastAsia="Calibri" w:hAnsi="Calibri"/>
          <w:sz w:val="17"/>
          <w:szCs w:val="17"/>
          <w:color w:val="auto"/>
        </w:rPr>
        <w:t>13a-15(e) and 15d-15(e)) and internal control over fnancial reportng (as defned in Exchange Act Rules 13a-15(f) and 15d-15(f)) for the registrant and have:</w:t>
      </w:r>
    </w:p>
    <w:p>
      <w:pPr>
        <w:spacing w:after="0" w:line="234" w:lineRule="exact"/>
        <w:rPr>
          <w:sz w:val="20"/>
          <w:szCs w:val="20"/>
          <w:color w:val="auto"/>
        </w:rPr>
      </w:pPr>
    </w:p>
    <w:p>
      <w:pPr>
        <w:ind w:right="320" w:firstLine="3"/>
        <w:spacing w:after="0" w:line="238" w:lineRule="auto"/>
        <w:tabs>
          <w:tab w:leader="none" w:pos="220"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33" w:lineRule="exact"/>
        <w:rPr>
          <w:rFonts w:ascii="Calibri" w:cs="Calibri" w:eastAsia="Calibri" w:hAnsi="Calibri"/>
          <w:sz w:val="17"/>
          <w:szCs w:val="17"/>
          <w:color w:val="auto"/>
        </w:rPr>
      </w:pPr>
    </w:p>
    <w:p>
      <w:pPr>
        <w:ind w:right="160" w:firstLine="3"/>
        <w:spacing w:after="0" w:line="238" w:lineRule="auto"/>
        <w:tabs>
          <w:tab w:leader="none" w:pos="228"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33" w:lineRule="exact"/>
        <w:rPr>
          <w:rFonts w:ascii="Calibri" w:cs="Calibri" w:eastAsia="Calibri" w:hAnsi="Calibri"/>
          <w:sz w:val="17"/>
          <w:szCs w:val="17"/>
          <w:color w:val="auto"/>
        </w:rPr>
      </w:pPr>
    </w:p>
    <w:p>
      <w:pPr>
        <w:ind w:right="420" w:firstLine="3"/>
        <w:spacing w:after="0" w:line="237" w:lineRule="auto"/>
        <w:tabs>
          <w:tab w:leader="none" w:pos="210"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34" w:lineRule="exact"/>
        <w:rPr>
          <w:rFonts w:ascii="Calibri" w:cs="Calibri" w:eastAsia="Calibri" w:hAnsi="Calibri"/>
          <w:sz w:val="17"/>
          <w:szCs w:val="17"/>
          <w:color w:val="auto"/>
        </w:rPr>
      </w:pPr>
    </w:p>
    <w:p>
      <w:pPr>
        <w:ind w:right="100" w:firstLine="3"/>
        <w:spacing w:after="0" w:line="238" w:lineRule="auto"/>
        <w:tabs>
          <w:tab w:leader="none" w:pos="228"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33" w:lineRule="exact"/>
        <w:rPr>
          <w:sz w:val="20"/>
          <w:szCs w:val="20"/>
          <w:color w:val="auto"/>
        </w:rPr>
      </w:pPr>
    </w:p>
    <w:p>
      <w:pPr>
        <w:ind w:right="300" w:firstLine="3"/>
        <w:spacing w:after="0" w:line="237" w:lineRule="auto"/>
        <w:tabs>
          <w:tab w:leader="none" w:pos="165"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35" w:lineRule="exact"/>
        <w:rPr>
          <w:sz w:val="20"/>
          <w:szCs w:val="20"/>
          <w:color w:val="auto"/>
        </w:rPr>
      </w:pPr>
    </w:p>
    <w:p>
      <w:pPr>
        <w:ind w:right="120" w:firstLine="3"/>
        <w:spacing w:after="0" w:line="237" w:lineRule="auto"/>
        <w:tabs>
          <w:tab w:leader="none" w:pos="22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4" w:lineRule="exact"/>
        <w:rPr>
          <w:rFonts w:ascii="Calibri" w:cs="Calibri" w:eastAsia="Calibri" w:hAnsi="Calibri"/>
          <w:sz w:val="17"/>
          <w:szCs w:val="17"/>
          <w:color w:val="auto"/>
        </w:rPr>
      </w:pPr>
    </w:p>
    <w:p>
      <w:pPr>
        <w:ind w:right="260" w:firstLine="3"/>
        <w:spacing w:after="0" w:line="237" w:lineRule="auto"/>
        <w:tabs>
          <w:tab w:leader="none" w:pos="228"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Any fraud, whether or not material, that involves management or other employees who have a signifcant role in the registrant's internal control over fnancial reportng.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Calibri" w:cs="Calibri" w:eastAsia="Calibri" w:hAnsi="Calibri"/>
                <w:sz w:val="17"/>
                <w:szCs w:val="17"/>
                <w:color w:val="auto"/>
              </w:rPr>
              <w:t>Date:</w:t>
            </w:r>
          </w:p>
        </w:tc>
        <w:tc>
          <w:tcPr>
            <w:tcW w:w="6240" w:type="dxa"/>
            <w:vAlign w:val="bottom"/>
          </w:tcPr>
          <w:p>
            <w:pPr>
              <w:ind w:left="160"/>
              <w:spacing w:after="0"/>
              <w:rPr>
                <w:sz w:val="20"/>
                <w:szCs w:val="20"/>
                <w:color w:val="auto"/>
              </w:rPr>
            </w:pPr>
            <w:r>
              <w:rPr>
                <w:rFonts w:ascii="Calibri" w:cs="Calibri" w:eastAsia="Calibri" w:hAnsi="Calibri"/>
                <w:sz w:val="17"/>
                <w:szCs w:val="17"/>
                <w:color w:val="auto"/>
              </w:rPr>
              <w:t>February 6, 2024</w:t>
            </w:r>
          </w:p>
        </w:tc>
        <w:tc>
          <w:tcPr>
            <w:tcW w:w="4460" w:type="dxa"/>
            <w:vAlign w:val="bottom"/>
          </w:tcPr>
          <w:p>
            <w:pPr>
              <w:ind w:left="20"/>
              <w:spacing w:after="0"/>
              <w:rPr>
                <w:sz w:val="20"/>
                <w:szCs w:val="20"/>
                <w:color w:val="auto"/>
              </w:rPr>
            </w:pPr>
            <w:r>
              <w:rPr>
                <w:rFonts w:ascii="Calibri" w:cs="Calibri" w:eastAsia="Calibri" w:hAnsi="Calibri"/>
                <w:sz w:val="17"/>
                <w:szCs w:val="17"/>
                <w:color w:val="auto"/>
              </w:rPr>
              <w:t>/s/ Jefrey J. Jones II</w:t>
            </w:r>
          </w:p>
        </w:tc>
      </w:tr>
      <w:tr>
        <w:trPr>
          <w:trHeight w:val="22"/>
        </w:trPr>
        <w:tc>
          <w:tcPr>
            <w:tcW w:w="5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8"/>
        </w:trPr>
        <w:tc>
          <w:tcPr>
            <w:tcW w:w="5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60" w:type="dxa"/>
            <w:vAlign w:val="bottom"/>
          </w:tcPr>
          <w:p>
            <w:pPr>
              <w:ind w:left="20"/>
              <w:spacing w:after="0" w:line="198" w:lineRule="exact"/>
              <w:rPr>
                <w:sz w:val="20"/>
                <w:szCs w:val="20"/>
                <w:color w:val="auto"/>
              </w:rPr>
            </w:pPr>
            <w:r>
              <w:rPr>
                <w:rFonts w:ascii="Calibri" w:cs="Calibri" w:eastAsia="Calibri" w:hAnsi="Calibri"/>
                <w:sz w:val="17"/>
                <w:szCs w:val="17"/>
                <w:color w:val="auto"/>
              </w:rPr>
              <w:t>Jefrey J. Jones II</w:t>
            </w:r>
          </w:p>
        </w:tc>
      </w:tr>
      <w:tr>
        <w:trPr>
          <w:trHeight w:val="174"/>
        </w:trPr>
        <w:tc>
          <w:tcPr>
            <w:tcW w:w="5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4460" w:type="dxa"/>
            <w:vAlign w:val="bottom"/>
          </w:tcPr>
          <w:p>
            <w:pPr>
              <w:ind w:left="20"/>
              <w:spacing w:after="0" w:line="173" w:lineRule="exact"/>
              <w:rPr>
                <w:sz w:val="20"/>
                <w:szCs w:val="20"/>
                <w:color w:val="auto"/>
              </w:rPr>
            </w:pPr>
            <w:r>
              <w:rPr>
                <w:rFonts w:ascii="Calibri" w:cs="Calibri" w:eastAsia="Calibri" w:hAnsi="Calibri"/>
                <w:sz w:val="17"/>
                <w:szCs w:val="17"/>
                <w:color w:val="auto"/>
              </w:rPr>
              <w:t>Chief Executve Ofcer</w:t>
            </w:r>
          </w:p>
        </w:tc>
      </w:tr>
      <w:tr>
        <w:trPr>
          <w:trHeight w:val="205"/>
        </w:trPr>
        <w:tc>
          <w:tcPr>
            <w:tcW w:w="5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60" w:type="dxa"/>
            <w:vAlign w:val="bottom"/>
          </w:tcPr>
          <w:p>
            <w:pPr>
              <w:ind w:left="20"/>
              <w:spacing w:after="0" w:line="205" w:lineRule="exact"/>
              <w:rPr>
                <w:sz w:val="20"/>
                <w:szCs w:val="20"/>
                <w:color w:val="auto"/>
              </w:rPr>
            </w:pPr>
            <w:r>
              <w:rPr>
                <w:rFonts w:ascii="Calibri" w:cs="Calibri" w:eastAsia="Calibri" w:hAnsi="Calibri"/>
                <w:sz w:val="17"/>
                <w:szCs w:val="17"/>
                <w:color w:val="auto"/>
              </w:rPr>
              <w:t>H&amp;R Block, Inc.</w:t>
            </w:r>
          </w:p>
        </w:tc>
      </w:tr>
    </w:tbl>
    <w:p>
      <w:pPr>
        <w:sectPr>
          <w:pgSz w:w="11900" w:h="16838" w:orient="portrait"/>
          <w:cols w:equalWidth="0" w:num="1">
            <w:col w:w="11240"/>
          </w:cols>
          <w:pgMar w:left="320" w:top="116" w:right="339" w:bottom="1440" w:gutter="0" w:footer="0" w:header="0"/>
        </w:sectPr>
      </w:pPr>
    </w:p>
    <w:bookmarkStart w:id="31" w:name="page32"/>
    <w:bookmarkEnd w:id="31"/>
    <w:p>
      <w:pPr>
        <w:jc w:val="right"/>
        <w:spacing w:after="0"/>
        <w:rPr>
          <w:sz w:val="20"/>
          <w:szCs w:val="20"/>
          <w:color w:val="auto"/>
        </w:rPr>
      </w:pPr>
      <w:r>
        <w:rPr>
          <w:rFonts w:ascii="Calibri" w:cs="Calibri" w:eastAsia="Calibri" w:hAnsi="Calibri"/>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302 OF THE SARBANES-OXLEY ACT OF 2002</w:t>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I, Tony G. Bowen, Chief Financial Ofcer, certfy that:</w:t>
      </w:r>
    </w:p>
    <w:p>
      <w:pPr>
        <w:spacing w:after="0" w:line="231" w:lineRule="exact"/>
        <w:rPr>
          <w:sz w:val="20"/>
          <w:szCs w:val="20"/>
          <w:color w:val="auto"/>
        </w:rPr>
      </w:pPr>
    </w:p>
    <w:p>
      <w:pPr>
        <w:ind w:left="160" w:hanging="157"/>
        <w:spacing w:after="0"/>
        <w:tabs>
          <w:tab w:leader="none" w:pos="16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I have reviewed this quarterly report on Form 10-Q of H&amp;R Block, Inc.;</w:t>
      </w:r>
    </w:p>
    <w:p>
      <w:pPr>
        <w:spacing w:after="0" w:line="233" w:lineRule="exact"/>
        <w:rPr>
          <w:rFonts w:ascii="Calibri" w:cs="Calibri" w:eastAsia="Calibri" w:hAnsi="Calibri"/>
          <w:sz w:val="17"/>
          <w:szCs w:val="17"/>
          <w:color w:val="auto"/>
        </w:rPr>
      </w:pPr>
    </w:p>
    <w:p>
      <w:pPr>
        <w:ind w:right="280" w:firstLine="3"/>
        <w:spacing w:after="0" w:line="237" w:lineRule="auto"/>
        <w:tabs>
          <w:tab w:leader="none" w:pos="165"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Calibri" w:cs="Calibri" w:eastAsia="Calibri" w:hAnsi="Calibri"/>
          <w:sz w:val="17"/>
          <w:szCs w:val="17"/>
          <w:color w:val="auto"/>
        </w:rPr>
      </w:pPr>
    </w:p>
    <w:p>
      <w:pPr>
        <w:ind w:right="540" w:firstLine="3"/>
        <w:spacing w:after="0" w:line="237" w:lineRule="auto"/>
        <w:tabs>
          <w:tab w:leader="none" w:pos="165"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Calibri" w:cs="Calibri" w:eastAsia="Calibri" w:hAnsi="Calibri"/>
          <w:sz w:val="17"/>
          <w:szCs w:val="17"/>
          <w:color w:val="auto"/>
        </w:rPr>
      </w:pPr>
    </w:p>
    <w:p>
      <w:pPr>
        <w:ind w:left="160" w:hanging="157"/>
        <w:spacing w:after="0"/>
        <w:tabs>
          <w:tab w:leader="none" w:pos="160" w:val="left"/>
        </w:tabs>
        <w:numPr>
          <w:ilvl w:val="0"/>
          <w:numId w:val="28"/>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are responsible for establishing and maintaining disclosure controls and procedures (as defned in Exchange Act Rules</w:t>
      </w:r>
    </w:p>
    <w:p>
      <w:pPr>
        <w:spacing w:after="0" w:line="238" w:lineRule="auto"/>
        <w:rPr>
          <w:rFonts w:ascii="Calibri" w:cs="Calibri" w:eastAsia="Calibri" w:hAnsi="Calibri"/>
          <w:sz w:val="17"/>
          <w:szCs w:val="17"/>
          <w:color w:val="auto"/>
        </w:rPr>
      </w:pPr>
      <w:r>
        <w:rPr>
          <w:rFonts w:ascii="Calibri" w:cs="Calibri" w:eastAsia="Calibri" w:hAnsi="Calibri"/>
          <w:sz w:val="17"/>
          <w:szCs w:val="17"/>
          <w:color w:val="auto"/>
        </w:rPr>
        <w:t>13a-15(e) and 15d-15(e)) and internal control over fnancial reportng (as defned in Exchange Act Rules 13a-15(f) and 15d-15(f)) for the registrant and have:</w:t>
      </w:r>
    </w:p>
    <w:p>
      <w:pPr>
        <w:spacing w:after="0" w:line="234" w:lineRule="exact"/>
        <w:rPr>
          <w:sz w:val="20"/>
          <w:szCs w:val="20"/>
          <w:color w:val="auto"/>
        </w:rPr>
      </w:pPr>
    </w:p>
    <w:p>
      <w:pPr>
        <w:ind w:right="320" w:firstLine="3"/>
        <w:spacing w:after="0" w:line="238" w:lineRule="auto"/>
        <w:tabs>
          <w:tab w:leader="none" w:pos="22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33" w:lineRule="exact"/>
        <w:rPr>
          <w:rFonts w:ascii="Calibri" w:cs="Calibri" w:eastAsia="Calibri" w:hAnsi="Calibri"/>
          <w:sz w:val="17"/>
          <w:szCs w:val="17"/>
          <w:color w:val="auto"/>
        </w:rPr>
      </w:pPr>
    </w:p>
    <w:p>
      <w:pPr>
        <w:ind w:right="160" w:firstLine="3"/>
        <w:spacing w:after="0" w:line="238" w:lineRule="auto"/>
        <w:tabs>
          <w:tab w:leader="none" w:pos="228"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233" w:lineRule="exact"/>
        <w:rPr>
          <w:rFonts w:ascii="Calibri" w:cs="Calibri" w:eastAsia="Calibri" w:hAnsi="Calibri"/>
          <w:sz w:val="17"/>
          <w:szCs w:val="17"/>
          <w:color w:val="auto"/>
        </w:rPr>
      </w:pPr>
    </w:p>
    <w:p>
      <w:pPr>
        <w:ind w:right="420" w:firstLine="3"/>
        <w:spacing w:after="0" w:line="237" w:lineRule="auto"/>
        <w:tabs>
          <w:tab w:leader="none" w:pos="210"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34" w:lineRule="exact"/>
        <w:rPr>
          <w:rFonts w:ascii="Calibri" w:cs="Calibri" w:eastAsia="Calibri" w:hAnsi="Calibri"/>
          <w:sz w:val="17"/>
          <w:szCs w:val="17"/>
          <w:color w:val="auto"/>
        </w:rPr>
      </w:pPr>
    </w:p>
    <w:p>
      <w:pPr>
        <w:ind w:right="100" w:firstLine="3"/>
        <w:spacing w:after="0" w:line="238" w:lineRule="auto"/>
        <w:tabs>
          <w:tab w:leader="none" w:pos="228" w:val="left"/>
        </w:tabs>
        <w:numPr>
          <w:ilvl w:val="0"/>
          <w:numId w:val="29"/>
        </w:numPr>
        <w:rPr>
          <w:rFonts w:ascii="Calibri" w:cs="Calibri" w:eastAsia="Calibri" w:hAnsi="Calibri"/>
          <w:sz w:val="17"/>
          <w:szCs w:val="17"/>
          <w:color w:val="auto"/>
        </w:rPr>
      </w:pPr>
      <w:r>
        <w:rPr>
          <w:rFonts w:ascii="Calibri" w:cs="Calibri" w:eastAsia="Calibri" w:hAnsi="Calibri"/>
          <w:sz w:val="17"/>
          <w:szCs w:val="17"/>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33" w:lineRule="exact"/>
        <w:rPr>
          <w:sz w:val="20"/>
          <w:szCs w:val="20"/>
          <w:color w:val="auto"/>
        </w:rPr>
      </w:pPr>
    </w:p>
    <w:p>
      <w:pPr>
        <w:ind w:right="300" w:firstLine="3"/>
        <w:spacing w:after="0" w:line="237" w:lineRule="auto"/>
        <w:tabs>
          <w:tab w:leader="none" w:pos="165" w:val="left"/>
        </w:tabs>
        <w:numPr>
          <w:ilvl w:val="0"/>
          <w:numId w:val="30"/>
        </w:numPr>
        <w:rPr>
          <w:rFonts w:ascii="Calibri" w:cs="Calibri" w:eastAsia="Calibri" w:hAnsi="Calibri"/>
          <w:sz w:val="17"/>
          <w:szCs w:val="17"/>
          <w:color w:val="auto"/>
        </w:rPr>
      </w:pPr>
      <w:r>
        <w:rPr>
          <w:rFonts w:ascii="Calibri" w:cs="Calibri" w:eastAsia="Calibri" w:hAnsi="Calibri"/>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235" w:lineRule="exact"/>
        <w:rPr>
          <w:sz w:val="20"/>
          <w:szCs w:val="20"/>
          <w:color w:val="auto"/>
        </w:rPr>
      </w:pPr>
    </w:p>
    <w:p>
      <w:pPr>
        <w:ind w:right="120" w:firstLine="3"/>
        <w:spacing w:after="0" w:line="237" w:lineRule="auto"/>
        <w:tabs>
          <w:tab w:leader="none" w:pos="220" w:val="left"/>
        </w:tabs>
        <w:numPr>
          <w:ilvl w:val="0"/>
          <w:numId w:val="31"/>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34" w:lineRule="exact"/>
        <w:rPr>
          <w:rFonts w:ascii="Calibri" w:cs="Calibri" w:eastAsia="Calibri" w:hAnsi="Calibri"/>
          <w:sz w:val="17"/>
          <w:szCs w:val="17"/>
          <w:color w:val="auto"/>
        </w:rPr>
      </w:pPr>
    </w:p>
    <w:p>
      <w:pPr>
        <w:ind w:right="260" w:firstLine="3"/>
        <w:spacing w:after="0" w:line="237" w:lineRule="auto"/>
        <w:tabs>
          <w:tab w:leader="none" w:pos="228" w:val="left"/>
        </w:tabs>
        <w:numPr>
          <w:ilvl w:val="0"/>
          <w:numId w:val="31"/>
        </w:numPr>
        <w:rPr>
          <w:rFonts w:ascii="Calibri" w:cs="Calibri" w:eastAsia="Calibri" w:hAnsi="Calibri"/>
          <w:sz w:val="17"/>
          <w:szCs w:val="17"/>
          <w:color w:val="auto"/>
        </w:rPr>
      </w:pPr>
      <w:r>
        <w:rPr>
          <w:rFonts w:ascii="Calibri" w:cs="Calibri" w:eastAsia="Calibri" w:hAnsi="Calibri"/>
          <w:sz w:val="17"/>
          <w:szCs w:val="17"/>
          <w:color w:val="auto"/>
        </w:rPr>
        <w:t>Any fraud, whether or not material, that involves management or other employees who have a signifcant role in the registrant's internal control over fnancial reportng.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Calibri" w:cs="Calibri" w:eastAsia="Calibri" w:hAnsi="Calibri"/>
                <w:sz w:val="17"/>
                <w:szCs w:val="17"/>
                <w:color w:val="auto"/>
              </w:rPr>
              <w:t>Date:</w:t>
            </w:r>
          </w:p>
        </w:tc>
        <w:tc>
          <w:tcPr>
            <w:tcW w:w="6240" w:type="dxa"/>
            <w:vAlign w:val="bottom"/>
          </w:tcPr>
          <w:p>
            <w:pPr>
              <w:ind w:left="160"/>
              <w:spacing w:after="0"/>
              <w:rPr>
                <w:sz w:val="20"/>
                <w:szCs w:val="20"/>
                <w:color w:val="auto"/>
              </w:rPr>
            </w:pPr>
            <w:r>
              <w:rPr>
                <w:rFonts w:ascii="Calibri" w:cs="Calibri" w:eastAsia="Calibri" w:hAnsi="Calibri"/>
                <w:sz w:val="17"/>
                <w:szCs w:val="17"/>
                <w:color w:val="auto"/>
              </w:rPr>
              <w:t>February 6, 2024</w:t>
            </w:r>
          </w:p>
        </w:tc>
        <w:tc>
          <w:tcPr>
            <w:tcW w:w="4460" w:type="dxa"/>
            <w:vAlign w:val="bottom"/>
          </w:tcPr>
          <w:p>
            <w:pPr>
              <w:ind w:left="20"/>
              <w:spacing w:after="0"/>
              <w:rPr>
                <w:sz w:val="20"/>
                <w:szCs w:val="20"/>
                <w:color w:val="auto"/>
              </w:rPr>
            </w:pPr>
            <w:r>
              <w:rPr>
                <w:rFonts w:ascii="Calibri" w:cs="Calibri" w:eastAsia="Calibri" w:hAnsi="Calibri"/>
                <w:sz w:val="17"/>
                <w:szCs w:val="17"/>
                <w:color w:val="auto"/>
              </w:rPr>
              <w:t>/s/ Tony G. Bowen</w:t>
            </w:r>
          </w:p>
        </w:tc>
      </w:tr>
      <w:tr>
        <w:trPr>
          <w:trHeight w:val="22"/>
        </w:trPr>
        <w:tc>
          <w:tcPr>
            <w:tcW w:w="5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98"/>
        </w:trPr>
        <w:tc>
          <w:tcPr>
            <w:tcW w:w="5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60" w:type="dxa"/>
            <w:vAlign w:val="bottom"/>
          </w:tcPr>
          <w:p>
            <w:pPr>
              <w:ind w:left="20"/>
              <w:spacing w:after="0" w:line="198" w:lineRule="exact"/>
              <w:rPr>
                <w:sz w:val="20"/>
                <w:szCs w:val="20"/>
                <w:color w:val="auto"/>
              </w:rPr>
            </w:pPr>
            <w:r>
              <w:rPr>
                <w:rFonts w:ascii="Calibri" w:cs="Calibri" w:eastAsia="Calibri" w:hAnsi="Calibri"/>
                <w:sz w:val="17"/>
                <w:szCs w:val="17"/>
                <w:color w:val="auto"/>
              </w:rPr>
              <w:t>Tony G. Bowen</w:t>
            </w:r>
          </w:p>
        </w:tc>
      </w:tr>
      <w:tr>
        <w:trPr>
          <w:trHeight w:val="174"/>
        </w:trPr>
        <w:tc>
          <w:tcPr>
            <w:tcW w:w="5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4460" w:type="dxa"/>
            <w:vAlign w:val="bottom"/>
          </w:tcPr>
          <w:p>
            <w:pPr>
              <w:ind w:left="20"/>
              <w:spacing w:after="0" w:line="173" w:lineRule="exact"/>
              <w:rPr>
                <w:sz w:val="20"/>
                <w:szCs w:val="20"/>
                <w:color w:val="auto"/>
              </w:rPr>
            </w:pPr>
            <w:r>
              <w:rPr>
                <w:rFonts w:ascii="Calibri" w:cs="Calibri" w:eastAsia="Calibri" w:hAnsi="Calibri"/>
                <w:sz w:val="17"/>
                <w:szCs w:val="17"/>
                <w:color w:val="auto"/>
              </w:rPr>
              <w:t>Chief Financial Ofcer</w:t>
            </w:r>
          </w:p>
        </w:tc>
      </w:tr>
      <w:tr>
        <w:trPr>
          <w:trHeight w:val="205"/>
        </w:trPr>
        <w:tc>
          <w:tcPr>
            <w:tcW w:w="5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4460" w:type="dxa"/>
            <w:vAlign w:val="bottom"/>
          </w:tcPr>
          <w:p>
            <w:pPr>
              <w:ind w:left="20"/>
              <w:spacing w:after="0" w:line="205" w:lineRule="exact"/>
              <w:rPr>
                <w:sz w:val="20"/>
                <w:szCs w:val="20"/>
                <w:color w:val="auto"/>
              </w:rPr>
            </w:pPr>
            <w:r>
              <w:rPr>
                <w:rFonts w:ascii="Calibri" w:cs="Calibri" w:eastAsia="Calibri" w:hAnsi="Calibri"/>
                <w:sz w:val="17"/>
                <w:szCs w:val="17"/>
                <w:color w:val="auto"/>
              </w:rPr>
              <w:t>H&amp;R Block, Inc.</w:t>
            </w:r>
          </w:p>
        </w:tc>
      </w:tr>
    </w:tbl>
    <w:p>
      <w:pPr>
        <w:sectPr>
          <w:pgSz w:w="11900" w:h="16838" w:orient="portrait"/>
          <w:cols w:equalWidth="0" w:num="1">
            <w:col w:w="11240"/>
          </w:cols>
          <w:pgMar w:left="320" w:top="116" w:right="339" w:bottom="1440" w:gutter="0" w:footer="0" w:header="0"/>
        </w:sectPr>
      </w:pPr>
    </w:p>
    <w:bookmarkStart w:id="32" w:name="page33"/>
    <w:bookmarkEnd w:id="32"/>
    <w:p>
      <w:pPr>
        <w:jc w:val="right"/>
        <w:spacing w:after="0"/>
        <w:rPr>
          <w:sz w:val="20"/>
          <w:szCs w:val="20"/>
          <w:color w:val="auto"/>
        </w:rPr>
      </w:pPr>
      <w:r>
        <w:rPr>
          <w:rFonts w:ascii="MS PGothic" w:cs="MS PGothic" w:eastAsia="MS PGothic" w:hAnsi="MS PGothic"/>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906 OF THE SARBANES-OXLEY ACT OF 2002</w:t>
      </w:r>
    </w:p>
    <w:p>
      <w:pPr>
        <w:spacing w:after="0" w:line="233" w:lineRule="exact"/>
        <w:rPr>
          <w:sz w:val="20"/>
          <w:szCs w:val="20"/>
          <w:color w:val="auto"/>
        </w:rPr>
      </w:pPr>
    </w:p>
    <w:p>
      <w:pPr>
        <w:jc w:val="both"/>
        <w:ind w:firstLine="232"/>
        <w:spacing w:after="0" w:line="315" w:lineRule="auto"/>
        <w:rPr>
          <w:sz w:val="20"/>
          <w:szCs w:val="20"/>
          <w:color w:val="auto"/>
        </w:rPr>
      </w:pPr>
      <w:r>
        <w:rPr>
          <w:rFonts w:ascii="MS PGothic" w:cs="MS PGothic" w:eastAsia="MS PGothic" w:hAnsi="MS PGothic"/>
          <w:sz w:val="17"/>
          <w:szCs w:val="17"/>
          <w:color w:val="auto"/>
        </w:rPr>
        <w:t>In connecton with the quarterly report of H&amp;R Block, Inc. (the “Company”) on Form 10‑Q for the fscal quarter ended December 31, 2023 as fled with the Securites and Exchange Commission on the date hereof (the “Report”), I, Jefrey J. Jones II, Chief Executve Ofcer of the Company, certfy pursuant to 18 U.S.C. § 1350, as adopted pursuant to § 906 of the Sarbanes-Oxley Act of 2002, that:</w:t>
      </w:r>
    </w:p>
    <w:p>
      <w:pPr>
        <w:spacing w:after="0" w:line="181" w:lineRule="exact"/>
        <w:rPr>
          <w:sz w:val="20"/>
          <w:szCs w:val="20"/>
          <w:color w:val="auto"/>
        </w:rPr>
      </w:pPr>
    </w:p>
    <w:p>
      <w:pPr>
        <w:ind w:left="1240" w:hanging="618"/>
        <w:spacing w:after="0"/>
        <w:tabs>
          <w:tab w:leader="none" w:pos="1240" w:val="left"/>
        </w:tabs>
        <w:numPr>
          <w:ilvl w:val="0"/>
          <w:numId w:val="32"/>
        </w:numPr>
        <w:rPr>
          <w:rFonts w:ascii="MS PGothic" w:cs="MS PGothic" w:eastAsia="MS PGothic" w:hAnsi="MS PGothic"/>
          <w:sz w:val="17"/>
          <w:szCs w:val="17"/>
          <w:color w:val="auto"/>
        </w:rPr>
      </w:pPr>
      <w:r>
        <w:rPr>
          <w:rFonts w:ascii="MS PGothic" w:cs="MS PGothic" w:eastAsia="MS PGothic" w:hAnsi="MS PGothic"/>
          <w:sz w:val="17"/>
          <w:szCs w:val="17"/>
          <w:color w:val="auto"/>
        </w:rPr>
        <w:t>The Report fully complies with the requirements of Secton 13(a) or 15(d) of the Securites Exchange Act of 1934; and</w:t>
      </w:r>
    </w:p>
    <w:p>
      <w:pPr>
        <w:spacing w:after="0" w:line="268" w:lineRule="exact"/>
        <w:rPr>
          <w:rFonts w:ascii="MS PGothic" w:cs="MS PGothic" w:eastAsia="MS PGothic" w:hAnsi="MS PGothic"/>
          <w:sz w:val="17"/>
          <w:szCs w:val="17"/>
          <w:color w:val="auto"/>
        </w:rPr>
      </w:pPr>
    </w:p>
    <w:p>
      <w:pPr>
        <w:ind w:left="1240" w:hanging="618"/>
        <w:spacing w:after="0"/>
        <w:tabs>
          <w:tab w:leader="none" w:pos="1240" w:val="left"/>
        </w:tabs>
        <w:numPr>
          <w:ilvl w:val="0"/>
          <w:numId w:val="32"/>
        </w:numPr>
        <w:rPr>
          <w:rFonts w:ascii="MS PGothic" w:cs="MS PGothic" w:eastAsia="MS PGothic" w:hAnsi="MS PGothic"/>
          <w:sz w:val="16"/>
          <w:szCs w:val="16"/>
          <w:color w:val="auto"/>
        </w:rPr>
      </w:pPr>
      <w:r>
        <w:rPr>
          <w:rFonts w:ascii="MS PGothic" w:cs="MS PGothic" w:eastAsia="MS PGothic" w:hAnsi="MS PGothic"/>
          <w:sz w:val="16"/>
          <w:szCs w:val="16"/>
          <w:color w:val="auto"/>
        </w:rPr>
        <w:t>The informaton contained in the Report fairly presents, in all material respects, the fnancial conditon and results of operatons of the Company.</w:t>
      </w:r>
    </w:p>
    <w:p>
      <w:pPr>
        <w:spacing w:after="0" w:line="278"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/s/ Jefrey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36195</wp:posOffset>
            </wp:positionV>
            <wp:extent cx="21120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42"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Jefrey J. Jones II</w:t>
      </w:r>
    </w:p>
    <w:p>
      <w:pPr>
        <w:spacing w:after="0" w:line="29"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Chief Executve Ofcer</w:t>
      </w:r>
    </w:p>
    <w:p>
      <w:pPr>
        <w:ind w:left="7940"/>
        <w:spacing w:after="0"/>
        <w:rPr>
          <w:sz w:val="20"/>
          <w:szCs w:val="20"/>
          <w:color w:val="auto"/>
        </w:rPr>
      </w:pPr>
      <w:r>
        <w:rPr>
          <w:rFonts w:ascii="MS PGothic" w:cs="MS PGothic" w:eastAsia="MS PGothic" w:hAnsi="MS PGothic"/>
          <w:sz w:val="17"/>
          <w:szCs w:val="17"/>
          <w:color w:val="auto"/>
        </w:rPr>
        <w:t>H&amp;R Block, Inc.</w:t>
      </w:r>
    </w:p>
    <w:p>
      <w:pPr>
        <w:spacing w:after="0" w:line="28"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February 6, 2024</w:t>
      </w:r>
    </w:p>
    <w:p>
      <w:pPr>
        <w:sectPr>
          <w:pgSz w:w="11900" w:h="16838" w:orient="portrait"/>
          <w:cols w:equalWidth="0" w:num="1">
            <w:col w:w="11240"/>
          </w:cols>
          <w:pgMar w:left="320" w:top="118" w:right="339" w:bottom="1440" w:gutter="0" w:footer="0" w:header="0"/>
        </w:sectPr>
      </w:pPr>
    </w:p>
    <w:bookmarkStart w:id="33" w:name="page34"/>
    <w:bookmarkEnd w:id="33"/>
    <w:p>
      <w:pPr>
        <w:jc w:val="right"/>
        <w:spacing w:after="0"/>
        <w:rPr>
          <w:sz w:val="20"/>
          <w:szCs w:val="20"/>
          <w:color w:val="auto"/>
        </w:rPr>
      </w:pPr>
      <w:r>
        <w:rPr>
          <w:rFonts w:ascii="MS PGothic" w:cs="MS PGothic" w:eastAsia="MS PGothic" w:hAnsi="MS PGothic"/>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SECTION 906 OF THE SARBANES-OXLEY ACT OF 2002</w:t>
      </w:r>
    </w:p>
    <w:p>
      <w:pPr>
        <w:spacing w:after="0" w:line="233" w:lineRule="exact"/>
        <w:rPr>
          <w:sz w:val="20"/>
          <w:szCs w:val="20"/>
          <w:color w:val="auto"/>
        </w:rPr>
      </w:pPr>
    </w:p>
    <w:p>
      <w:pPr>
        <w:jc w:val="both"/>
        <w:ind w:firstLine="232"/>
        <w:spacing w:after="0" w:line="315" w:lineRule="auto"/>
        <w:rPr>
          <w:sz w:val="20"/>
          <w:szCs w:val="20"/>
          <w:color w:val="auto"/>
        </w:rPr>
      </w:pPr>
      <w:r>
        <w:rPr>
          <w:rFonts w:ascii="MS PGothic" w:cs="MS PGothic" w:eastAsia="MS PGothic" w:hAnsi="MS PGothic"/>
          <w:sz w:val="17"/>
          <w:szCs w:val="17"/>
          <w:color w:val="auto"/>
        </w:rPr>
        <w:t>In connecton with the quarterly report of H&amp;R Block, Inc. (the “Company”) on Form 10‑Q for the fscal quarter ended December 31, 2023 as fled with the Securites and Exchange Commission on the date hereof (the “Report”), I, Tony G. Bowen, Chief Financial Ofcer of the Company, certfy pursuant to 18 U.S.C. § 1350, as adopted pursuant to § 906 of the Sarbanes-Oxley Act of 2002, that:</w:t>
      </w:r>
    </w:p>
    <w:p>
      <w:pPr>
        <w:spacing w:after="0" w:line="181" w:lineRule="exact"/>
        <w:rPr>
          <w:sz w:val="20"/>
          <w:szCs w:val="20"/>
          <w:color w:val="auto"/>
        </w:rPr>
      </w:pPr>
    </w:p>
    <w:p>
      <w:pPr>
        <w:ind w:left="1240" w:hanging="618"/>
        <w:spacing w:after="0"/>
        <w:tabs>
          <w:tab w:leader="none" w:pos="1240" w:val="left"/>
        </w:tabs>
        <w:numPr>
          <w:ilvl w:val="0"/>
          <w:numId w:val="33"/>
        </w:numPr>
        <w:rPr>
          <w:rFonts w:ascii="MS PGothic" w:cs="MS PGothic" w:eastAsia="MS PGothic" w:hAnsi="MS PGothic"/>
          <w:sz w:val="17"/>
          <w:szCs w:val="17"/>
          <w:color w:val="auto"/>
        </w:rPr>
      </w:pPr>
      <w:r>
        <w:rPr>
          <w:rFonts w:ascii="MS PGothic" w:cs="MS PGothic" w:eastAsia="MS PGothic" w:hAnsi="MS PGothic"/>
          <w:sz w:val="17"/>
          <w:szCs w:val="17"/>
          <w:color w:val="auto"/>
        </w:rPr>
        <w:t>The Report fully complies with the requirements of Secton 13(a) or 15(d) of the Securites Exchange Act of 1934; and</w:t>
      </w:r>
    </w:p>
    <w:p>
      <w:pPr>
        <w:spacing w:after="0" w:line="268" w:lineRule="exact"/>
        <w:rPr>
          <w:rFonts w:ascii="MS PGothic" w:cs="MS PGothic" w:eastAsia="MS PGothic" w:hAnsi="MS PGothic"/>
          <w:sz w:val="17"/>
          <w:szCs w:val="17"/>
          <w:color w:val="auto"/>
        </w:rPr>
      </w:pPr>
    </w:p>
    <w:p>
      <w:pPr>
        <w:ind w:left="1240" w:hanging="618"/>
        <w:spacing w:after="0"/>
        <w:tabs>
          <w:tab w:leader="none" w:pos="1240" w:val="left"/>
        </w:tabs>
        <w:numPr>
          <w:ilvl w:val="0"/>
          <w:numId w:val="33"/>
        </w:numPr>
        <w:rPr>
          <w:rFonts w:ascii="MS PGothic" w:cs="MS PGothic" w:eastAsia="MS PGothic" w:hAnsi="MS PGothic"/>
          <w:sz w:val="16"/>
          <w:szCs w:val="16"/>
          <w:color w:val="auto"/>
        </w:rPr>
      </w:pPr>
      <w:r>
        <w:rPr>
          <w:rFonts w:ascii="MS PGothic" w:cs="MS PGothic" w:eastAsia="MS PGothic" w:hAnsi="MS PGothic"/>
          <w:sz w:val="16"/>
          <w:szCs w:val="16"/>
          <w:color w:val="auto"/>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36195</wp:posOffset>
            </wp:positionV>
            <wp:extent cx="21120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42"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Tony G. Bowen</w:t>
      </w:r>
    </w:p>
    <w:p>
      <w:pPr>
        <w:spacing w:after="0" w:line="29"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Chief Financial Ofcer</w:t>
      </w:r>
    </w:p>
    <w:p>
      <w:pPr>
        <w:ind w:left="7940"/>
        <w:spacing w:after="0"/>
        <w:rPr>
          <w:sz w:val="20"/>
          <w:szCs w:val="20"/>
          <w:color w:val="auto"/>
        </w:rPr>
      </w:pPr>
      <w:r>
        <w:rPr>
          <w:rFonts w:ascii="MS PGothic" w:cs="MS PGothic" w:eastAsia="MS PGothic" w:hAnsi="MS PGothic"/>
          <w:sz w:val="17"/>
          <w:szCs w:val="17"/>
          <w:color w:val="auto"/>
        </w:rPr>
        <w:t>H&amp;R Block, Inc.</w:t>
      </w:r>
    </w:p>
    <w:p>
      <w:pPr>
        <w:spacing w:after="0" w:line="28" w:lineRule="exact"/>
        <w:rPr>
          <w:sz w:val="20"/>
          <w:szCs w:val="20"/>
          <w:color w:val="auto"/>
        </w:rPr>
      </w:pPr>
    </w:p>
    <w:p>
      <w:pPr>
        <w:ind w:left="7940"/>
        <w:spacing w:after="0"/>
        <w:rPr>
          <w:sz w:val="20"/>
          <w:szCs w:val="20"/>
          <w:color w:val="auto"/>
        </w:rPr>
      </w:pPr>
      <w:r>
        <w:rPr>
          <w:rFonts w:ascii="MS PGothic" w:cs="MS PGothic" w:eastAsia="MS PGothic" w:hAnsi="MS PGothic"/>
          <w:sz w:val="17"/>
          <w:szCs w:val="17"/>
          <w:color w:val="auto"/>
        </w:rPr>
        <w:t>February 6, 2024</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4"/>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6"/>
      <w:numFmt w:val="bullet"/>
      <w:start w:val="1"/>
    </w:lvl>
  </w:abstractNum>
  <w:abstractNum w:abstractNumId="7">
    <w:nsid w:val="436C6125"/>
    <w:multiLevelType w:val="hybridMultilevel"/>
    <w:lvl w:ilvl="0">
      <w:lvlJc w:val="left"/>
      <w:lvlText w:val="8"/>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0"/>
    </w:lvl>
  </w:abstractNum>
  <w:abstractNum w:abstractNumId="10">
    <w:nsid w:val="721DA317"/>
    <w:multiLevelType w:val="hybridMultilevel"/>
    <w:lvl w:ilvl="0">
      <w:lvlJc w:val="left"/>
      <w:lvlText w:val="%1"/>
      <w:numFmt w:val="decimal"/>
      <w:start w:val="12"/>
    </w:lvl>
  </w:abstractNum>
  <w:abstractNum w:abstractNumId="11">
    <w:nsid w:val="2443A858"/>
    <w:multiLevelType w:val="hybridMultilevel"/>
    <w:lvl w:ilvl="0">
      <w:lvlJc w:val="left"/>
      <w:lvlText w:val="%1"/>
      <w:numFmt w:val="decimal"/>
      <w:start w:val="14"/>
    </w:lvl>
  </w:abstractNum>
  <w:abstractNum w:abstractNumId="12">
    <w:nsid w:val="2D1D5AE9"/>
    <w:multiLevelType w:val="hybridMultilevel"/>
    <w:lvl w:ilvl="0">
      <w:lvlJc w:val="left"/>
      <w:lvlText w:val="%1"/>
      <w:numFmt w:val="decimal"/>
      <w:start w:val="16"/>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8"/>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20"/>
    </w:lvl>
  </w:abstractNum>
  <w:abstractNum w:abstractNumId="17">
    <w:nsid w:val="4353D0CD"/>
    <w:multiLevelType w:val="hybridMultilevel"/>
    <w:lvl w:ilvl="0">
      <w:lvlJc w:val="left"/>
      <w:lvlText w:val="%1"/>
      <w:numFmt w:val="decimal"/>
      <w:start w:val="22"/>
    </w:lvl>
  </w:abstractNum>
  <w:abstractNum w:abstractNumId="18">
    <w:nsid w:val="B03E0C6"/>
    <w:multiLevelType w:val="hybridMultilevel"/>
    <w:lvl w:ilvl="0">
      <w:lvlJc w:val="left"/>
      <w:lvlText w:val="%1"/>
      <w:numFmt w:val="decimal"/>
      <w:start w:val="24"/>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26"/>
    </w:lvl>
  </w:abstractNum>
  <w:abstractNum w:abstractNumId="21">
    <w:nsid w:val="71F32454"/>
    <w:multiLevelType w:val="hybridMultilevel"/>
    <w:lvl w:ilvl="0">
      <w:lvlJc w:val="left"/>
      <w:lvlText w:val="%1"/>
      <w:numFmt w:val="decimal"/>
      <w:start w:val="22"/>
    </w:lvl>
  </w:abstractNum>
  <w:abstractNum w:abstractNumId="22">
    <w:nsid w:val="2CA88611"/>
    <w:multiLevelType w:val="hybridMultilevel"/>
    <w:lvl w:ilvl="0">
      <w:lvlJc w:val="left"/>
      <w:lvlText w:val="%1"/>
      <w:numFmt w:val="decimal"/>
      <w:start w:val="28"/>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75" Type="http://schemas.openxmlformats.org/officeDocument/2006/relationships/hyperlink" Target="http://www.sec.gov/Archives/edgar/data/12659/000183886223000027/hrb20230630exhibit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2024-02-06T15:55:52Z</dcterms:created>
  <dcterms:modified xsi:type="dcterms:W3CDTF">2024-02-06T15:55:52Z</dcterms:modified>
</cp:coreProperties>
</file>