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601980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561340</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24" w:lineRule="exact"/>
        <w:rPr>
          <w:sz w:val="24"/>
          <w:szCs w:val="24"/>
          <w:color w:val="auto"/>
        </w:rPr>
      </w:pPr>
    </w:p>
    <w:p>
      <w:pPr>
        <w:ind w:left="20"/>
        <w:spacing w:after="0"/>
        <w:rPr>
          <w:sz w:val="20"/>
          <w:szCs w:val="20"/>
          <w:color w:val="auto"/>
        </w:rPr>
      </w:pPr>
      <w:r>
        <w:rPr>
          <w:rFonts w:ascii="Arial" w:cs="Arial" w:eastAsia="Arial" w:hAnsi="Arial"/>
          <w:sz w:val="17"/>
          <w:szCs w:val="17"/>
          <w:color w:val="auto"/>
        </w:rPr>
        <w:t>(Mark One)</w:t>
      </w:r>
    </w:p>
    <w:p>
      <w:pPr>
        <w:spacing w:after="0" w:line="30" w:lineRule="exact"/>
        <w:rPr>
          <w:sz w:val="24"/>
          <w:szCs w:val="24"/>
          <w:color w:val="auto"/>
        </w:rPr>
      </w:pPr>
    </w:p>
    <w:p>
      <w:pPr>
        <w:ind w:left="1080" w:hanging="677"/>
        <w:spacing w:after="0"/>
        <w:tabs>
          <w:tab w:leader="none" w:pos="108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QUARTERLY REPORT PURSUANT TO SECTION 13 OR 15(d) OF THE SECURITIES EXCHANGE ACT OF 1934</w:t>
      </w:r>
    </w:p>
    <w:p>
      <w:pPr>
        <w:sectPr>
          <w:pgSz w:w="11900" w:h="16838" w:orient="portrait"/>
          <w:cols w:equalWidth="0" w:num="1">
            <w:col w:w="11240"/>
          </w:cols>
          <w:pgMar w:left="320" w:top="230" w:right="339" w:bottom="1440" w:gutter="0" w:footer="0" w:header="0"/>
        </w:sectPr>
      </w:pPr>
    </w:p>
    <w:p>
      <w:pPr>
        <w:spacing w:after="0" w:line="27" w:lineRule="exact"/>
        <w:rPr>
          <w:sz w:val="24"/>
          <w:szCs w:val="24"/>
          <w:color w:val="auto"/>
        </w:rPr>
      </w:pPr>
    </w:p>
    <w:p>
      <w:pPr>
        <w:ind w:left="1080"/>
        <w:spacing w:after="0"/>
        <w:tabs>
          <w:tab w:leader="none" w:pos="4260" w:val="left"/>
        </w:tabs>
        <w:rPr>
          <w:sz w:val="20"/>
          <w:szCs w:val="20"/>
          <w:color w:val="auto"/>
        </w:rPr>
      </w:pPr>
      <w:r>
        <w:rPr>
          <w:rFonts w:ascii="Arial" w:cs="Arial" w:eastAsia="Arial" w:hAnsi="Arial"/>
          <w:sz w:val="17"/>
          <w:szCs w:val="17"/>
          <w:b w:val="1"/>
          <w:bCs w:val="1"/>
          <w:color w:val="auto"/>
        </w:rPr>
        <w:t>For the quarterly period ended</w:t>
      </w:r>
      <w:r>
        <w:rPr>
          <w:sz w:val="20"/>
          <w:szCs w:val="20"/>
          <w:color w:val="auto"/>
        </w:rPr>
        <w:tab/>
      </w:r>
      <w:r>
        <w:rPr>
          <w:rFonts w:ascii="Arial" w:cs="Arial" w:eastAsia="Arial" w:hAnsi="Arial"/>
          <w:sz w:val="17"/>
          <w:szCs w:val="17"/>
          <w:b w:val="1"/>
          <w:bCs w:val="1"/>
          <w:color w:val="auto"/>
        </w:rPr>
        <w:t>September 30, 2025</w:t>
      </w:r>
    </w:p>
    <w:p>
      <w:pPr>
        <w:spacing w:after="0" w:line="30" w:lineRule="exact"/>
        <w:rPr>
          <w:sz w:val="24"/>
          <w:szCs w:val="24"/>
          <w:color w:val="auto"/>
        </w:rPr>
      </w:pPr>
    </w:p>
    <w:p>
      <w:pPr>
        <w:ind w:left="5500"/>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240"/>
          </w:cols>
          <w:pgMar w:left="320" w:top="230" w:right="339" w:bottom="1440" w:gutter="0" w:footer="0" w:header="0"/>
          <w:type w:val="continuous"/>
        </w:sectPr>
      </w:pPr>
    </w:p>
    <w:p>
      <w:pPr>
        <w:spacing w:after="0" w:line="14" w:lineRule="exact"/>
        <w:rPr>
          <w:sz w:val="24"/>
          <w:szCs w:val="24"/>
          <w:color w:val="auto"/>
        </w:rPr>
      </w:pPr>
    </w:p>
    <w:p>
      <w:pPr>
        <w:ind w:left="1080" w:hanging="684"/>
        <w:spacing w:after="0"/>
        <w:tabs>
          <w:tab w:leader="none" w:pos="10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3" w:lineRule="exact"/>
        <w:rPr>
          <w:rFonts w:ascii="MS PGothic" w:cs="MS PGothic" w:eastAsia="MS PGothic" w:hAnsi="MS PGothic"/>
          <w:sz w:val="17"/>
          <w:szCs w:val="17"/>
          <w:color w:val="auto"/>
        </w:rPr>
      </w:pPr>
    </w:p>
    <w:p>
      <w:pPr>
        <w:ind w:left="108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transition period from to</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1-06089</w:t>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H&amp;R Block,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30" w:right="339" w:bottom="1440" w:gutter="0" w:footer="0" w:header="0"/>
          <w:type w:val="continuous"/>
        </w:sectPr>
      </w:pPr>
    </w:p>
    <w:p>
      <w:pPr>
        <w:spacing w:after="0" w:line="99" w:lineRule="exact"/>
        <w:rPr>
          <w:sz w:val="24"/>
          <w:szCs w:val="24"/>
          <w:color w:val="auto"/>
        </w:rPr>
      </w:pPr>
    </w:p>
    <w:p>
      <w:pPr>
        <w:ind w:left="244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42" w:lineRule="exact"/>
        <w:rPr>
          <w:sz w:val="24"/>
          <w:szCs w:val="24"/>
          <w:color w:val="auto"/>
        </w:rPr>
      </w:pPr>
    </w:p>
    <w:p>
      <w:pPr>
        <w:sectPr>
          <w:pgSz w:w="11900" w:h="16838" w:orient="portrait"/>
          <w:cols w:equalWidth="0" w:num="2">
            <w:col w:w="7300" w:space="720"/>
            <w:col w:w="3220"/>
          </w:cols>
          <w:pgMar w:left="320" w:top="230" w:right="339" w:bottom="1440" w:gutter="0" w:footer="0" w:header="0"/>
          <w:type w:val="continuous"/>
        </w:sectPr>
      </w:pPr>
    </w:p>
    <w:p>
      <w:pPr>
        <w:ind w:left="194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37" w:lineRule="exact"/>
        <w:rPr>
          <w:sz w:val="24"/>
          <w:szCs w:val="24"/>
          <w:color w:val="auto"/>
        </w:rPr>
      </w:pPr>
    </w:p>
    <w:p>
      <w:pPr>
        <w:sectPr>
          <w:pgSz w:w="11900" w:h="16838" w:orient="portrait"/>
          <w:cols w:equalWidth="0" w:num="2">
            <w:col w:w="7240" w:space="720"/>
            <w:col w:w="3280"/>
          </w:cols>
          <w:pgMar w:left="320" w:top="230" w:right="339" w:bottom="1440" w:gutter="0" w:footer="0" w:header="0"/>
          <w:type w:val="continuous"/>
        </w:sectPr>
      </w:pPr>
    </w:p>
    <w:p>
      <w:pPr>
        <w:ind w:left="19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161" w:lineRule="exact"/>
        <w:rPr>
          <w:sz w:val="24"/>
          <w:szCs w:val="24"/>
          <w:color w:val="auto"/>
        </w:rPr>
      </w:pPr>
    </w:p>
    <w:p>
      <w:pPr>
        <w:sectPr>
          <w:pgSz w:w="11900" w:h="16838" w:orient="portrait"/>
          <w:cols w:equalWidth="0" w:num="2">
            <w:col w:w="7220" w:space="720"/>
            <w:col w:w="3300"/>
          </w:cols>
          <w:pgMar w:left="320" w:top="230"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One H&amp;R Block Way, Kansas City, Missouri 64105</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(816) 854-3000</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240"/>
          </w:cols>
          <w:pgMar w:left="320" w:top="230" w:right="339" w:bottom="1440" w:gutter="0" w:footer="0" w:header="0"/>
          <w:type w:val="continuous"/>
        </w:sectPr>
      </w:pPr>
    </w:p>
    <w:p>
      <w:pPr>
        <w:spacing w:after="0" w:line="142" w:lineRule="exact"/>
        <w:rPr>
          <w:sz w:val="24"/>
          <w:szCs w:val="24"/>
          <w:color w:val="auto"/>
        </w:rPr>
      </w:pPr>
    </w:p>
    <w:p>
      <w:pPr>
        <w:ind w:left="174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Name of each exchange on which registered</w:t>
      </w:r>
    </w:p>
    <w:p>
      <w:pPr>
        <w:spacing w:after="0" w:line="41" w:lineRule="exact"/>
        <w:rPr>
          <w:sz w:val="24"/>
          <w:szCs w:val="24"/>
          <w:color w:val="auto"/>
        </w:rPr>
      </w:pPr>
    </w:p>
    <w:p>
      <w:pPr>
        <w:sectPr>
          <w:pgSz w:w="11900" w:h="16838" w:orient="portrait"/>
          <w:cols w:equalWidth="0" w:num="3">
            <w:col w:w="4300" w:space="720"/>
            <w:col w:w="1720" w:space="720"/>
            <w:col w:w="3780"/>
          </w:cols>
          <w:pgMar w:left="320" w:top="230" w:right="33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New York Stock Exchange</w:t>
      </w:r>
    </w:p>
    <w:p>
      <w:pPr>
        <w:spacing w:after="0" w:line="200" w:lineRule="exact"/>
        <w:rPr>
          <w:sz w:val="24"/>
          <w:szCs w:val="24"/>
          <w:color w:val="auto"/>
        </w:rPr>
      </w:pPr>
    </w:p>
    <w:p>
      <w:pPr>
        <w:sectPr>
          <w:pgSz w:w="11900" w:h="16838" w:orient="portrait"/>
          <w:cols w:equalWidth="0" w:num="3">
            <w:col w:w="4740" w:space="720"/>
            <w:col w:w="1820" w:space="720"/>
            <w:col w:w="3240"/>
          </w:cols>
          <w:pgMar w:left="320" w:top="230" w:right="339" w:bottom="1440" w:gutter="0" w:footer="0" w:header="0"/>
          <w:type w:val="continuous"/>
        </w:sectPr>
      </w:pPr>
    </w:p>
    <w:p>
      <w:pPr>
        <w:spacing w:after="0" w:line="14" w:lineRule="exact"/>
        <w:rPr>
          <w:sz w:val="24"/>
          <w:szCs w:val="24"/>
          <w:color w:val="auto"/>
        </w:rPr>
      </w:pPr>
    </w:p>
    <w:p>
      <w:pPr>
        <w:jc w:val="both"/>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tabs>
          <w:tab w:leader="none" w:pos="64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7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42" w:lineRule="exact"/>
        <w:rPr>
          <w:sz w:val="24"/>
          <w:szCs w:val="24"/>
          <w:color w:val="auto"/>
        </w:rPr>
      </w:pPr>
    </w:p>
    <w:p>
      <w:pPr>
        <w:jc w:val="both"/>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 w:lineRule="exact"/>
        <w:rPr>
          <w:sz w:val="24"/>
          <w:szCs w:val="24"/>
          <w:color w:val="auto"/>
        </w:rPr>
      </w:pPr>
    </w:p>
    <w:p>
      <w:pPr>
        <w:spacing w:after="0" w:line="196" w:lineRule="exact"/>
        <w:tabs>
          <w:tab w:leader="none" w:pos="1840" w:val="left"/>
          <w:tab w:leader="none" w:pos="3360" w:val="left"/>
          <w:tab w:leader="none" w:pos="5100" w:val="left"/>
          <w:tab w:leader="none" w:pos="69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7"/>
          <w:szCs w:val="17"/>
          <w:color w:val="auto"/>
        </w:rPr>
        <w:t>☐</w:t>
      </w:r>
      <w:r>
        <w:rPr>
          <w:sz w:val="20"/>
          <w:szCs w:val="20"/>
          <w:color w:val="auto"/>
        </w:rPr>
        <w:tab/>
      </w:r>
      <w:r>
        <w:rPr>
          <w:rFonts w:ascii="Arial" w:cs="Arial" w:eastAsia="Arial" w:hAnsi="Arial"/>
          <w:sz w:val="12"/>
          <w:szCs w:val="12"/>
          <w:color w:val="auto"/>
        </w:rPr>
        <w:t xml:space="preserve">Emerging growth company </w:t>
      </w:r>
      <w:r>
        <w:rPr>
          <w:rFonts w:ascii="MS PGothic" w:cs="MS PGothic" w:eastAsia="MS PGothic" w:hAnsi="MS PGothic"/>
          <w:sz w:val="16"/>
          <w:szCs w:val="16"/>
          <w:color w:val="auto"/>
        </w:rPr>
        <w:t>☐</w:t>
      </w:r>
    </w:p>
    <w:p>
      <w:pPr>
        <w:spacing w:after="0" w:line="262" w:lineRule="exact"/>
        <w:rPr>
          <w:sz w:val="24"/>
          <w:szCs w:val="24"/>
          <w:color w:val="auto"/>
        </w:rPr>
      </w:pPr>
    </w:p>
    <w:p>
      <w:pPr>
        <w:jc w:val="both"/>
        <w:spacing w:after="0" w:line="21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32" w:lineRule="exact"/>
        <w:rPr>
          <w:sz w:val="24"/>
          <w:szCs w:val="24"/>
          <w:color w:val="auto"/>
        </w:rPr>
      </w:pPr>
    </w:p>
    <w:p>
      <w:pPr>
        <w:spacing w:after="0" w:line="196" w:lineRule="exact"/>
        <w:tabs>
          <w:tab w:leader="none" w:pos="60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7"/>
          <w:szCs w:val="17"/>
          <w:color w:val="auto"/>
        </w:rPr>
        <w:t>☐</w:t>
      </w:r>
      <w:r>
        <w:rPr>
          <w:rFonts w:ascii="Arial" w:cs="Arial" w:eastAsia="Arial" w:hAnsi="Arial"/>
          <w:sz w:val="15"/>
          <w:szCs w:val="15"/>
          <w:color w:val="auto"/>
        </w:rPr>
        <w:tab/>
        <w:t xml:space="preserve">No </w:t>
      </w:r>
      <w:r>
        <w:rPr>
          <w:rFonts w:ascii="MS PGothic" w:cs="MS PGothic" w:eastAsia="MS PGothic" w:hAnsi="MS PGothic"/>
          <w:sz w:val="17"/>
          <w:szCs w:val="17"/>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the registrant's Common Stock, without par value, at the close of business on October 31, 2025: 126,425,305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786130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80"/>
        <w:spacing w:after="0"/>
        <w:rPr>
          <w:sz w:val="20"/>
          <w:szCs w:val="20"/>
          <w:color w:val="auto"/>
        </w:rPr>
      </w:pPr>
      <w:r>
        <w:rPr>
          <w:rFonts w:ascii="Arial" w:cs="Arial" w:eastAsia="Arial" w:hAnsi="Arial"/>
          <w:sz w:val="21"/>
          <w:szCs w:val="21"/>
          <w:b w:val="1"/>
          <w:bCs w:val="1"/>
          <w:color w:val="auto"/>
        </w:rPr>
        <w:t>Form 10-Q for the Period ended September 30, 2025</w:t>
      </w:r>
    </w:p>
    <w:p>
      <w:pPr>
        <w:spacing w:after="0" w:line="119" w:lineRule="exact"/>
        <w:rPr>
          <w:sz w:val="20"/>
          <w:szCs w:val="20"/>
          <w:color w:val="auto"/>
        </w:rPr>
      </w:pPr>
    </w:p>
    <w:p>
      <w:pPr>
        <w:ind w:left="4760"/>
        <w:spacing w:after="0"/>
        <w:rPr>
          <w:sz w:val="20"/>
          <w:szCs w:val="20"/>
          <w:color w:val="auto"/>
        </w:rPr>
      </w:pPr>
      <w:r>
        <w:rPr>
          <w:rFonts w:ascii="Arial" w:cs="Arial" w:eastAsia="Arial" w:hAnsi="Arial"/>
          <w:sz w:val="21"/>
          <w:szCs w:val="21"/>
          <w:b w:val="1"/>
          <w:bCs w:val="1"/>
          <w:color w:val="auto"/>
        </w:rPr>
        <w:t>Table of Contents</w:t>
      </w:r>
    </w:p>
    <w:p>
      <w:pPr>
        <w:spacing w:after="0" w:line="107" w:lineRule="exact"/>
        <w:rPr>
          <w:sz w:val="20"/>
          <w:szCs w:val="20"/>
          <w:color w:val="auto"/>
        </w:rPr>
      </w:pPr>
    </w:p>
    <w:p>
      <w:pPr>
        <w:ind w:left="5260"/>
        <w:spacing w:after="0"/>
        <w:rPr>
          <w:sz w:val="20"/>
          <w:szCs w:val="20"/>
          <w:color w:val="auto"/>
        </w:rPr>
      </w:pPr>
      <w:r>
        <w:rPr>
          <w:rFonts w:ascii="Arial" w:cs="Arial" w:eastAsia="Arial" w:hAnsi="Arial"/>
          <w:sz w:val="21"/>
          <w:szCs w:val="21"/>
          <w:b w:val="1"/>
          <w:bCs w:val="1"/>
          <w:color w:val="auto"/>
        </w:rPr>
        <w:t>PART I</w:t>
      </w:r>
    </w:p>
    <w:tbl>
      <w:tblPr>
        <w:tblLayout w:type="fixed"/>
        <w:tblInd w:w="0" w:type="dxa"/>
        <w:tblCellMar>
          <w:top w:w="0" w:type="dxa"/>
          <w:left w:w="0" w:type="dxa"/>
          <w:bottom w:w="0" w:type="dxa"/>
          <w:right w:w="0" w:type="dxa"/>
        </w:tblCellMar>
      </w:tblPr>
      <w:tr>
        <w:trPr>
          <w:trHeight w:val="256"/>
        </w:trPr>
        <w:tc>
          <w:tcPr>
            <w:tcW w:w="1160" w:type="dxa"/>
            <w:vAlign w:val="bottom"/>
            <w:gridSpan w:val="4"/>
            <w:shd w:val="clear" w:color="auto" w:fill="CCEEFF"/>
          </w:tcPr>
          <w:p>
            <w:pPr>
              <w:ind w:left="20"/>
              <w:spacing w:after="0" w:line="236" w:lineRule="exact"/>
              <w:rPr>
                <w:sz w:val="20"/>
                <w:szCs w:val="20"/>
                <w:color w:val="auto"/>
              </w:rPr>
            </w:pPr>
            <w:r>
              <w:rPr>
                <w:rFonts w:ascii="Arial" w:cs="Arial" w:eastAsia="Arial" w:hAnsi="Arial"/>
                <w:sz w:val="21"/>
                <w:szCs w:val="21"/>
                <w:color w:val="0000FF"/>
              </w:rPr>
              <w:t>Item 1.</w:t>
            </w:r>
          </w:p>
        </w:tc>
        <w:tc>
          <w:tcPr>
            <w:tcW w:w="8100" w:type="dxa"/>
            <w:vAlign w:val="bottom"/>
            <w:gridSpan w:val="21"/>
            <w:shd w:val="clear" w:color="auto" w:fill="CCEEFF"/>
          </w:tcPr>
          <w:p>
            <w:pPr>
              <w:spacing w:after="0" w:line="236" w:lineRule="exact"/>
              <w:rPr>
                <w:sz w:val="20"/>
                <w:szCs w:val="20"/>
                <w:color w:val="auto"/>
              </w:rPr>
            </w:pPr>
            <w:r>
              <w:rPr>
                <w:rFonts w:ascii="Arial" w:cs="Arial" w:eastAsia="Arial" w:hAnsi="Arial"/>
                <w:sz w:val="21"/>
                <w:szCs w:val="21"/>
                <w:color w:val="0000FF"/>
              </w:rPr>
              <w:t>Consolidated Statements of Operations and Comprehensive Loss</w:t>
            </w:r>
          </w:p>
        </w:tc>
        <w:tc>
          <w:tcPr>
            <w:tcW w:w="1500" w:type="dxa"/>
            <w:vAlign w:val="bottom"/>
            <w:gridSpan w:val="4"/>
            <w:shd w:val="clear" w:color="auto" w:fill="CCEEFF"/>
          </w:tcPr>
          <w:p>
            <w:pPr>
              <w:jc w:val="center"/>
              <w:ind w:left="1157"/>
              <w:spacing w:after="0" w:line="236" w:lineRule="exact"/>
              <w:rPr>
                <w:sz w:val="20"/>
                <w:szCs w:val="20"/>
                <w:color w:val="auto"/>
              </w:rPr>
            </w:pPr>
            <w:r>
              <w:rPr>
                <w:rFonts w:ascii="Arial" w:cs="Arial" w:eastAsia="Arial" w:hAnsi="Arial"/>
                <w:sz w:val="21"/>
                <w:szCs w:val="21"/>
                <w:color w:val="0000FF"/>
              </w:rPr>
              <w:t>1</w:t>
            </w:r>
          </w:p>
        </w:tc>
        <w:tc>
          <w:tcPr>
            <w:tcW w:w="480" w:type="dxa"/>
            <w:vAlign w:val="bottom"/>
            <w:shd w:val="clear" w:color="auto" w:fill="CCEEFF"/>
          </w:tcPr>
          <w:p>
            <w:pPr>
              <w:spacing w:after="0"/>
              <w:rPr>
                <w:sz w:val="22"/>
                <w:szCs w:val="22"/>
                <w:color w:val="auto"/>
              </w:rPr>
            </w:pPr>
          </w:p>
        </w:tc>
      </w:tr>
      <w:tr>
        <w:trPr>
          <w:trHeight w:val="198"/>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4760" w:type="dxa"/>
            <w:vAlign w:val="bottom"/>
            <w:tcBorders>
              <w:top w:val="single" w:sz="8" w:color="0000FF"/>
              <w:bottom w:val="single" w:sz="8" w:color="0000FF"/>
            </w:tcBorders>
            <w:gridSpan w:val="15"/>
            <w:shd w:val="clear" w:color="auto" w:fill="CCEEFF"/>
          </w:tcPr>
          <w:p>
            <w:pPr>
              <w:jc w:val="right"/>
              <w:spacing w:after="0" w:line="166" w:lineRule="exact"/>
              <w:rPr>
                <w:sz w:val="20"/>
                <w:szCs w:val="20"/>
                <w:color w:val="auto"/>
              </w:rPr>
            </w:pPr>
            <w:r>
              <w:rPr>
                <w:rFonts w:ascii="Arial" w:cs="Arial" w:eastAsia="Arial" w:hAnsi="Arial"/>
                <w:sz w:val="19"/>
                <w:szCs w:val="19"/>
                <w:color w:val="0000FF"/>
              </w:rPr>
              <w:t>Three months ended September 30, 2025 and 2024</w:t>
            </w:r>
          </w:p>
        </w:tc>
        <w:tc>
          <w:tcPr>
            <w:tcW w:w="110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21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Consolidated Balance Sheets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w:t>
            </w:r>
          </w:p>
        </w:tc>
        <w:tc>
          <w:tcPr>
            <w:tcW w:w="48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420" w:type="dxa"/>
            <w:vAlign w:val="bottom"/>
            <w:tcBorders>
              <w:top w:val="single" w:sz="8" w:color="0000FF"/>
            </w:tcBorders>
            <w:gridSpan w:val="8"/>
          </w:tcPr>
          <w:p>
            <w:pPr>
              <w:spacing w:after="0" w:line="187" w:lineRule="exact"/>
              <w:rPr>
                <w:sz w:val="20"/>
                <w:szCs w:val="20"/>
                <w:color w:val="auto"/>
              </w:rPr>
            </w:pPr>
            <w:r>
              <w:rPr>
                <w:rFonts w:ascii="Arial" w:cs="Arial" w:eastAsia="Arial" w:hAnsi="Arial"/>
                <w:sz w:val="21"/>
                <w:szCs w:val="21"/>
                <w:color w:val="0000FF"/>
                <w:w w:val="98"/>
              </w:rPr>
              <w:t>As of September 30, 2025</w:t>
            </w:r>
          </w:p>
        </w:tc>
        <w:tc>
          <w:tcPr>
            <w:tcW w:w="5400" w:type="dxa"/>
            <w:vAlign w:val="bottom"/>
            <w:gridSpan w:val="10"/>
          </w:tcPr>
          <w:p>
            <w:pPr>
              <w:jc w:val="right"/>
              <w:ind w:right="3660"/>
              <w:spacing w:after="0" w:line="187" w:lineRule="exact"/>
              <w:rPr>
                <w:sz w:val="20"/>
                <w:szCs w:val="20"/>
                <w:color w:val="auto"/>
              </w:rPr>
            </w:pPr>
            <w:r>
              <w:rPr>
                <w:rFonts w:ascii="Arial" w:cs="Arial" w:eastAsia="Arial" w:hAnsi="Arial"/>
                <w:sz w:val="21"/>
                <w:szCs w:val="21"/>
                <w:color w:val="0000FF"/>
                <w:w w:val="98"/>
              </w:rPr>
              <w:t>and June 30, 2025</w:t>
            </w: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100" w:type="dxa"/>
            <w:vAlign w:val="bottom"/>
            <w:gridSpan w:val="21"/>
            <w:shd w:val="clear" w:color="auto" w:fill="CCEEFF"/>
          </w:tcPr>
          <w:p>
            <w:pPr>
              <w:spacing w:after="0" w:line="207" w:lineRule="exact"/>
              <w:rPr>
                <w:sz w:val="20"/>
                <w:szCs w:val="20"/>
                <w:color w:val="auto"/>
              </w:rPr>
            </w:pPr>
            <w:r>
              <w:rPr>
                <w:rFonts w:ascii="Arial" w:cs="Arial" w:eastAsia="Arial" w:hAnsi="Arial"/>
                <w:sz w:val="21"/>
                <w:szCs w:val="21"/>
                <w:color w:val="0000FF"/>
              </w:rPr>
              <w:t>Consolidated Statements of Cash Flows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3</w:t>
            </w:r>
          </w:p>
        </w:tc>
        <w:tc>
          <w:tcPr>
            <w:tcW w:w="480" w:type="dxa"/>
            <w:vAlign w:val="bottom"/>
            <w:shd w:val="clear" w:color="auto" w:fill="CCEEFF"/>
          </w:tcPr>
          <w:p>
            <w:pPr>
              <w:spacing w:after="0"/>
              <w:rPr>
                <w:sz w:val="17"/>
                <w:szCs w:val="17"/>
                <w:color w:val="auto"/>
              </w:rPr>
            </w:pP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3440" w:type="dxa"/>
            <w:vAlign w:val="bottom"/>
            <w:tcBorders>
              <w:top w:val="single" w:sz="8" w:color="0000FF"/>
              <w:bottom w:val="single" w:sz="8" w:color="0000FF"/>
            </w:tcBorders>
            <w:gridSpan w:val="11"/>
            <w:shd w:val="clear" w:color="auto" w:fill="CCEEFF"/>
          </w:tcPr>
          <w:p>
            <w:pPr>
              <w:spacing w:after="0" w:line="187" w:lineRule="exact"/>
              <w:rPr>
                <w:sz w:val="20"/>
                <w:szCs w:val="20"/>
                <w:color w:val="auto"/>
              </w:rPr>
            </w:pPr>
            <w:r>
              <w:rPr>
                <w:rFonts w:ascii="Arial" w:cs="Arial" w:eastAsia="Arial" w:hAnsi="Arial"/>
                <w:sz w:val="21"/>
                <w:szCs w:val="21"/>
                <w:color w:val="0000FF"/>
              </w:rPr>
              <w:t>Three months ended September 30,</w:t>
            </w:r>
          </w:p>
        </w:tc>
        <w:tc>
          <w:tcPr>
            <w:tcW w:w="1320" w:type="dxa"/>
            <w:vAlign w:val="bottom"/>
            <w:tcBorders>
              <w:top w:val="single" w:sz="8" w:color="CCEEFF"/>
              <w:bottom w:val="single" w:sz="8" w:color="0000FF"/>
            </w:tcBorders>
            <w:gridSpan w:val="4"/>
            <w:shd w:val="clear" w:color="auto" w:fill="CCEEFF"/>
          </w:tcPr>
          <w:p>
            <w:pPr>
              <w:jc w:val="right"/>
              <w:spacing w:after="0" w:line="187" w:lineRule="exact"/>
              <w:rPr>
                <w:sz w:val="20"/>
                <w:szCs w:val="20"/>
                <w:color w:val="auto"/>
              </w:rPr>
            </w:pPr>
            <w:r>
              <w:rPr>
                <w:rFonts w:ascii="Arial" w:cs="Arial" w:eastAsia="Arial" w:hAnsi="Arial"/>
                <w:sz w:val="21"/>
                <w:szCs w:val="21"/>
                <w:color w:val="0000FF"/>
                <w:w w:val="92"/>
              </w:rPr>
              <w:t>2025 and 2024</w:t>
            </w:r>
          </w:p>
        </w:tc>
        <w:tc>
          <w:tcPr>
            <w:tcW w:w="312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Consolidated Statements of Stockholders' Equity</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4</w:t>
            </w:r>
          </w:p>
        </w:tc>
        <w:tc>
          <w:tcPr>
            <w:tcW w:w="48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220" w:type="dxa"/>
            <w:vAlign w:val="bottom"/>
            <w:tcBorders>
              <w:top w:val="single" w:sz="8" w:color="0000FF"/>
            </w:tcBorders>
            <w:gridSpan w:val="13"/>
          </w:tcPr>
          <w:p>
            <w:pPr>
              <w:jc w:val="right"/>
              <w:spacing w:after="0" w:line="187" w:lineRule="exact"/>
              <w:rPr>
                <w:sz w:val="20"/>
                <w:szCs w:val="20"/>
                <w:color w:val="auto"/>
              </w:rPr>
            </w:pPr>
            <w:r>
              <w:rPr>
                <w:rFonts w:ascii="Arial" w:cs="Arial" w:eastAsia="Arial" w:hAnsi="Arial"/>
                <w:sz w:val="21"/>
                <w:szCs w:val="21"/>
                <w:color w:val="0000FF"/>
                <w:w w:val="97"/>
              </w:rPr>
              <w:t>Three months ended September 30, 2025 and</w:t>
            </w:r>
          </w:p>
        </w:tc>
        <w:tc>
          <w:tcPr>
            <w:tcW w:w="960" w:type="dxa"/>
            <w:vAlign w:val="bottom"/>
            <w:gridSpan w:val="3"/>
          </w:tcPr>
          <w:p>
            <w:pPr>
              <w:jc w:val="right"/>
              <w:ind w:right="420"/>
              <w:spacing w:after="0" w:line="187" w:lineRule="exact"/>
              <w:rPr>
                <w:sz w:val="20"/>
                <w:szCs w:val="20"/>
                <w:color w:val="auto"/>
              </w:rPr>
            </w:pPr>
            <w:r>
              <w:rPr>
                <w:rFonts w:ascii="Arial" w:cs="Arial" w:eastAsia="Arial" w:hAnsi="Arial"/>
                <w:sz w:val="21"/>
                <w:szCs w:val="21"/>
                <w:color w:val="0000FF"/>
              </w:rPr>
              <w:t>2024</w:t>
            </w:r>
          </w:p>
        </w:tc>
        <w:tc>
          <w:tcPr>
            <w:tcW w:w="160" w:type="dxa"/>
            <w:vAlign w:val="bottom"/>
          </w:tcPr>
          <w:p>
            <w:pPr>
              <w:spacing w:after="0"/>
              <w:rPr>
                <w:sz w:val="16"/>
                <w:szCs w:val="16"/>
                <w:color w:val="auto"/>
              </w:rPr>
            </w:pPr>
          </w:p>
        </w:tc>
        <w:tc>
          <w:tcPr>
            <w:tcW w:w="254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2"/>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100" w:type="dxa"/>
            <w:vAlign w:val="bottom"/>
            <w:gridSpan w:val="21"/>
            <w:shd w:val="clear" w:color="auto" w:fill="CCEEFF"/>
          </w:tcPr>
          <w:p>
            <w:pPr>
              <w:spacing w:after="0" w:line="207" w:lineRule="exact"/>
              <w:rPr>
                <w:sz w:val="20"/>
                <w:szCs w:val="20"/>
                <w:color w:val="auto"/>
              </w:rPr>
            </w:pPr>
            <w:r>
              <w:rPr>
                <w:rFonts w:ascii="Arial" w:cs="Arial" w:eastAsia="Arial" w:hAnsi="Arial"/>
                <w:sz w:val="21"/>
                <w:szCs w:val="21"/>
                <w:color w:val="0000FF"/>
              </w:rPr>
              <w:t>Notes to Consolidated Financial Statements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5</w:t>
            </w:r>
          </w:p>
        </w:tc>
        <w:tc>
          <w:tcPr>
            <w:tcW w:w="480" w:type="dxa"/>
            <w:vAlign w:val="bottom"/>
            <w:shd w:val="clear" w:color="auto" w:fill="CCEEFF"/>
          </w:tcPr>
          <w:p>
            <w:pPr>
              <w:spacing w:after="0"/>
              <w:rPr>
                <w:sz w:val="17"/>
                <w:szCs w:val="17"/>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2.</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w w:val="97"/>
              </w:rPr>
              <w:t>Management's Discussion and Analysis of Financial Condition and Results of Operations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16</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3.</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5400" w:type="dxa"/>
            <w:vAlign w:val="bottom"/>
            <w:tcBorders>
              <w:bottom w:val="single" w:sz="8" w:color="0000FF"/>
            </w:tcBorders>
            <w:gridSpan w:val="18"/>
            <w:shd w:val="clear" w:color="auto" w:fill="CCEEFF"/>
          </w:tcPr>
          <w:p>
            <w:pPr>
              <w:spacing w:after="0" w:line="207" w:lineRule="exact"/>
              <w:rPr>
                <w:sz w:val="20"/>
                <w:szCs w:val="20"/>
                <w:color w:val="auto"/>
              </w:rPr>
            </w:pPr>
            <w:r>
              <w:rPr>
                <w:rFonts w:ascii="Arial" w:cs="Arial" w:eastAsia="Arial" w:hAnsi="Arial"/>
                <w:sz w:val="21"/>
                <w:szCs w:val="21"/>
                <w:color w:val="0000FF"/>
                <w:w w:val="97"/>
              </w:rPr>
              <w:t>Quantitative and Qualitative Disclosures About Market Risk</w:t>
            </w:r>
          </w:p>
        </w:tc>
        <w:tc>
          <w:tcPr>
            <w:tcW w:w="2700" w:type="dxa"/>
            <w:vAlign w:val="bottom"/>
            <w:tcBorders>
              <w:bottom w:val="single" w:sz="8" w:color="CCEEFF"/>
            </w:tcBorders>
            <w:gridSpan w:val="3"/>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Arial" w:cs="Arial" w:eastAsia="Arial" w:hAnsi="Arial"/>
                <w:sz w:val="21"/>
                <w:szCs w:val="21"/>
                <w:color w:val="0000FF"/>
              </w:rPr>
              <w:t>23</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4.</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Controls and Procedures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23</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58"/>
        </w:trPr>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100" w:type="dxa"/>
            <w:vAlign w:val="bottom"/>
            <w:gridSpan w:val="7"/>
            <w:shd w:val="clear" w:color="auto" w:fill="CCEEFF"/>
          </w:tcPr>
          <w:p>
            <w:pPr>
              <w:ind w:left="60"/>
              <w:spacing w:after="0"/>
              <w:rPr>
                <w:sz w:val="20"/>
                <w:szCs w:val="20"/>
                <w:color w:val="auto"/>
              </w:rPr>
            </w:pPr>
            <w:r>
              <w:rPr>
                <w:rFonts w:ascii="Arial" w:cs="Arial" w:eastAsia="Arial" w:hAnsi="Arial"/>
                <w:sz w:val="21"/>
                <w:szCs w:val="21"/>
                <w:b w:val="1"/>
                <w:bCs w:val="1"/>
                <w:color w:val="auto"/>
              </w:rPr>
              <w:t>PART II</w:t>
            </w: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1.</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Legal Proceedings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23</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06"/>
        </w:trPr>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line="207" w:lineRule="exact"/>
              <w:rPr>
                <w:sz w:val="20"/>
                <w:szCs w:val="20"/>
                <w:color w:val="auto"/>
              </w:rPr>
            </w:pPr>
            <w:r>
              <w:rPr>
                <w:rFonts w:ascii="Arial" w:cs="Arial" w:eastAsia="Arial" w:hAnsi="Arial"/>
                <w:sz w:val="21"/>
                <w:szCs w:val="21"/>
                <w:color w:val="0000FF"/>
              </w:rPr>
              <w:t>Item 1A.</w:t>
            </w:r>
          </w:p>
        </w:tc>
        <w:tc>
          <w:tcPr>
            <w:tcW w:w="8100" w:type="dxa"/>
            <w:vAlign w:val="bottom"/>
            <w:gridSpan w:val="21"/>
            <w:shd w:val="clear" w:color="auto" w:fill="CCEEFF"/>
          </w:tcPr>
          <w:p>
            <w:pPr>
              <w:spacing w:after="0" w:line="207" w:lineRule="exact"/>
              <w:rPr>
                <w:sz w:val="20"/>
                <w:szCs w:val="20"/>
                <w:color w:val="auto"/>
              </w:rPr>
            </w:pPr>
            <w:r>
              <w:rPr>
                <w:rFonts w:ascii="Arial" w:cs="Arial" w:eastAsia="Arial" w:hAnsi="Arial"/>
                <w:sz w:val="21"/>
                <w:szCs w:val="21"/>
                <w:color w:val="0000FF"/>
              </w:rPr>
              <w:t>Risk Factors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23</w:t>
            </w:r>
          </w:p>
        </w:tc>
        <w:tc>
          <w:tcPr>
            <w:tcW w:w="480" w:type="dxa"/>
            <w:vAlign w:val="bottom"/>
            <w:shd w:val="clear" w:color="auto" w:fill="CCEEFF"/>
          </w:tcPr>
          <w:p>
            <w:pPr>
              <w:spacing w:after="0"/>
              <w:rPr>
                <w:sz w:val="17"/>
                <w:szCs w:val="17"/>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spacing w:after="0" w:line="207" w:lineRule="exact"/>
              <w:rPr>
                <w:sz w:val="20"/>
                <w:szCs w:val="20"/>
                <w:color w:val="auto"/>
              </w:rPr>
            </w:pPr>
            <w:r>
              <w:rPr>
                <w:rFonts w:ascii="Arial" w:cs="Arial" w:eastAsia="Arial" w:hAnsi="Arial"/>
                <w:sz w:val="21"/>
                <w:szCs w:val="21"/>
                <w:color w:val="0000FF"/>
              </w:rPr>
              <w:t>Item 2.</w:t>
            </w:r>
          </w:p>
        </w:tc>
        <w:tc>
          <w:tcPr>
            <w:tcW w:w="380" w:type="dxa"/>
            <w:vAlign w:val="bottom"/>
          </w:tcPr>
          <w:p>
            <w:pPr>
              <w:spacing w:after="0"/>
              <w:rPr>
                <w:sz w:val="17"/>
                <w:szCs w:val="17"/>
                <w:color w:val="auto"/>
              </w:rPr>
            </w:pP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Unregistered Sales of Equity Securities and Use of Proceeds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23</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3.</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2920" w:type="dxa"/>
            <w:vAlign w:val="bottom"/>
            <w:tcBorders>
              <w:bottom w:val="single" w:sz="8" w:color="0000FF"/>
            </w:tcBorders>
            <w:gridSpan w:val="12"/>
            <w:shd w:val="clear" w:color="auto" w:fill="CCEEFF"/>
          </w:tcPr>
          <w:p>
            <w:pPr>
              <w:spacing w:after="0" w:line="207" w:lineRule="exact"/>
              <w:rPr>
                <w:sz w:val="20"/>
                <w:szCs w:val="20"/>
                <w:color w:val="auto"/>
              </w:rPr>
            </w:pPr>
            <w:r>
              <w:rPr>
                <w:rFonts w:ascii="Arial" w:cs="Arial" w:eastAsia="Arial" w:hAnsi="Arial"/>
                <w:sz w:val="21"/>
                <w:szCs w:val="21"/>
                <w:color w:val="0000FF"/>
                <w:w w:val="97"/>
              </w:rPr>
              <w:t>Defaults Upon Senior Securities</w:t>
            </w:r>
          </w:p>
        </w:tc>
        <w:tc>
          <w:tcPr>
            <w:tcW w:w="5180" w:type="dxa"/>
            <w:vAlign w:val="bottom"/>
            <w:tcBorders>
              <w:bottom w:val="single" w:sz="8" w:color="CCEEFF"/>
            </w:tcBorders>
            <w:gridSpan w:val="9"/>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Arial" w:cs="Arial" w:eastAsia="Arial" w:hAnsi="Arial"/>
                <w:sz w:val="21"/>
                <w:szCs w:val="21"/>
                <w:color w:val="0000FF"/>
              </w:rPr>
              <w:t>23</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4.</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Mine Safety Disclosures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23</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0000FF"/>
            </w:tcBorders>
            <w:shd w:val="clear" w:color="auto" w:fill="CCEEFF"/>
          </w:tcPr>
          <w:p>
            <w:pPr>
              <w:spacing w:after="0" w:line="207" w:lineRule="exact"/>
              <w:rPr>
                <w:sz w:val="20"/>
                <w:szCs w:val="20"/>
                <w:color w:val="auto"/>
              </w:rPr>
            </w:pPr>
            <w:r>
              <w:rPr>
                <w:rFonts w:ascii="Arial" w:cs="Arial" w:eastAsia="Arial" w:hAnsi="Arial"/>
                <w:sz w:val="21"/>
                <w:szCs w:val="21"/>
                <w:color w:val="0000FF"/>
                <w:w w:val="96"/>
              </w:rPr>
              <w:t>Item 5.</w:t>
            </w:r>
          </w:p>
        </w:tc>
        <w:tc>
          <w:tcPr>
            <w:tcW w:w="500" w:type="dxa"/>
            <w:vAlign w:val="bottom"/>
            <w:tcBorders>
              <w:bottom w:val="single" w:sz="8" w:color="CCEEFF"/>
            </w:tcBorders>
            <w:gridSpan w:val="2"/>
            <w:shd w:val="clear" w:color="auto" w:fill="CCEEFF"/>
          </w:tcPr>
          <w:p>
            <w:pPr>
              <w:spacing w:after="0"/>
              <w:rPr>
                <w:sz w:val="20"/>
                <w:szCs w:val="20"/>
                <w:color w:val="auto"/>
              </w:rPr>
            </w:pPr>
          </w:p>
        </w:tc>
        <w:tc>
          <w:tcPr>
            <w:tcW w:w="1600" w:type="dxa"/>
            <w:vAlign w:val="bottom"/>
            <w:tcBorders>
              <w:bottom w:val="single" w:sz="8" w:color="0000FF"/>
            </w:tcBorders>
            <w:gridSpan w:val="7"/>
            <w:shd w:val="clear" w:color="auto" w:fill="CCEEFF"/>
          </w:tcPr>
          <w:p>
            <w:pPr>
              <w:spacing w:after="0" w:line="207" w:lineRule="exact"/>
              <w:rPr>
                <w:sz w:val="20"/>
                <w:szCs w:val="20"/>
                <w:color w:val="auto"/>
              </w:rPr>
            </w:pPr>
            <w:r>
              <w:rPr>
                <w:rFonts w:ascii="Arial" w:cs="Arial" w:eastAsia="Arial" w:hAnsi="Arial"/>
                <w:sz w:val="21"/>
                <w:szCs w:val="21"/>
                <w:color w:val="0000FF"/>
                <w:w w:val="96"/>
              </w:rPr>
              <w:t>Other Information</w:t>
            </w:r>
          </w:p>
        </w:tc>
        <w:tc>
          <w:tcPr>
            <w:tcW w:w="6500" w:type="dxa"/>
            <w:vAlign w:val="bottom"/>
            <w:tcBorders>
              <w:bottom w:val="single" w:sz="8" w:color="CCEEFF"/>
            </w:tcBorders>
            <w:gridSpan w:val="14"/>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FF"/>
            </w:tcBorders>
            <w:gridSpan w:val="3"/>
            <w:shd w:val="clear" w:color="auto" w:fill="CCEEFF"/>
          </w:tcPr>
          <w:p>
            <w:pPr>
              <w:jc w:val="center"/>
              <w:spacing w:after="0" w:line="207" w:lineRule="exact"/>
              <w:rPr>
                <w:sz w:val="20"/>
                <w:szCs w:val="20"/>
                <w:color w:val="auto"/>
              </w:rPr>
            </w:pPr>
            <w:r>
              <w:rPr>
                <w:rFonts w:ascii="Arial" w:cs="Arial" w:eastAsia="Arial" w:hAnsi="Arial"/>
                <w:sz w:val="21"/>
                <w:szCs w:val="21"/>
                <w:color w:val="0000FF"/>
              </w:rPr>
              <w:t>24</w:t>
            </w:r>
          </w:p>
        </w:tc>
        <w:tc>
          <w:tcPr>
            <w:tcW w:w="480" w:type="dxa"/>
            <w:vAlign w:val="bottom"/>
            <w:tcBorders>
              <w:bottom w:val="single" w:sz="8" w:color="CCEEFF"/>
            </w:tcBorders>
            <w:shd w:val="clear" w:color="auto" w:fill="CCEEFF"/>
          </w:tcPr>
          <w:p>
            <w:pPr>
              <w:spacing w:after="0"/>
              <w:rPr>
                <w:sz w:val="20"/>
                <w:szCs w:val="20"/>
                <w:color w:val="auto"/>
              </w:rPr>
            </w:pPr>
          </w:p>
        </w:tc>
      </w:tr>
      <w:tr>
        <w:trPr>
          <w:trHeight w:val="206"/>
        </w:trPr>
        <w:tc>
          <w:tcPr>
            <w:tcW w:w="1160" w:type="dxa"/>
            <w:vAlign w:val="bottom"/>
            <w:gridSpan w:val="4"/>
          </w:tcPr>
          <w:p>
            <w:pPr>
              <w:ind w:left="20"/>
              <w:spacing w:after="0" w:line="207" w:lineRule="exact"/>
              <w:rPr>
                <w:sz w:val="20"/>
                <w:szCs w:val="20"/>
                <w:color w:val="auto"/>
              </w:rPr>
            </w:pPr>
            <w:r>
              <w:rPr>
                <w:rFonts w:ascii="Arial" w:cs="Arial" w:eastAsia="Arial" w:hAnsi="Arial"/>
                <w:sz w:val="21"/>
                <w:szCs w:val="21"/>
                <w:color w:val="0000FF"/>
              </w:rPr>
              <w:t>Item 6.</w:t>
            </w:r>
          </w:p>
        </w:tc>
        <w:tc>
          <w:tcPr>
            <w:tcW w:w="8100" w:type="dxa"/>
            <w:vAlign w:val="bottom"/>
            <w:gridSpan w:val="21"/>
          </w:tcPr>
          <w:p>
            <w:pPr>
              <w:spacing w:after="0" w:line="207" w:lineRule="exact"/>
              <w:rPr>
                <w:sz w:val="20"/>
                <w:szCs w:val="20"/>
                <w:color w:val="auto"/>
              </w:rPr>
            </w:pPr>
            <w:r>
              <w:rPr>
                <w:rFonts w:ascii="Arial" w:cs="Arial" w:eastAsia="Arial" w:hAnsi="Arial"/>
                <w:sz w:val="21"/>
                <w:szCs w:val="21"/>
                <w:color w:val="0000FF"/>
              </w:rPr>
              <w:t>Exhibits</w:t>
            </w:r>
          </w:p>
        </w:tc>
        <w:tc>
          <w:tcPr>
            <w:tcW w:w="1500" w:type="dxa"/>
            <w:vAlign w:val="bottom"/>
            <w:gridSpan w:val="4"/>
          </w:tcPr>
          <w:p>
            <w:pPr>
              <w:jc w:val="center"/>
              <w:ind w:left="1157"/>
              <w:spacing w:after="0" w:line="207" w:lineRule="exact"/>
              <w:rPr>
                <w:sz w:val="20"/>
                <w:szCs w:val="20"/>
                <w:color w:val="auto"/>
              </w:rPr>
            </w:pPr>
            <w:r>
              <w:rPr>
                <w:rFonts w:ascii="Arial" w:cs="Arial" w:eastAsia="Arial" w:hAnsi="Arial"/>
                <w:sz w:val="21"/>
                <w:szCs w:val="21"/>
                <w:color w:val="0000FF"/>
              </w:rPr>
              <w:t>24</w:t>
            </w:r>
          </w:p>
        </w:tc>
        <w:tc>
          <w:tcPr>
            <w:tcW w:w="480" w:type="dxa"/>
            <w:vAlign w:val="bottom"/>
          </w:tcPr>
          <w:p>
            <w:pPr>
              <w:spacing w:after="0"/>
              <w:rPr>
                <w:sz w:val="17"/>
                <w:szCs w:val="17"/>
                <w:color w:val="auto"/>
              </w:rPr>
            </w:pPr>
          </w:p>
        </w:tc>
      </w:tr>
      <w:tr>
        <w:trPr>
          <w:trHeight w:val="32"/>
        </w:trPr>
        <w:tc>
          <w:tcPr>
            <w:tcW w:w="2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100" w:type="dxa"/>
            <w:vAlign w:val="bottom"/>
            <w:gridSpan w:val="21"/>
            <w:shd w:val="clear" w:color="auto" w:fill="CCEEFF"/>
          </w:tcPr>
          <w:p>
            <w:pPr>
              <w:spacing w:after="0" w:line="207" w:lineRule="exact"/>
              <w:rPr>
                <w:sz w:val="20"/>
                <w:szCs w:val="20"/>
                <w:color w:val="auto"/>
              </w:rPr>
            </w:pPr>
            <w:r>
              <w:rPr>
                <w:rFonts w:ascii="Arial" w:cs="Arial" w:eastAsia="Arial" w:hAnsi="Arial"/>
                <w:sz w:val="21"/>
                <w:szCs w:val="21"/>
                <w:color w:val="0000FF"/>
              </w:rPr>
              <w:t>Signatures</w:t>
            </w:r>
          </w:p>
        </w:tc>
        <w:tc>
          <w:tcPr>
            <w:tcW w:w="1500" w:type="dxa"/>
            <w:vAlign w:val="bottom"/>
            <w:gridSpan w:val="4"/>
            <w:shd w:val="clear" w:color="auto" w:fill="CCEEFF"/>
          </w:tcPr>
          <w:p>
            <w:pPr>
              <w:jc w:val="center"/>
              <w:ind w:left="1157"/>
              <w:spacing w:after="0" w:line="207" w:lineRule="exact"/>
              <w:rPr>
                <w:sz w:val="20"/>
                <w:szCs w:val="20"/>
                <w:color w:val="auto"/>
              </w:rPr>
            </w:pPr>
            <w:r>
              <w:rPr>
                <w:rFonts w:ascii="Arial" w:cs="Arial" w:eastAsia="Arial" w:hAnsi="Arial"/>
                <w:sz w:val="21"/>
                <w:szCs w:val="21"/>
                <w:color w:val="0000FF"/>
              </w:rPr>
              <w:t>25</w:t>
            </w:r>
          </w:p>
        </w:tc>
        <w:tc>
          <w:tcPr>
            <w:tcW w:w="480" w:type="dxa"/>
            <w:vAlign w:val="bottom"/>
            <w:shd w:val="clear" w:color="auto" w:fill="CCEEFF"/>
          </w:tcPr>
          <w:p>
            <w:pPr>
              <w:spacing w:after="0"/>
              <w:rPr>
                <w:sz w:val="20"/>
                <w:szCs w:val="20"/>
                <w:color w:val="auto"/>
              </w:rPr>
            </w:pPr>
          </w:p>
        </w:tc>
      </w:tr>
      <w:tr>
        <w:trPr>
          <w:trHeight w:val="1772"/>
        </w:trPr>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040" w:type="dxa"/>
            <w:vAlign w:val="bottom"/>
          </w:tcPr>
          <w:p>
            <w:pPr>
              <w:spacing w:after="0"/>
              <w:rPr>
                <w:sz w:val="20"/>
                <w:szCs w:val="20"/>
                <w:color w:val="auto"/>
              </w:rPr>
            </w:pPr>
            <w:r>
              <w:rPr>
                <w:rFonts w:ascii="Arial" w:cs="Arial" w:eastAsia="Arial" w:hAnsi="Arial"/>
                <w:sz w:val="24"/>
                <w:szCs w:val="24"/>
                <w:b w:val="1"/>
                <w:bCs w:val="1"/>
                <w:color w:val="14AA40"/>
              </w:rPr>
              <w:t>PART I</w:t>
            </w:r>
          </w:p>
        </w:tc>
        <w:tc>
          <w:tcPr>
            <w:tcW w:w="6460" w:type="dxa"/>
            <w:vAlign w:val="bottom"/>
          </w:tcPr>
          <w:p>
            <w:pPr>
              <w:spacing w:after="0"/>
              <w:rPr>
                <w:sz w:val="20"/>
                <w:szCs w:val="20"/>
                <w:color w:val="auto"/>
              </w:rPr>
            </w:pPr>
            <w:r>
              <w:rPr>
                <w:rFonts w:ascii="Arial" w:cs="Arial" w:eastAsia="Arial" w:hAnsi="Arial"/>
                <w:sz w:val="24"/>
                <w:szCs w:val="24"/>
                <w:b w:val="1"/>
                <w:bCs w:val="1"/>
                <w:color w:val="14AA40"/>
              </w:rPr>
              <w:t>FINANCIAL INFORMATION</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040" w:type="dxa"/>
            <w:vAlign w:val="bottom"/>
          </w:tcPr>
          <w:p>
            <w:pPr>
              <w:spacing w:after="0"/>
              <w:rPr>
                <w:sz w:val="20"/>
                <w:szCs w:val="20"/>
                <w:color w:val="auto"/>
              </w:rPr>
            </w:pPr>
            <w:r>
              <w:rPr>
                <w:rFonts w:ascii="Arial" w:cs="Arial" w:eastAsia="Arial" w:hAnsi="Arial"/>
                <w:sz w:val="24"/>
                <w:szCs w:val="24"/>
                <w:b w:val="1"/>
                <w:bCs w:val="1"/>
                <w:color w:val="14AA40"/>
              </w:rPr>
              <w:t>ITEM 1.</w:t>
            </w:r>
          </w:p>
        </w:tc>
        <w:tc>
          <w:tcPr>
            <w:tcW w:w="6460" w:type="dxa"/>
            <w:vAlign w:val="bottom"/>
          </w:tcPr>
          <w:p>
            <w:pPr>
              <w:ind w:left="80"/>
              <w:spacing w:after="0"/>
              <w:rPr>
                <w:sz w:val="20"/>
                <w:szCs w:val="20"/>
                <w:color w:val="auto"/>
              </w:rPr>
            </w:pPr>
            <w:r>
              <w:rPr>
                <w:rFonts w:ascii="Arial" w:cs="Arial" w:eastAsia="Arial" w:hAnsi="Arial"/>
                <w:sz w:val="24"/>
                <w:szCs w:val="24"/>
                <w:b w:val="1"/>
                <w:bCs w:val="1"/>
                <w:color w:val="14AA40"/>
              </w:rPr>
              <w:t>FINANCIAL STATEMENTS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50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7500" w:type="dxa"/>
            <w:vAlign w:val="bottom"/>
            <w:gridSpan w:val="2"/>
          </w:tcPr>
          <w:p>
            <w:pPr>
              <w:ind w:left="20"/>
              <w:spacing w:after="0" w:line="212" w:lineRule="exact"/>
              <w:rPr>
                <w:sz w:val="20"/>
                <w:szCs w:val="20"/>
                <w:color w:val="auto"/>
              </w:rPr>
            </w:pPr>
            <w:r>
              <w:rPr>
                <w:rFonts w:ascii="Arial" w:cs="Arial" w:eastAsia="Arial" w:hAnsi="Arial"/>
                <w:sz w:val="24"/>
                <w:szCs w:val="24"/>
                <w:b w:val="1"/>
                <w:bCs w:val="1"/>
                <w:color w:val="auto"/>
              </w:rPr>
              <w:t>CONSOLIDATED STATEMENTS OF OPERATIONS AND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7500" w:type="dxa"/>
            <w:vAlign w:val="bottom"/>
            <w:tcBorders>
              <w:bottom w:val="single" w:sz="8" w:color="auto"/>
            </w:tcBorders>
            <w:gridSpan w:val="2"/>
          </w:tcPr>
          <w:p>
            <w:pPr>
              <w:ind w:left="20"/>
              <w:spacing w:after="0"/>
              <w:rPr>
                <w:sz w:val="20"/>
                <w:szCs w:val="20"/>
                <w:color w:val="auto"/>
              </w:rPr>
            </w:pPr>
            <w:r>
              <w:rPr>
                <w:rFonts w:ascii="Arial" w:cs="Arial" w:eastAsia="Arial" w:hAnsi="Arial"/>
                <w:sz w:val="24"/>
                <w:szCs w:val="24"/>
                <w:b w:val="1"/>
                <w:bCs w:val="1"/>
                <w:color w:val="auto"/>
              </w:rPr>
              <w:t>COMPREHENSIVE LOSS:</w:t>
            </w:r>
          </w:p>
        </w:tc>
        <w:tc>
          <w:tcPr>
            <w:tcW w:w="3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(unaudited, in 000s, except per share amounts)</w:t>
            </w:r>
          </w:p>
        </w:tc>
        <w:tc>
          <w:tcPr>
            <w:tcW w:w="0" w:type="dxa"/>
            <w:vAlign w:val="bottom"/>
          </w:tcPr>
          <w:p>
            <w:pPr>
              <w:spacing w:after="0"/>
              <w:rPr>
                <w:sz w:val="1"/>
                <w:szCs w:val="1"/>
                <w:color w:val="auto"/>
              </w:rPr>
            </w:pPr>
          </w:p>
        </w:tc>
      </w:tr>
      <w:tr>
        <w:trPr>
          <w:trHeight w:val="198"/>
        </w:trPr>
        <w:tc>
          <w:tcPr>
            <w:tcW w:w="104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5"/>
                <w:szCs w:val="15"/>
                <w:color w:val="auto"/>
              </w:rPr>
              <w:t>Three months ended September 30,</w:t>
            </w:r>
          </w:p>
        </w:tc>
        <w:tc>
          <w:tcPr>
            <w:tcW w:w="0" w:type="dxa"/>
            <w:vAlign w:val="bottom"/>
          </w:tcPr>
          <w:p>
            <w:pPr>
              <w:spacing w:after="0"/>
              <w:rPr>
                <w:sz w:val="1"/>
                <w:szCs w:val="1"/>
                <w:color w:val="auto"/>
              </w:rPr>
            </w:pPr>
          </w:p>
        </w:tc>
      </w:tr>
      <w:tr>
        <w:trPr>
          <w:trHeight w:val="200"/>
        </w:trPr>
        <w:tc>
          <w:tcPr>
            <w:tcW w:w="10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REVENUES:</w:t>
            </w:r>
          </w:p>
        </w:tc>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0" w:type="dxa"/>
            <w:vAlign w:val="bottom"/>
          </w:tcPr>
          <w:p>
            <w:pPr>
              <w:spacing w:after="0"/>
              <w:rPr>
                <w:sz w:val="1"/>
                <w:szCs w:val="1"/>
                <w:color w:val="auto"/>
              </w:rPr>
            </w:pPr>
          </w:p>
        </w:tc>
      </w:tr>
      <w:tr>
        <w:trPr>
          <w:trHeight w:val="186"/>
        </w:trPr>
        <w:tc>
          <w:tcPr>
            <w:tcW w:w="1040" w:type="dxa"/>
            <w:vAlign w:val="bottom"/>
            <w:vMerge w:val="continue"/>
          </w:tcPr>
          <w:p>
            <w:pPr>
              <w:spacing w:after="0"/>
              <w:rPr>
                <w:sz w:val="16"/>
                <w:szCs w:val="16"/>
                <w:color w:val="auto"/>
              </w:rPr>
            </w:pPr>
          </w:p>
        </w:tc>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Service revenues</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192,111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181,771</w:t>
            </w:r>
          </w:p>
        </w:tc>
        <w:tc>
          <w:tcPr>
            <w:tcW w:w="0" w:type="dxa"/>
            <w:vAlign w:val="bottom"/>
          </w:tcPr>
          <w:p>
            <w:pPr>
              <w:spacing w:after="0"/>
              <w:rPr>
                <w:sz w:val="1"/>
                <w:szCs w:val="1"/>
                <w:color w:val="auto"/>
              </w:rPr>
            </w:pPr>
          </w:p>
        </w:tc>
      </w:tr>
      <w:tr>
        <w:trPr>
          <w:trHeight w:val="206"/>
        </w:trPr>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Royalty, product and other revenues</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11,440</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12,039</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203,551</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193,810</w:t>
            </w:r>
          </w:p>
        </w:tc>
        <w:tc>
          <w:tcPr>
            <w:tcW w:w="0" w:type="dxa"/>
            <w:vAlign w:val="bottom"/>
          </w:tcPr>
          <w:p>
            <w:pPr>
              <w:spacing w:after="0"/>
              <w:rPr>
                <w:sz w:val="1"/>
                <w:szCs w:val="1"/>
                <w:color w:val="auto"/>
              </w:rPr>
            </w:pPr>
          </w:p>
        </w:tc>
      </w:tr>
      <w:tr>
        <w:trPr>
          <w:trHeight w:val="186"/>
        </w:trPr>
        <w:tc>
          <w:tcPr>
            <w:tcW w:w="750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EXPENSES:</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Costs of revenues</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274,017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269,581</w:t>
            </w:r>
          </w:p>
        </w:tc>
        <w:tc>
          <w:tcPr>
            <w:tcW w:w="0" w:type="dxa"/>
            <w:vAlign w:val="bottom"/>
          </w:tcPr>
          <w:p>
            <w:pPr>
              <w:spacing w:after="0"/>
              <w:rPr>
                <w:sz w:val="1"/>
                <w:szCs w:val="1"/>
                <w:color w:val="auto"/>
              </w:rPr>
            </w:pPr>
          </w:p>
        </w:tc>
      </w:tr>
      <w:tr>
        <w:trPr>
          <w:trHeight w:val="206"/>
        </w:trPr>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Selling, general and administrative</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136,565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152,560</w:t>
            </w:r>
          </w:p>
        </w:tc>
        <w:tc>
          <w:tcPr>
            <w:tcW w:w="0" w:type="dxa"/>
            <w:vAlign w:val="bottom"/>
          </w:tcPr>
          <w:p>
            <w:pPr>
              <w:spacing w:after="0"/>
              <w:rPr>
                <w:sz w:val="1"/>
                <w:szCs w:val="1"/>
                <w:color w:val="auto"/>
              </w:rPr>
            </w:pPr>
          </w:p>
        </w:tc>
      </w:tr>
      <w:tr>
        <w:trPr>
          <w:trHeight w:val="19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410,582</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422,141</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8,102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11,917</w:t>
            </w:r>
          </w:p>
        </w:tc>
        <w:tc>
          <w:tcPr>
            <w:tcW w:w="0" w:type="dxa"/>
            <w:vAlign w:val="bottom"/>
          </w:tcPr>
          <w:p>
            <w:pPr>
              <w:spacing w:after="0"/>
              <w:rPr>
                <w:sz w:val="1"/>
                <w:szCs w:val="1"/>
                <w:color w:val="auto"/>
              </w:rPr>
            </w:pPr>
          </w:p>
        </w:tc>
      </w:tr>
      <w:tr>
        <w:trPr>
          <w:trHeight w:val="206"/>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Interest expense on borrowings</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(17,402)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(15,847)</w:t>
            </w:r>
          </w:p>
        </w:tc>
        <w:tc>
          <w:tcPr>
            <w:tcW w:w="0" w:type="dxa"/>
            <w:vAlign w:val="bottom"/>
          </w:tcPr>
          <w:p>
            <w:pPr>
              <w:spacing w:after="0"/>
              <w:rPr>
                <w:sz w:val="1"/>
                <w:szCs w:val="1"/>
                <w:color w:val="auto"/>
              </w:rPr>
            </w:pPr>
          </w:p>
        </w:tc>
      </w:tr>
      <w:tr>
        <w:trPr>
          <w:trHeight w:val="19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 before income tax benefit</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(216,331)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(232,261)</w:t>
            </w:r>
          </w:p>
        </w:tc>
        <w:tc>
          <w:tcPr>
            <w:tcW w:w="0" w:type="dxa"/>
            <w:vAlign w:val="bottom"/>
          </w:tcPr>
          <w:p>
            <w:pPr>
              <w:spacing w:after="0"/>
              <w:rPr>
                <w:sz w:val="1"/>
                <w:szCs w:val="1"/>
                <w:color w:val="auto"/>
              </w:rPr>
            </w:pPr>
          </w:p>
        </w:tc>
      </w:tr>
      <w:tr>
        <w:trPr>
          <w:trHeight w:val="206"/>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Income tax benefit</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(50,963)</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(60,840)</w:t>
            </w:r>
          </w:p>
        </w:tc>
        <w:tc>
          <w:tcPr>
            <w:tcW w:w="0" w:type="dxa"/>
            <w:vAlign w:val="bottom"/>
          </w:tcPr>
          <w:p>
            <w:pPr>
              <w:spacing w:after="0"/>
              <w:rPr>
                <w:sz w:val="1"/>
                <w:szCs w:val="1"/>
                <w:color w:val="auto"/>
              </w:rPr>
            </w:pPr>
          </w:p>
        </w:tc>
      </w:tr>
      <w:tr>
        <w:trPr>
          <w:trHeight w:val="19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(165,368)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(171,421)</w:t>
            </w:r>
          </w:p>
        </w:tc>
        <w:tc>
          <w:tcPr>
            <w:tcW w:w="0" w:type="dxa"/>
            <w:vAlign w:val="bottom"/>
          </w:tcPr>
          <w:p>
            <w:pPr>
              <w:spacing w:after="0"/>
              <w:rPr>
                <w:sz w:val="1"/>
                <w:szCs w:val="1"/>
                <w:color w:val="auto"/>
              </w:rPr>
            </w:pPr>
          </w:p>
        </w:tc>
      </w:tr>
      <w:tr>
        <w:trPr>
          <w:trHeight w:val="206"/>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 from discontinued operations, net of tax benefits of $135 and $345</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(451)</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(1,155)</w:t>
            </w:r>
          </w:p>
        </w:tc>
        <w:tc>
          <w:tcPr>
            <w:tcW w:w="0" w:type="dxa"/>
            <w:vAlign w:val="bottom"/>
          </w:tcPr>
          <w:p>
            <w:pPr>
              <w:spacing w:after="0"/>
              <w:rPr>
                <w:sz w:val="1"/>
                <w:szCs w:val="1"/>
                <w:color w:val="auto"/>
              </w:rPr>
            </w:pPr>
          </w:p>
        </w:tc>
      </w:tr>
      <w:tr>
        <w:trPr>
          <w:trHeight w:val="199"/>
        </w:trPr>
        <w:tc>
          <w:tcPr>
            <w:tcW w:w="1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64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(165,819)</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(172,576)</w:t>
            </w:r>
          </w:p>
        </w:tc>
        <w:tc>
          <w:tcPr>
            <w:tcW w:w="0" w:type="dxa"/>
            <w:vAlign w:val="bottom"/>
          </w:tcPr>
          <w:p>
            <w:pPr>
              <w:spacing w:after="0"/>
              <w:rPr>
                <w:sz w:val="1"/>
                <w:szCs w:val="1"/>
                <w:color w:val="auto"/>
              </w:rPr>
            </w:pPr>
          </w:p>
        </w:tc>
      </w:tr>
      <w:tr>
        <w:trPr>
          <w:trHeight w:val="186"/>
        </w:trPr>
        <w:tc>
          <w:tcPr>
            <w:tcW w:w="7500" w:type="dxa"/>
            <w:vAlign w:val="bottom"/>
            <w:gridSpan w:val="2"/>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Continuing operations</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06"/>
        </w:trPr>
        <w:tc>
          <w:tcPr>
            <w:tcW w:w="7500" w:type="dxa"/>
            <w:vAlign w:val="bottom"/>
            <w:gridSpan w:val="2"/>
          </w:tcPr>
          <w:p>
            <w:pPr>
              <w:ind w:left="120"/>
              <w:spacing w:after="0"/>
              <w:rPr>
                <w:sz w:val="20"/>
                <w:szCs w:val="20"/>
                <w:color w:val="auto"/>
              </w:rPr>
            </w:pPr>
            <w:r>
              <w:rPr>
                <w:rFonts w:ascii="Arial" w:cs="Arial" w:eastAsia="Arial" w:hAnsi="Arial"/>
                <w:sz w:val="15"/>
                <w:szCs w:val="15"/>
                <w:color w:val="auto"/>
              </w:rPr>
              <w:t>Discontinued operations</w:t>
            </w:r>
          </w:p>
        </w:tc>
        <w:tc>
          <w:tcPr>
            <w:tcW w:w="36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99"/>
        </w:trPr>
        <w:tc>
          <w:tcPr>
            <w:tcW w:w="1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Consolidated</w:t>
            </w:r>
          </w:p>
        </w:tc>
        <w:tc>
          <w:tcPr>
            <w:tcW w:w="6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(1.26)</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99"/>
        </w:trPr>
        <w:tc>
          <w:tcPr>
            <w:tcW w:w="7500" w:type="dxa"/>
            <w:vAlign w:val="bottom"/>
            <w:gridSpan w:val="2"/>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0.42</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0.375</w:t>
            </w:r>
          </w:p>
        </w:tc>
        <w:tc>
          <w:tcPr>
            <w:tcW w:w="0" w:type="dxa"/>
            <w:vAlign w:val="bottom"/>
          </w:tcPr>
          <w:p>
            <w:pPr>
              <w:spacing w:after="0"/>
              <w:rPr>
                <w:sz w:val="1"/>
                <w:szCs w:val="1"/>
                <w:color w:val="auto"/>
              </w:rPr>
            </w:pPr>
          </w:p>
        </w:tc>
      </w:tr>
      <w:tr>
        <w:trPr>
          <w:trHeight w:val="206"/>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LOSS:</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40" w:type="dxa"/>
            <w:vAlign w:val="bottom"/>
          </w:tcPr>
          <w:p>
            <w:pPr>
              <w:ind w:left="120"/>
              <w:spacing w:after="0"/>
              <w:rPr>
                <w:sz w:val="20"/>
                <w:szCs w:val="20"/>
                <w:color w:val="auto"/>
              </w:rPr>
            </w:pPr>
            <w:r>
              <w:rPr>
                <w:rFonts w:ascii="Arial" w:cs="Arial" w:eastAsia="Arial" w:hAnsi="Arial"/>
                <w:sz w:val="15"/>
                <w:szCs w:val="15"/>
                <w:color w:val="auto"/>
              </w:rPr>
              <w:t>Net loss</w:t>
            </w:r>
          </w:p>
        </w:tc>
        <w:tc>
          <w:tcPr>
            <w:tcW w:w="646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(165,819)</w:t>
            </w:r>
          </w:p>
        </w:tc>
        <w:tc>
          <w:tcPr>
            <w:tcW w:w="100" w:type="dxa"/>
            <w:vAlign w:val="bottom"/>
          </w:tcPr>
          <w:p>
            <w:pPr>
              <w:spacing w:after="0"/>
              <w:rPr>
                <w:sz w:val="17"/>
                <w:szCs w:val="17"/>
                <w:color w:val="auto"/>
              </w:rPr>
            </w:pPr>
          </w:p>
        </w:tc>
        <w:tc>
          <w:tcPr>
            <w:tcW w:w="620" w:type="dxa"/>
            <w:vAlign w:val="bottom"/>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(172,576)</w:t>
            </w:r>
          </w:p>
        </w:tc>
        <w:tc>
          <w:tcPr>
            <w:tcW w:w="0" w:type="dxa"/>
            <w:vAlign w:val="bottom"/>
          </w:tcPr>
          <w:p>
            <w:pPr>
              <w:spacing w:after="0"/>
              <w:rPr>
                <w:sz w:val="1"/>
                <w:szCs w:val="1"/>
                <w:color w:val="auto"/>
              </w:rPr>
            </w:pPr>
          </w:p>
        </w:tc>
      </w:tr>
      <w:tr>
        <w:trPr>
          <w:trHeight w:val="206"/>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Change in foreign currency translation adjustments</w:t>
            </w:r>
          </w:p>
        </w:tc>
        <w:tc>
          <w:tcPr>
            <w:tcW w:w="3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(9,308)</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6,117</w:t>
            </w:r>
          </w:p>
        </w:tc>
        <w:tc>
          <w:tcPr>
            <w:tcW w:w="0" w:type="dxa"/>
            <w:vAlign w:val="bottom"/>
          </w:tcPr>
          <w:p>
            <w:pPr>
              <w:spacing w:after="0"/>
              <w:rPr>
                <w:sz w:val="1"/>
                <w:szCs w:val="1"/>
                <w:color w:val="auto"/>
              </w:rPr>
            </w:pPr>
          </w:p>
        </w:tc>
      </w:tr>
      <w:tr>
        <w:trPr>
          <w:trHeight w:val="199"/>
        </w:trPr>
        <w:tc>
          <w:tcPr>
            <w:tcW w:w="750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comprehensive income (loss)</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(9,308)</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6,117</w:t>
            </w:r>
          </w:p>
        </w:tc>
        <w:tc>
          <w:tcPr>
            <w:tcW w:w="0" w:type="dxa"/>
            <w:vAlign w:val="bottom"/>
          </w:tcPr>
          <w:p>
            <w:pPr>
              <w:spacing w:after="0"/>
              <w:rPr>
                <w:sz w:val="1"/>
                <w:szCs w:val="1"/>
                <w:color w:val="auto"/>
              </w:rPr>
            </w:pPr>
          </w:p>
        </w:tc>
      </w:tr>
      <w:tr>
        <w:trPr>
          <w:trHeight w:val="199"/>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Comprehensive loss</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(175,127)</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(166,459)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622935</wp:posOffset>
            </wp:positionV>
            <wp:extent cx="220980" cy="122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sz w:val="20"/>
          <w:szCs w:val="20"/>
          <w:color w:val="auto"/>
        </w:rPr>
        <w:tab/>
      </w:r>
      <w:r>
        <w:rPr>
          <w:rFonts w:ascii="Arial" w:cs="Arial" w:eastAsia="Arial" w:hAnsi="Arial"/>
          <w:sz w:val="10"/>
          <w:szCs w:val="10"/>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72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24"/>
                <w:szCs w:val="24"/>
                <w:b w:val="1"/>
                <w:bCs w:val="1"/>
                <w:color w:val="auto"/>
              </w:rPr>
              <w:t>CONSOLIDATED BALANCE SHEETS</w:t>
            </w: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(unaudited, in 000s, except</w:t>
            </w:r>
          </w:p>
        </w:tc>
        <w:tc>
          <w:tcPr>
            <w:tcW w:w="0" w:type="dxa"/>
            <w:vAlign w:val="bottom"/>
          </w:tcPr>
          <w:p>
            <w:pPr>
              <w:spacing w:after="0"/>
              <w:rPr>
                <w:sz w:val="1"/>
                <w:szCs w:val="1"/>
                <w:color w:val="auto"/>
              </w:rPr>
            </w:pPr>
          </w:p>
        </w:tc>
      </w:tr>
      <w:tr>
        <w:trPr>
          <w:trHeight w:val="180"/>
        </w:trPr>
        <w:tc>
          <w:tcPr>
            <w:tcW w:w="726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199"/>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As of</w:t>
            </w:r>
          </w:p>
        </w:tc>
        <w:tc>
          <w:tcPr>
            <w:tcW w:w="28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Arial" w:cs="Arial" w:eastAsia="Arial" w:hAnsi="Arial"/>
                <w:sz w:val="15"/>
                <w:szCs w:val="15"/>
                <w:b w:val="1"/>
                <w:bCs w:val="1"/>
                <w:color w:val="auto"/>
              </w:rPr>
              <w:t>September 30, 2025</w:t>
            </w: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June 30, 2025</w:t>
            </w:r>
          </w:p>
        </w:tc>
        <w:tc>
          <w:tcPr>
            <w:tcW w:w="0" w:type="dxa"/>
            <w:vAlign w:val="bottom"/>
          </w:tcPr>
          <w:p>
            <w:pPr>
              <w:spacing w:after="0"/>
              <w:rPr>
                <w:sz w:val="1"/>
                <w:szCs w:val="1"/>
                <w:color w:val="auto"/>
              </w:rPr>
            </w:pPr>
          </w:p>
        </w:tc>
      </w:tr>
      <w:tr>
        <w:trPr>
          <w:trHeight w:val="199"/>
        </w:trPr>
        <w:tc>
          <w:tcPr>
            <w:tcW w:w="7160" w:type="dxa"/>
            <w:vAlign w:val="bottom"/>
            <w:tcBorders>
              <w:top w:val="single" w:sz="8" w:color="auto"/>
            </w:tcBorders>
          </w:tcPr>
          <w:p>
            <w:pPr>
              <w:ind w:left="3280"/>
              <w:spacing w:after="0"/>
              <w:rPr>
                <w:sz w:val="20"/>
                <w:szCs w:val="20"/>
                <w:color w:val="auto"/>
              </w:rPr>
            </w:pPr>
            <w:r>
              <w:rPr>
                <w:rFonts w:ascii="Arial" w:cs="Arial" w:eastAsia="Arial" w:hAnsi="Arial"/>
                <w:sz w:val="15"/>
                <w:szCs w:val="15"/>
                <w:b w:val="1"/>
                <w:bCs w:val="1"/>
                <w:color w:val="auto"/>
              </w:rPr>
              <w:t>ASSETS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376,410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983,277</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28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rPr>
              <w:t>20,991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19,862</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Receivables, less allowance for credit losses of $54,249 and $55,775</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64,145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63,621</w:t>
            </w:r>
          </w:p>
        </w:tc>
        <w:tc>
          <w:tcPr>
            <w:tcW w:w="0" w:type="dxa"/>
            <w:vAlign w:val="bottom"/>
          </w:tcPr>
          <w:p>
            <w:pPr>
              <w:spacing w:after="0"/>
              <w:rPr>
                <w:sz w:val="1"/>
                <w:szCs w:val="1"/>
                <w:color w:val="auto"/>
              </w:rPr>
            </w:pPr>
          </w:p>
        </w:tc>
      </w:tr>
      <w:tr>
        <w:trPr>
          <w:trHeight w:val="206"/>
        </w:trPr>
        <w:tc>
          <w:tcPr>
            <w:tcW w:w="7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102,692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95,788</w:t>
            </w:r>
          </w:p>
        </w:tc>
        <w:tc>
          <w:tcPr>
            <w:tcW w:w="0" w:type="dxa"/>
            <w:vAlign w:val="bottom"/>
          </w:tcPr>
          <w:p>
            <w:pPr>
              <w:spacing w:after="0"/>
              <w:rPr>
                <w:sz w:val="1"/>
                <w:szCs w:val="1"/>
                <w:color w:val="auto"/>
              </w:rPr>
            </w:pPr>
          </w:p>
        </w:tc>
      </w:tr>
      <w:tr>
        <w:trPr>
          <w:trHeight w:val="199"/>
        </w:trPr>
        <w:tc>
          <w:tcPr>
            <w:tcW w:w="72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564,238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1,162,548</w:t>
            </w:r>
          </w:p>
        </w:tc>
        <w:tc>
          <w:tcPr>
            <w:tcW w:w="0" w:type="dxa"/>
            <w:vAlign w:val="bottom"/>
          </w:tcPr>
          <w:p>
            <w:pPr>
              <w:spacing w:after="0"/>
              <w:rPr>
                <w:sz w:val="1"/>
                <w:szCs w:val="1"/>
                <w:color w:val="auto"/>
              </w:rPr>
            </w:pPr>
          </w:p>
        </w:tc>
      </w:tr>
      <w:tr>
        <w:trPr>
          <w:trHeight w:val="155"/>
        </w:trPr>
        <w:tc>
          <w:tcPr>
            <w:tcW w:w="7260" w:type="dxa"/>
            <w:vAlign w:val="bottom"/>
            <w:gridSpan w:val="2"/>
          </w:tcPr>
          <w:p>
            <w:pPr>
              <w:ind w:left="100"/>
              <w:spacing w:after="0" w:line="156" w:lineRule="exact"/>
              <w:rPr>
                <w:sz w:val="20"/>
                <w:szCs w:val="20"/>
                <w:color w:val="auto"/>
              </w:rPr>
            </w:pPr>
            <w:r>
              <w:rPr>
                <w:rFonts w:ascii="Arial" w:cs="Arial" w:eastAsia="Arial" w:hAnsi="Arial"/>
                <w:sz w:val="15"/>
                <w:szCs w:val="15"/>
                <w:color w:val="auto"/>
              </w:rPr>
              <w:t>Property and equipment, at cost, less accumulated depreciation and amortization of $844,866 and</w:t>
            </w:r>
          </w:p>
        </w:tc>
        <w:tc>
          <w:tcPr>
            <w:tcW w:w="280" w:type="dxa"/>
            <w:vAlign w:val="bottom"/>
          </w:tcPr>
          <w:p>
            <w:pPr>
              <w:spacing w:after="0"/>
              <w:rPr>
                <w:sz w:val="13"/>
                <w:szCs w:val="13"/>
                <w:color w:val="auto"/>
              </w:rPr>
            </w:pPr>
          </w:p>
        </w:tc>
        <w:tc>
          <w:tcPr>
            <w:tcW w:w="166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137,623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Arial" w:cs="Arial" w:eastAsia="Arial" w:hAnsi="Arial"/>
                <w:sz w:val="15"/>
                <w:szCs w:val="15"/>
                <w:color w:val="auto"/>
              </w:rPr>
              <w:t>135,068</w:t>
            </w:r>
          </w:p>
        </w:tc>
        <w:tc>
          <w:tcPr>
            <w:tcW w:w="0" w:type="dxa"/>
            <w:vAlign w:val="bottom"/>
          </w:tcPr>
          <w:p>
            <w:pPr>
              <w:spacing w:after="0"/>
              <w:rPr>
                <w:sz w:val="1"/>
                <w:szCs w:val="1"/>
                <w:color w:val="auto"/>
              </w:rPr>
            </w:pPr>
          </w:p>
        </w:tc>
      </w:tr>
      <w:tr>
        <w:trPr>
          <w:trHeight w:val="206"/>
        </w:trPr>
        <w:tc>
          <w:tcPr>
            <w:tcW w:w="7160" w:type="dxa"/>
            <w:vAlign w:val="bottom"/>
          </w:tcPr>
          <w:p>
            <w:pPr>
              <w:ind w:left="260"/>
              <w:spacing w:after="0"/>
              <w:rPr>
                <w:sz w:val="20"/>
                <w:szCs w:val="20"/>
                <w:color w:val="auto"/>
              </w:rPr>
            </w:pPr>
            <w:r>
              <w:rPr>
                <w:rFonts w:ascii="Arial" w:cs="Arial" w:eastAsia="Arial" w:hAnsi="Arial"/>
                <w:sz w:val="15"/>
                <w:szCs w:val="15"/>
                <w:color w:val="auto"/>
              </w:rPr>
              <w:t>$828,744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right of use assets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499,910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521,215</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Intangible assets, net</w:t>
            </w:r>
          </w:p>
        </w:tc>
        <w:tc>
          <w:tcPr>
            <w:tcW w:w="28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rPr>
              <w:t>254,136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259,412</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797,739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802,053</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28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rPr>
              <w:t>300,251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317,691</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67,425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65,911</w:t>
            </w:r>
          </w:p>
        </w:tc>
        <w:tc>
          <w:tcPr>
            <w:tcW w:w="0" w:type="dxa"/>
            <w:vAlign w:val="bottom"/>
          </w:tcPr>
          <w:p>
            <w:pPr>
              <w:spacing w:after="0"/>
              <w:rPr>
                <w:sz w:val="1"/>
                <w:szCs w:val="1"/>
                <w:color w:val="auto"/>
              </w:rPr>
            </w:pPr>
          </w:p>
        </w:tc>
      </w:tr>
      <w:tr>
        <w:trPr>
          <w:trHeight w:val="199"/>
        </w:trPr>
        <w:tc>
          <w:tcPr>
            <w:tcW w:w="726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2,621,322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3,263,898</w:t>
            </w:r>
          </w:p>
        </w:tc>
        <w:tc>
          <w:tcPr>
            <w:tcW w:w="0" w:type="dxa"/>
            <w:vAlign w:val="bottom"/>
          </w:tcPr>
          <w:p>
            <w:pPr>
              <w:spacing w:after="0"/>
              <w:rPr>
                <w:sz w:val="1"/>
                <w:szCs w:val="1"/>
                <w:color w:val="auto"/>
              </w:rPr>
            </w:pPr>
          </w:p>
        </w:tc>
      </w:tr>
      <w:tr>
        <w:trPr>
          <w:trHeight w:val="186"/>
        </w:trPr>
        <w:tc>
          <w:tcPr>
            <w:tcW w:w="7260" w:type="dxa"/>
            <w:vAlign w:val="bottom"/>
            <w:gridSpan w:val="2"/>
            <w:shd w:val="clear" w:color="auto" w:fill="CCEEFF"/>
          </w:tcPr>
          <w:p>
            <w:pPr>
              <w:ind w:left="196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ind w:left="20"/>
              <w:spacing w:after="0"/>
              <w:rPr>
                <w:sz w:val="20"/>
                <w:szCs w:val="20"/>
                <w:color w:val="auto"/>
              </w:rPr>
            </w:pPr>
            <w:r>
              <w:rPr>
                <w:rFonts w:ascii="Arial" w:cs="Arial" w:eastAsia="Arial" w:hAnsi="Arial"/>
                <w:sz w:val="15"/>
                <w:szCs w:val="15"/>
                <w:b w:val="1"/>
                <w:bCs w:val="1"/>
                <w:color w:val="auto"/>
              </w:rPr>
              <w:t>LIABILITIES:</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Accounts payable and accrued expenses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145,574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144,046</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28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rPr>
              <w:t>62,231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107,375</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156,449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296,244</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Current portion of long-term debt</w:t>
            </w:r>
          </w:p>
        </w:tc>
        <w:tc>
          <w:tcPr>
            <w:tcW w:w="28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349,893</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liabilities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205,152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209,203</w:t>
            </w:r>
          </w:p>
        </w:tc>
        <w:tc>
          <w:tcPr>
            <w:tcW w:w="0" w:type="dxa"/>
            <w:vAlign w:val="bottom"/>
          </w:tcPr>
          <w:p>
            <w:pPr>
              <w:spacing w:after="0"/>
              <w:rPr>
                <w:sz w:val="1"/>
                <w:szCs w:val="1"/>
                <w:color w:val="auto"/>
              </w:rPr>
            </w:pPr>
          </w:p>
        </w:tc>
      </w:tr>
      <w:tr>
        <w:trPr>
          <w:trHeight w:val="206"/>
        </w:trPr>
        <w:tc>
          <w:tcPr>
            <w:tcW w:w="7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170,145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191,849</w:t>
            </w:r>
          </w:p>
        </w:tc>
        <w:tc>
          <w:tcPr>
            <w:tcW w:w="0" w:type="dxa"/>
            <w:vAlign w:val="bottom"/>
          </w:tcPr>
          <w:p>
            <w:pPr>
              <w:spacing w:after="0"/>
              <w:rPr>
                <w:sz w:val="1"/>
                <w:szCs w:val="1"/>
                <w:color w:val="auto"/>
              </w:rPr>
            </w:pPr>
          </w:p>
        </w:tc>
      </w:tr>
      <w:tr>
        <w:trPr>
          <w:trHeight w:val="199"/>
        </w:trPr>
        <w:tc>
          <w:tcPr>
            <w:tcW w:w="72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739,551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1,298,610</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Long-term debt and line of credit borrowings</w:t>
            </w:r>
          </w:p>
        </w:tc>
        <w:tc>
          <w:tcPr>
            <w:tcW w:w="28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rPr>
              <w:t>1,734,962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1,143,305</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310,722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306,134</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28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rPr>
              <w:t>306,000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322,847</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80,997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104,106</w:t>
            </w:r>
          </w:p>
        </w:tc>
        <w:tc>
          <w:tcPr>
            <w:tcW w:w="0" w:type="dxa"/>
            <w:vAlign w:val="bottom"/>
          </w:tcPr>
          <w:p>
            <w:pPr>
              <w:spacing w:after="0"/>
              <w:rPr>
                <w:sz w:val="1"/>
                <w:szCs w:val="1"/>
                <w:color w:val="auto"/>
              </w:rPr>
            </w:pPr>
          </w:p>
        </w:tc>
      </w:tr>
      <w:tr>
        <w:trPr>
          <w:trHeight w:val="199"/>
        </w:trPr>
        <w:tc>
          <w:tcPr>
            <w:tcW w:w="726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3,172,232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3,175,002</w:t>
            </w:r>
          </w:p>
        </w:tc>
        <w:tc>
          <w:tcPr>
            <w:tcW w:w="0" w:type="dxa"/>
            <w:vAlign w:val="bottom"/>
          </w:tcPr>
          <w:p>
            <w:pPr>
              <w:spacing w:after="0"/>
              <w:rPr>
                <w:sz w:val="1"/>
                <w:szCs w:val="1"/>
                <w:color w:val="auto"/>
              </w:rPr>
            </w:pPr>
          </w:p>
        </w:tc>
      </w:tr>
      <w:tr>
        <w:trPr>
          <w:trHeight w:val="18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260" w:type="dxa"/>
            <w:vAlign w:val="bottom"/>
            <w:gridSpan w:val="2"/>
            <w:shd w:val="clear" w:color="auto" w:fill="CCEEFF"/>
          </w:tcPr>
          <w:p>
            <w:pPr>
              <w:ind w:left="100"/>
              <w:spacing w:after="0" w:line="156" w:lineRule="exact"/>
              <w:rPr>
                <w:sz w:val="20"/>
                <w:szCs w:val="20"/>
                <w:color w:val="auto"/>
              </w:rPr>
            </w:pPr>
            <w:r>
              <w:rPr>
                <w:rFonts w:ascii="Arial" w:cs="Arial" w:eastAsia="Arial" w:hAnsi="Arial"/>
                <w:sz w:val="15"/>
                <w:szCs w:val="15"/>
                <w:color w:val="auto"/>
              </w:rPr>
              <w:t>Common stock, no par, stated value $0.01 per share, 800,000,000 shares authorized, shares issued of</w:t>
            </w:r>
          </w:p>
        </w:tc>
        <w:tc>
          <w:tcPr>
            <w:tcW w:w="28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1,565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1,644</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156,506,438 and 164,367,434</w:t>
            </w:r>
          </w:p>
        </w:tc>
        <w:tc>
          <w:tcPr>
            <w:tcW w:w="28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60" w:type="dxa"/>
            <w:vAlign w:val="bottom"/>
            <w:gridSpan w:val="2"/>
          </w:tcPr>
          <w:p>
            <w:pPr>
              <w:ind w:left="100"/>
              <w:spacing w:after="0"/>
              <w:rPr>
                <w:sz w:val="20"/>
                <w:szCs w:val="20"/>
                <w:color w:val="auto"/>
              </w:rPr>
            </w:pPr>
            <w:r>
              <w:rPr>
                <w:rFonts w:ascii="Arial" w:cs="Arial" w:eastAsia="Arial" w:hAnsi="Arial"/>
                <w:sz w:val="15"/>
                <w:szCs w:val="15"/>
                <w:color w:val="auto"/>
              </w:rPr>
              <w:t>Additional paid-in capital</w:t>
            </w:r>
          </w:p>
        </w:tc>
        <w:tc>
          <w:tcPr>
            <w:tcW w:w="280" w:type="dxa"/>
            <w:vAlign w:val="bottom"/>
          </w:tcPr>
          <w:p>
            <w:pPr>
              <w:spacing w:after="0"/>
              <w:rPr>
                <w:sz w:val="17"/>
                <w:szCs w:val="17"/>
                <w:color w:val="auto"/>
              </w:rPr>
            </w:pPr>
          </w:p>
        </w:tc>
        <w:tc>
          <w:tcPr>
            <w:tcW w:w="1660" w:type="dxa"/>
            <w:vAlign w:val="bottom"/>
          </w:tcPr>
          <w:p>
            <w:pPr>
              <w:jc w:val="right"/>
              <w:ind w:right="3"/>
              <w:spacing w:after="0"/>
              <w:rPr>
                <w:sz w:val="20"/>
                <w:szCs w:val="20"/>
                <w:color w:val="auto"/>
              </w:rPr>
            </w:pPr>
            <w:r>
              <w:rPr>
                <w:rFonts w:ascii="Arial" w:cs="Arial" w:eastAsia="Arial" w:hAnsi="Arial"/>
                <w:sz w:val="15"/>
                <w:szCs w:val="15"/>
                <w:b w:val="1"/>
                <w:bCs w:val="1"/>
                <w:color w:val="auto"/>
              </w:rPr>
              <w:t>757,981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766,998</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(57,063)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(47,755)</w:t>
            </w:r>
          </w:p>
        </w:tc>
        <w:tc>
          <w:tcPr>
            <w:tcW w:w="0" w:type="dxa"/>
            <w:vAlign w:val="bottom"/>
          </w:tcPr>
          <w:p>
            <w:pPr>
              <w:spacing w:after="0"/>
              <w:rPr>
                <w:sz w:val="1"/>
                <w:szCs w:val="1"/>
                <w:color w:val="auto"/>
              </w:rPr>
            </w:pPr>
          </w:p>
        </w:tc>
      </w:tr>
      <w:tr>
        <w:trPr>
          <w:trHeight w:val="206"/>
        </w:trPr>
        <w:tc>
          <w:tcPr>
            <w:tcW w:w="7260" w:type="dxa"/>
            <w:vAlign w:val="bottom"/>
            <w:gridSpan w:val="2"/>
          </w:tcPr>
          <w:p>
            <w:pPr>
              <w:ind w:left="100"/>
              <w:spacing w:after="0"/>
              <w:rPr>
                <w:sz w:val="20"/>
                <w:szCs w:val="20"/>
                <w:color w:val="auto"/>
              </w:rPr>
            </w:pPr>
            <w:r>
              <w:rPr>
                <w:rFonts w:ascii="Arial" w:cs="Arial" w:eastAsia="Arial" w:hAnsi="Arial"/>
                <w:sz w:val="15"/>
                <w:szCs w:val="15"/>
                <w:color w:val="auto"/>
              </w:rPr>
              <w:t>Retained earnings (deficit)</w:t>
            </w:r>
          </w:p>
        </w:tc>
        <w:tc>
          <w:tcPr>
            <w:tcW w:w="2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(609,299)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12,061</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shares, at cost, of 30,085,317 and 30,420,033</w:t>
            </w:r>
          </w:p>
        </w:tc>
        <w:tc>
          <w:tcPr>
            <w:tcW w:w="2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(644,094)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(644,052)</w:t>
            </w:r>
          </w:p>
        </w:tc>
        <w:tc>
          <w:tcPr>
            <w:tcW w:w="0" w:type="dxa"/>
            <w:vAlign w:val="bottom"/>
          </w:tcPr>
          <w:p>
            <w:pPr>
              <w:spacing w:after="0"/>
              <w:rPr>
                <w:sz w:val="1"/>
                <w:szCs w:val="1"/>
                <w:color w:val="auto"/>
              </w:rPr>
            </w:pPr>
          </w:p>
        </w:tc>
      </w:tr>
      <w:tr>
        <w:trPr>
          <w:trHeight w:val="199"/>
        </w:trPr>
        <w:tc>
          <w:tcPr>
            <w:tcW w:w="726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Total stockholders' equity (deficiency)</w:t>
            </w: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(550,910)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88,896</w:t>
            </w:r>
          </w:p>
        </w:tc>
        <w:tc>
          <w:tcPr>
            <w:tcW w:w="0" w:type="dxa"/>
            <w:vAlign w:val="bottom"/>
          </w:tcPr>
          <w:p>
            <w:pPr>
              <w:spacing w:after="0"/>
              <w:rPr>
                <w:sz w:val="1"/>
                <w:szCs w:val="1"/>
                <w:color w:val="auto"/>
              </w:rPr>
            </w:pPr>
          </w:p>
        </w:tc>
      </w:tr>
      <w:tr>
        <w:trPr>
          <w:trHeight w:val="199"/>
        </w:trPr>
        <w:tc>
          <w:tcPr>
            <w:tcW w:w="726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2,621,322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3,263,898</w:t>
            </w:r>
          </w:p>
        </w:tc>
        <w:tc>
          <w:tcPr>
            <w:tcW w:w="0" w:type="dxa"/>
            <w:vAlign w:val="bottom"/>
          </w:tcPr>
          <w:p>
            <w:pPr>
              <w:spacing w:after="0"/>
              <w:rPr>
                <w:sz w:val="1"/>
                <w:szCs w:val="1"/>
                <w:color w:val="auto"/>
              </w:rPr>
            </w:pPr>
          </w:p>
        </w:tc>
      </w:tr>
      <w:tr>
        <w:trPr>
          <w:trHeight w:val="32"/>
        </w:trPr>
        <w:tc>
          <w:tcPr>
            <w:tcW w:w="7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614680</wp:posOffset>
            </wp:positionV>
            <wp:extent cx="229235" cy="122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23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0" w:hanging="235"/>
        <w:spacing w:after="0"/>
        <w:tabs>
          <w:tab w:leader="none" w:pos="38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 w:name="page5"/>
    <w:bookmarkEnd w:id="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309"/>
        </w:trPr>
        <w:tc>
          <w:tcPr>
            <w:tcW w:w="7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4"/>
                <w:szCs w:val="24"/>
                <w:b w:val="1"/>
                <w:bCs w:val="1"/>
                <w:color w:val="auto"/>
              </w:rPr>
              <w:t>CONSOLIDATED STATEMENTS OF CASH FLOWS</w:t>
            </w:r>
          </w:p>
        </w:tc>
        <w:tc>
          <w:tcPr>
            <w:tcW w:w="6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(unaudited, in 000s)</w:t>
            </w:r>
          </w:p>
        </w:tc>
      </w:tr>
      <w:tr>
        <w:trPr>
          <w:trHeight w:val="199"/>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Three months ended September 30,</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2024</w:t>
            </w:r>
          </w:p>
        </w:tc>
      </w:tr>
      <w:tr>
        <w:trPr>
          <w:trHeight w:val="199"/>
        </w:trPr>
        <w:tc>
          <w:tcPr>
            <w:tcW w:w="716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06"/>
        </w:trPr>
        <w:tc>
          <w:tcPr>
            <w:tcW w:w="7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(165,819)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(172,576)</w:t>
            </w:r>
          </w:p>
        </w:tc>
      </w:tr>
      <w:tr>
        <w:trPr>
          <w:trHeight w:val="205"/>
        </w:trPr>
        <w:tc>
          <w:tcPr>
            <w:tcW w:w="7260" w:type="dxa"/>
            <w:vAlign w:val="bottom"/>
            <w:gridSpan w:val="2"/>
          </w:tcPr>
          <w:p>
            <w:pPr>
              <w:ind w:left="24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7"/>
        </w:trPr>
        <w:tc>
          <w:tcPr>
            <w:tcW w:w="72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28,922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28,831</w:t>
            </w:r>
          </w:p>
        </w:tc>
      </w:tr>
      <w:tr>
        <w:trPr>
          <w:trHeight w:val="206"/>
        </w:trPr>
        <w:tc>
          <w:tcPr>
            <w:tcW w:w="7260" w:type="dxa"/>
            <w:vAlign w:val="bottom"/>
            <w:gridSpan w:val="2"/>
          </w:tcPr>
          <w:p>
            <w:pPr>
              <w:ind w:left="320"/>
              <w:spacing w:after="0"/>
              <w:rPr>
                <w:sz w:val="20"/>
                <w:szCs w:val="20"/>
                <w:color w:val="auto"/>
              </w:rPr>
            </w:pPr>
            <w:r>
              <w:rPr>
                <w:rFonts w:ascii="Arial" w:cs="Arial" w:eastAsia="Arial" w:hAnsi="Arial"/>
                <w:sz w:val="15"/>
                <w:szCs w:val="15"/>
                <w:color w:val="auto"/>
              </w:rPr>
              <w:t>Provision for credit losses</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975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1,024</w:t>
            </w:r>
          </w:p>
        </w:tc>
      </w:tr>
      <w:tr>
        <w:trPr>
          <w:trHeight w:val="206"/>
        </w:trPr>
        <w:tc>
          <w:tcPr>
            <w:tcW w:w="72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Deferred taxes</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17,800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19,006</w:t>
            </w:r>
          </w:p>
        </w:tc>
      </w:tr>
      <w:tr>
        <w:trPr>
          <w:trHeight w:val="206"/>
        </w:trPr>
        <w:tc>
          <w:tcPr>
            <w:tcW w:w="7260" w:type="dxa"/>
            <w:vAlign w:val="bottom"/>
            <w:gridSpan w:val="2"/>
          </w:tcPr>
          <w:p>
            <w:pPr>
              <w:ind w:left="320"/>
              <w:spacing w:after="0"/>
              <w:rPr>
                <w:sz w:val="20"/>
                <w:szCs w:val="20"/>
                <w:color w:val="auto"/>
              </w:rPr>
            </w:pPr>
            <w:r>
              <w:rPr>
                <w:rFonts w:ascii="Arial" w:cs="Arial" w:eastAsia="Arial" w:hAnsi="Arial"/>
                <w:sz w:val="15"/>
                <w:szCs w:val="15"/>
                <w:color w:val="auto"/>
              </w:rPr>
              <w:t>Stock-based compensation</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6,173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8,727</w:t>
            </w:r>
          </w:p>
        </w:tc>
      </w:tr>
      <w:tr>
        <w:trPr>
          <w:trHeight w:val="206"/>
        </w:trPr>
        <w:tc>
          <w:tcPr>
            <w:tcW w:w="72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Changes in assets and liabilities, net of acquisitions:</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6"/>
        </w:trPr>
        <w:tc>
          <w:tcPr>
            <w:tcW w:w="7260" w:type="dxa"/>
            <w:vAlign w:val="bottom"/>
            <w:gridSpan w:val="2"/>
          </w:tcPr>
          <w:p>
            <w:pPr>
              <w:ind w:left="440"/>
              <w:spacing w:after="0"/>
              <w:rPr>
                <w:sz w:val="20"/>
                <w:szCs w:val="20"/>
                <w:color w:val="auto"/>
              </w:rPr>
            </w:pPr>
            <w:r>
              <w:rPr>
                <w:rFonts w:ascii="Arial" w:cs="Arial" w:eastAsia="Arial" w:hAnsi="Arial"/>
                <w:sz w:val="15"/>
                <w:szCs w:val="15"/>
                <w:color w:val="auto"/>
              </w:rPr>
              <w:t>Receivables</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1,029</w:t>
            </w:r>
          </w:p>
        </w:tc>
      </w:tr>
      <w:tr>
        <w:trPr>
          <w:trHeight w:val="20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Prepaid expenses, other current and noncurrent assets</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7,530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8,836</w:t>
            </w:r>
          </w:p>
        </w:tc>
      </w:tr>
      <w:tr>
        <w:trPr>
          <w:trHeight w:val="206"/>
        </w:trPr>
        <w:tc>
          <w:tcPr>
            <w:tcW w:w="7260" w:type="dxa"/>
            <w:vAlign w:val="bottom"/>
            <w:gridSpan w:val="2"/>
          </w:tcPr>
          <w:p>
            <w:pPr>
              <w:ind w:left="440"/>
              <w:spacing w:after="0"/>
              <w:rPr>
                <w:sz w:val="20"/>
                <w:szCs w:val="20"/>
                <w:color w:val="auto"/>
              </w:rPr>
            </w:pPr>
            <w:r>
              <w:rPr>
                <w:rFonts w:ascii="Arial" w:cs="Arial" w:eastAsia="Arial" w:hAnsi="Arial"/>
                <w:sz w:val="15"/>
                <w:szCs w:val="15"/>
                <w:color w:val="auto"/>
              </w:rPr>
              <w:t>Accounts payable, accrued expenses, salaries, wages and payroll taxes</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(59,094)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(66,017)</w:t>
            </w:r>
          </w:p>
        </w:tc>
      </w:tr>
      <w:tr>
        <w:trPr>
          <w:trHeight w:val="20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Deferred revenue, other current and noncurrent liabilities</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(46,118)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(27,025)</w:t>
            </w:r>
          </w:p>
        </w:tc>
      </w:tr>
      <w:tr>
        <w:trPr>
          <w:trHeight w:val="206"/>
        </w:trPr>
        <w:tc>
          <w:tcPr>
            <w:tcW w:w="7260" w:type="dxa"/>
            <w:vAlign w:val="bottom"/>
            <w:gridSpan w:val="2"/>
          </w:tcPr>
          <w:p>
            <w:pPr>
              <w:ind w:left="440"/>
              <w:spacing w:after="0"/>
              <w:rPr>
                <w:sz w:val="20"/>
                <w:szCs w:val="20"/>
                <w:color w:val="auto"/>
              </w:rPr>
            </w:pPr>
            <w:r>
              <w:rPr>
                <w:rFonts w:ascii="Arial" w:cs="Arial" w:eastAsia="Arial" w:hAnsi="Arial"/>
                <w:sz w:val="15"/>
                <w:szCs w:val="15"/>
                <w:color w:val="auto"/>
              </w:rPr>
              <w:t>Income tax receivables, accrued income taxes and income tax reserves</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(147,233)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(129,397)</w:t>
            </w:r>
          </w:p>
        </w:tc>
      </w:tr>
      <w:tr>
        <w:trPr>
          <w:trHeight w:val="20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Other, net</w:t>
            </w:r>
          </w:p>
        </w:tc>
        <w:tc>
          <w:tcPr>
            <w:tcW w:w="6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(1,019)</w:t>
            </w:r>
          </w:p>
        </w:tc>
      </w:tr>
      <w:tr>
        <w:trPr>
          <w:trHeight w:val="199"/>
        </w:trPr>
        <w:tc>
          <w:tcPr>
            <w:tcW w:w="7260" w:type="dxa"/>
            <w:vAlign w:val="bottom"/>
            <w:tcBorders>
              <w:bottom w:val="single" w:sz="8" w:color="CCEEFF"/>
            </w:tcBorders>
            <w:gridSpan w:val="2"/>
          </w:tcPr>
          <w:p>
            <w:pPr>
              <w:ind w:left="520"/>
              <w:spacing w:after="0"/>
              <w:rPr>
                <w:sz w:val="20"/>
                <w:szCs w:val="20"/>
                <w:color w:val="auto"/>
              </w:rPr>
            </w:pPr>
            <w:r>
              <w:rPr>
                <w:rFonts w:ascii="Arial" w:cs="Arial" w:eastAsia="Arial" w:hAnsi="Arial"/>
                <w:sz w:val="15"/>
                <w:szCs w:val="15"/>
                <w:color w:val="auto"/>
              </w:rPr>
              <w:t>Net cash used in operating activities</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(356,838)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(328,581)</w:t>
            </w:r>
          </w:p>
        </w:tc>
      </w:tr>
      <w:tr>
        <w:trPr>
          <w:trHeight w:val="18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6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6"/>
        </w:trPr>
        <w:tc>
          <w:tcPr>
            <w:tcW w:w="7260" w:type="dxa"/>
            <w:vAlign w:val="bottom"/>
            <w:gridSpan w:val="2"/>
          </w:tcPr>
          <w:p>
            <w:pPr>
              <w:ind w:left="120"/>
              <w:spacing w:after="0"/>
              <w:rPr>
                <w:sz w:val="20"/>
                <w:szCs w:val="20"/>
                <w:color w:val="auto"/>
              </w:rPr>
            </w:pPr>
            <w:r>
              <w:rPr>
                <w:rFonts w:ascii="Arial" w:cs="Arial" w:eastAsia="Arial" w:hAnsi="Arial"/>
                <w:sz w:val="15"/>
                <w:szCs w:val="15"/>
                <w:color w:val="auto"/>
              </w:rPr>
              <w:t>Capital expenditures</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(13,188)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(18,735)</w:t>
            </w:r>
          </w:p>
        </w:tc>
      </w:tr>
      <w:tr>
        <w:trPr>
          <w:trHeight w:val="206"/>
        </w:trPr>
        <w:tc>
          <w:tcPr>
            <w:tcW w:w="7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Payments made for business acquisitions, net of cash acquired</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(5,069)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(5,901)</w:t>
            </w:r>
          </w:p>
        </w:tc>
      </w:tr>
      <w:tr>
        <w:trPr>
          <w:trHeight w:val="206"/>
        </w:trPr>
        <w:tc>
          <w:tcPr>
            <w:tcW w:w="7260" w:type="dxa"/>
            <w:vAlign w:val="bottom"/>
            <w:gridSpan w:val="2"/>
          </w:tcPr>
          <w:p>
            <w:pPr>
              <w:ind w:left="120"/>
              <w:spacing w:after="0"/>
              <w:rPr>
                <w:sz w:val="20"/>
                <w:szCs w:val="20"/>
                <w:color w:val="auto"/>
              </w:rPr>
            </w:pPr>
            <w:r>
              <w:rPr>
                <w:rFonts w:ascii="Arial" w:cs="Arial" w:eastAsia="Arial" w:hAnsi="Arial"/>
                <w:sz w:val="15"/>
                <w:szCs w:val="15"/>
                <w:color w:val="auto"/>
              </w:rPr>
              <w:t>Franchise loans funded</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(3,667)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(7,109)</w:t>
            </w:r>
          </w:p>
        </w:tc>
      </w:tr>
      <w:tr>
        <w:trPr>
          <w:trHeight w:val="206"/>
        </w:trPr>
        <w:tc>
          <w:tcPr>
            <w:tcW w:w="7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Payments from franchisees</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731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211</w:t>
            </w:r>
          </w:p>
        </w:tc>
      </w:tr>
      <w:tr>
        <w:trPr>
          <w:trHeight w:val="206"/>
        </w:trPr>
        <w:tc>
          <w:tcPr>
            <w:tcW w:w="7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net</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5,140</w:t>
            </w:r>
          </w:p>
        </w:tc>
      </w:tr>
      <w:tr>
        <w:trPr>
          <w:trHeight w:val="199"/>
        </w:trPr>
        <w:tc>
          <w:tcPr>
            <w:tcW w:w="72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cash used in investing activities</w:t>
            </w:r>
          </w:p>
        </w:tc>
        <w:tc>
          <w:tcPr>
            <w:tcW w:w="6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(20,926)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(26,394)</w:t>
            </w:r>
          </w:p>
        </w:tc>
      </w:tr>
      <w:tr>
        <w:trPr>
          <w:trHeight w:val="186"/>
        </w:trPr>
        <w:tc>
          <w:tcPr>
            <w:tcW w:w="726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6"/>
        </w:trPr>
        <w:tc>
          <w:tcPr>
            <w:tcW w:w="7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Proceeds from line of credit borrowings</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245,000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6"/>
        </w:trPr>
        <w:tc>
          <w:tcPr>
            <w:tcW w:w="7260" w:type="dxa"/>
            <w:vAlign w:val="bottom"/>
            <w:gridSpan w:val="2"/>
          </w:tcPr>
          <w:p>
            <w:pPr>
              <w:ind w:left="120"/>
              <w:spacing w:after="0"/>
              <w:rPr>
                <w:sz w:val="20"/>
                <w:szCs w:val="20"/>
                <w:color w:val="auto"/>
              </w:rPr>
            </w:pPr>
            <w:r>
              <w:rPr>
                <w:rFonts w:ascii="Arial" w:cs="Arial" w:eastAsia="Arial" w:hAnsi="Arial"/>
                <w:sz w:val="15"/>
                <w:szCs w:val="15"/>
                <w:color w:val="auto"/>
              </w:rPr>
              <w:t>Repayments of long-term debt</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(350,000)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6"/>
        </w:trPr>
        <w:tc>
          <w:tcPr>
            <w:tcW w:w="7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Proceeds from issuance of long-term debt</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346,980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6"/>
        </w:trPr>
        <w:tc>
          <w:tcPr>
            <w:tcW w:w="7260" w:type="dxa"/>
            <w:vAlign w:val="bottom"/>
            <w:gridSpan w:val="2"/>
          </w:tcPr>
          <w:p>
            <w:pPr>
              <w:ind w:left="120"/>
              <w:spacing w:after="0"/>
              <w:rPr>
                <w:sz w:val="20"/>
                <w:szCs w:val="20"/>
                <w:color w:val="auto"/>
              </w:rPr>
            </w:pPr>
            <w:r>
              <w:rPr>
                <w:rFonts w:ascii="Arial" w:cs="Arial" w:eastAsia="Arial" w:hAnsi="Arial"/>
                <w:sz w:val="15"/>
                <w:szCs w:val="15"/>
                <w:color w:val="auto"/>
              </w:rPr>
              <w:t>Dividends paid</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(50,208)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(44,653)</w:t>
            </w:r>
          </w:p>
        </w:tc>
      </w:tr>
      <w:tr>
        <w:trPr>
          <w:trHeight w:val="206"/>
        </w:trPr>
        <w:tc>
          <w:tcPr>
            <w:tcW w:w="7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Repurchase of common stock, including shares surrendered</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(412,415)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(238,376)</w:t>
            </w:r>
          </w:p>
        </w:tc>
      </w:tr>
      <w:tr>
        <w:trPr>
          <w:trHeight w:val="206"/>
        </w:trPr>
        <w:tc>
          <w:tcPr>
            <w:tcW w:w="7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Other, net</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(4,382)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(1,421)</w:t>
            </w:r>
          </w:p>
        </w:tc>
      </w:tr>
      <w:tr>
        <w:trPr>
          <w:trHeight w:val="199"/>
        </w:trPr>
        <w:tc>
          <w:tcPr>
            <w:tcW w:w="726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cash used in financing activities</w:t>
            </w:r>
          </w:p>
        </w:tc>
        <w:tc>
          <w:tcPr>
            <w:tcW w:w="6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(225,025)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(284,450)</w:t>
            </w:r>
          </w:p>
        </w:tc>
      </w:tr>
      <w:tr>
        <w:trPr>
          <w:trHeight w:val="199"/>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Effects of exchange rate changes on cash</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(2,949)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3,249</w:t>
            </w: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decrease in cash and cash equivalents, including restricted balances</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(605,738)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(636,176)</w:t>
            </w:r>
          </w:p>
        </w:tc>
      </w:tr>
      <w:tr>
        <w:trPr>
          <w:trHeight w:val="206"/>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6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1,003,139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1,075,193</w:t>
            </w:r>
          </w:p>
        </w:tc>
      </w:tr>
      <w:tr>
        <w:trPr>
          <w:trHeight w:val="19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end of period</w:t>
            </w:r>
          </w:p>
        </w:tc>
        <w:tc>
          <w:tcPr>
            <w:tcW w:w="64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397,401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439,017</w:t>
            </w:r>
          </w:p>
        </w:tc>
      </w:tr>
      <w:tr>
        <w:trPr>
          <w:trHeight w:val="186"/>
        </w:trPr>
        <w:tc>
          <w:tcPr>
            <w:tcW w:w="7260" w:type="dxa"/>
            <w:vAlign w:val="bottom"/>
            <w:gridSpan w:val="2"/>
          </w:tcPr>
          <w:p>
            <w:pPr>
              <w:ind w:left="20"/>
              <w:spacing w:after="0"/>
              <w:rPr>
                <w:sz w:val="20"/>
                <w:szCs w:val="20"/>
                <w:color w:val="auto"/>
              </w:rPr>
            </w:pPr>
            <w:r>
              <w:rPr>
                <w:rFonts w:ascii="Arial" w:cs="Arial" w:eastAsia="Arial" w:hAnsi="Arial"/>
                <w:sz w:val="15"/>
                <w:szCs w:val="15"/>
                <w:b w:val="1"/>
                <w:bCs w:val="1"/>
                <w:color w:val="auto"/>
              </w:rPr>
              <w:t>SUPPLEMENTARY CASH FLOW DATA:</w:t>
            </w:r>
          </w:p>
        </w:tc>
        <w:tc>
          <w:tcPr>
            <w:tcW w:w="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6"/>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Income taxes paid, net (includes payments for purchased investment tax credits)</w:t>
            </w: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5"/>
                <w:szCs w:val="15"/>
                <w:b w:val="1"/>
                <w:bCs w:val="1"/>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78,339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48,343</w:t>
            </w:r>
          </w:p>
        </w:tc>
      </w:tr>
      <w:tr>
        <w:trPr>
          <w:trHeight w:val="206"/>
        </w:trPr>
        <w:tc>
          <w:tcPr>
            <w:tcW w:w="7260" w:type="dxa"/>
            <w:vAlign w:val="bottom"/>
            <w:gridSpan w:val="2"/>
          </w:tcPr>
          <w:p>
            <w:pPr>
              <w:ind w:left="100"/>
              <w:spacing w:after="0"/>
              <w:rPr>
                <w:sz w:val="20"/>
                <w:szCs w:val="20"/>
                <w:color w:val="auto"/>
              </w:rPr>
            </w:pPr>
            <w:r>
              <w:rPr>
                <w:rFonts w:ascii="Arial" w:cs="Arial" w:eastAsia="Arial" w:hAnsi="Arial"/>
                <w:sz w:val="15"/>
                <w:szCs w:val="15"/>
                <w:color w:val="auto"/>
              </w:rPr>
              <w:t>Interest paid on borrowings</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28,471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19,792</w:t>
            </w:r>
          </w:p>
        </w:tc>
      </w:tr>
      <w:tr>
        <w:trPr>
          <w:trHeight w:val="206"/>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Accrued additions to property and equipment</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7,734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6,341</w:t>
            </w:r>
          </w:p>
        </w:tc>
      </w:tr>
      <w:tr>
        <w:trPr>
          <w:trHeight w:val="206"/>
        </w:trPr>
        <w:tc>
          <w:tcPr>
            <w:tcW w:w="7260" w:type="dxa"/>
            <w:vAlign w:val="bottom"/>
            <w:gridSpan w:val="2"/>
          </w:tcPr>
          <w:p>
            <w:pPr>
              <w:ind w:left="100"/>
              <w:spacing w:after="0"/>
              <w:rPr>
                <w:sz w:val="20"/>
                <w:szCs w:val="20"/>
                <w:color w:val="auto"/>
              </w:rPr>
            </w:pPr>
            <w:r>
              <w:rPr>
                <w:rFonts w:ascii="Arial" w:cs="Arial" w:eastAsia="Arial" w:hAnsi="Arial"/>
                <w:sz w:val="15"/>
                <w:szCs w:val="15"/>
                <w:color w:val="auto"/>
              </w:rPr>
              <w:t>New operating right of use assets and related lease liabilities</w:t>
            </w:r>
          </w:p>
        </w:tc>
        <w:tc>
          <w:tcPr>
            <w:tcW w:w="6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37,885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21,861</w:t>
            </w:r>
          </w:p>
        </w:tc>
      </w:tr>
      <w:tr>
        <w:trPr>
          <w:trHeight w:val="206"/>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Accrued dividends payable to common shareholders</w:t>
            </w:r>
          </w:p>
        </w:tc>
        <w:tc>
          <w:tcPr>
            <w:tcW w:w="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54,343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52,307</w:t>
            </w:r>
          </w:p>
        </w:tc>
      </w:tr>
      <w:tr>
        <w:trPr>
          <w:trHeight w:val="238"/>
        </w:trPr>
        <w:tc>
          <w:tcPr>
            <w:tcW w:w="7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5"/>
                <w:szCs w:val="15"/>
                <w:color w:val="auto"/>
              </w:rPr>
              <w:t>Accrued purchase of common stock</w:t>
            </w:r>
          </w:p>
        </w:tc>
        <w:tc>
          <w:tcPr>
            <w:tcW w:w="64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7,131</w:t>
            </w:r>
          </w:p>
        </w:tc>
      </w:tr>
      <w:tr>
        <w:trPr>
          <w:trHeight w:val="20"/>
        </w:trPr>
        <w:tc>
          <w:tcPr>
            <w:tcW w:w="7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614680</wp:posOffset>
            </wp:positionV>
            <wp:extent cx="220980" cy="122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834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FY2026 Form 10-Q</w:t>
      </w:r>
      <w:r>
        <w:rPr>
          <w:sz w:val="20"/>
          <w:szCs w:val="20"/>
          <w:color w:val="auto"/>
        </w:rPr>
        <w:tab/>
      </w:r>
      <w:r>
        <w:rPr>
          <w:rFonts w:ascii="Arial" w:cs="Arial" w:eastAsia="Arial" w:hAnsi="Arial"/>
          <w:sz w:val="10"/>
          <w:szCs w:val="10"/>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309"/>
        </w:trPr>
        <w:tc>
          <w:tcPr>
            <w:tcW w:w="7440" w:type="dxa"/>
            <w:vAlign w:val="bottom"/>
            <w:tcBorders>
              <w:top w:val="single" w:sz="8" w:color="auto"/>
              <w:bottom w:val="single" w:sz="8" w:color="auto"/>
            </w:tcBorders>
            <w:gridSpan w:val="13"/>
          </w:tcPr>
          <w:p>
            <w:pPr>
              <w:ind w:left="20"/>
              <w:spacing w:after="0"/>
              <w:rPr>
                <w:sz w:val="20"/>
                <w:szCs w:val="20"/>
                <w:color w:val="auto"/>
              </w:rPr>
            </w:pPr>
            <w:r>
              <w:rPr>
                <w:rFonts w:ascii="Arial" w:cs="Arial" w:eastAsia="Arial" w:hAnsi="Arial"/>
                <w:sz w:val="24"/>
                <w:szCs w:val="24"/>
                <w:b w:val="1"/>
                <w:bCs w:val="1"/>
                <w:color w:val="auto"/>
              </w:rPr>
              <w:t>CONSOLIDATED STATEMENTS OF STOCKHOLDERS' EQUITY</w:t>
            </w: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0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4"/>
                <w:szCs w:val="14"/>
                <w:color w:val="auto"/>
                <w:w w:val="97"/>
              </w:rPr>
              <w:t>(amounts in 000s, except per share amounts)</w:t>
            </w:r>
          </w:p>
        </w:tc>
        <w:tc>
          <w:tcPr>
            <w:tcW w:w="0" w:type="dxa"/>
            <w:vAlign w:val="bottom"/>
          </w:tcPr>
          <w:p>
            <w:pPr>
              <w:spacing w:after="0"/>
              <w:rPr>
                <w:sz w:val="1"/>
                <w:szCs w:val="1"/>
                <w:color w:val="auto"/>
              </w:rPr>
            </w:pPr>
          </w:p>
        </w:tc>
      </w:tr>
      <w:tr>
        <w:trPr>
          <w:trHeight w:val="289"/>
        </w:trPr>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Additional</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Accumulated Other</w:t>
            </w:r>
          </w:p>
        </w:tc>
        <w:tc>
          <w:tcPr>
            <w:tcW w:w="16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Retained</w:t>
            </w:r>
          </w:p>
        </w:tc>
        <w:tc>
          <w:tcPr>
            <w:tcW w:w="182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9"/>
        </w:trPr>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6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Paid-in</w:t>
            </w:r>
          </w:p>
        </w:tc>
        <w:tc>
          <w:tcPr>
            <w:tcW w:w="180" w:type="dxa"/>
            <w:vAlign w:val="bottom"/>
          </w:tcPr>
          <w:p>
            <w:pPr>
              <w:spacing w:after="0"/>
              <w:rPr>
                <w:sz w:val="9"/>
                <w:szCs w:val="9"/>
                <w:color w:val="auto"/>
              </w:rPr>
            </w:pPr>
          </w:p>
        </w:tc>
        <w:tc>
          <w:tcPr>
            <w:tcW w:w="1160" w:type="dxa"/>
            <w:vAlign w:val="bottom"/>
            <w:gridSpan w:val="2"/>
          </w:tcPr>
          <w:p>
            <w:pPr>
              <w:jc w:val="right"/>
              <w:ind w:right="100"/>
              <w:spacing w:after="0" w:line="109" w:lineRule="exact"/>
              <w:rPr>
                <w:sz w:val="20"/>
                <w:szCs w:val="20"/>
                <w:color w:val="auto"/>
              </w:rPr>
            </w:pPr>
            <w:r>
              <w:rPr>
                <w:rFonts w:ascii="Arial" w:cs="Arial" w:eastAsia="Arial" w:hAnsi="Arial"/>
                <w:sz w:val="11"/>
                <w:szCs w:val="11"/>
                <w:color w:val="auto"/>
              </w:rPr>
              <w:t>Comprehensive</w:t>
            </w:r>
          </w:p>
        </w:tc>
        <w:tc>
          <w:tcPr>
            <w:tcW w:w="160" w:type="dxa"/>
            <w:vAlign w:val="bottom"/>
          </w:tcPr>
          <w:p>
            <w:pPr>
              <w:spacing w:after="0"/>
              <w:rPr>
                <w:sz w:val="9"/>
                <w:szCs w:val="9"/>
                <w:color w:val="auto"/>
              </w:rPr>
            </w:pPr>
          </w:p>
        </w:tc>
        <w:tc>
          <w:tcPr>
            <w:tcW w:w="820" w:type="dxa"/>
            <w:vAlign w:val="bottom"/>
            <w:gridSpan w:val="2"/>
          </w:tcPr>
          <w:p>
            <w:pPr>
              <w:ind w:left="160"/>
              <w:spacing w:after="0" w:line="109" w:lineRule="exact"/>
              <w:rPr>
                <w:sz w:val="20"/>
                <w:szCs w:val="20"/>
                <w:color w:val="auto"/>
              </w:rPr>
            </w:pPr>
            <w:r>
              <w:rPr>
                <w:rFonts w:ascii="Arial" w:cs="Arial" w:eastAsia="Arial" w:hAnsi="Arial"/>
                <w:sz w:val="11"/>
                <w:szCs w:val="11"/>
                <w:color w:val="auto"/>
              </w:rPr>
              <w:t>Earnings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6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900" w:type="dxa"/>
            <w:vAlign w:val="bottom"/>
            <w:gridSpan w:val="2"/>
          </w:tcPr>
          <w:p>
            <w:pPr>
              <w:jc w:val="right"/>
              <w:spacing w:after="0" w:line="109" w:lineRule="exact"/>
              <w:rPr>
                <w:sz w:val="20"/>
                <w:szCs w:val="20"/>
                <w:color w:val="auto"/>
              </w:rPr>
            </w:pPr>
            <w:r>
              <w:rPr>
                <w:rFonts w:ascii="Arial" w:cs="Arial" w:eastAsia="Arial" w:hAnsi="Arial"/>
                <w:sz w:val="11"/>
                <w:szCs w:val="11"/>
                <w:color w:val="auto"/>
              </w:rPr>
              <w:t>Stockholders’</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w:t>
            </w:r>
            <w:r>
              <w:rPr>
                <w:rFonts w:ascii="Arial" w:cs="Arial" w:eastAsia="Arial" w:hAnsi="Arial"/>
                <w:sz w:val="8"/>
                <w:szCs w:val="8"/>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2025</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164,367</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b w:val="1"/>
                <w:bCs w:val="1"/>
                <w:color w:val="auto"/>
              </w:rPr>
              <w:t>1,644</w:t>
            </w:r>
          </w:p>
        </w:tc>
        <w:tc>
          <w:tcPr>
            <w:tcW w:w="6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766,998</w:t>
            </w:r>
          </w:p>
        </w:tc>
        <w:tc>
          <w:tcPr>
            <w:tcW w:w="80" w:type="dxa"/>
            <w:vAlign w:val="bottom"/>
          </w:tcPr>
          <w:p>
            <w:pPr>
              <w:spacing w:after="0"/>
              <w:rPr>
                <w:sz w:val="17"/>
                <w:szCs w:val="17"/>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(47,755)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12,061</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(30,420)</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(644,052)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88,896</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(165,819)</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(165,819)</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Other comprehensive loss</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(9,308)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(9,308)</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6,172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6,172</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Stock-based awards exercised or vested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(10,551)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(1,797)</w:t>
            </w:r>
          </w:p>
        </w:tc>
        <w:tc>
          <w:tcPr>
            <w:tcW w:w="8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b w:val="1"/>
                <w:bCs w:val="1"/>
                <w:color w:val="auto"/>
              </w:rPr>
              <w:t>579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12,255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(93)</w:t>
            </w: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 of treasury shares</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(12,297)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(12,297)</w:t>
            </w:r>
          </w:p>
        </w:tc>
        <w:tc>
          <w:tcPr>
            <w:tcW w:w="0" w:type="dxa"/>
            <w:vAlign w:val="bottom"/>
          </w:tcPr>
          <w:p>
            <w:pPr>
              <w:spacing w:after="0"/>
              <w:rPr>
                <w:sz w:val="1"/>
                <w:szCs w:val="1"/>
                <w:color w:val="auto"/>
              </w:rPr>
            </w:pPr>
          </w:p>
        </w:tc>
      </w:tr>
      <w:tr>
        <w:trPr>
          <w:trHeight w:val="155"/>
        </w:trPr>
        <w:tc>
          <w:tcPr>
            <w:tcW w:w="32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Repurchase and retirement of common</w:t>
            </w: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(7,861)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(79)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(4,638)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(399,401)</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(404,118)</w:t>
            </w:r>
          </w:p>
        </w:tc>
        <w:tc>
          <w:tcPr>
            <w:tcW w:w="0" w:type="dxa"/>
            <w:vAlign w:val="bottom"/>
          </w:tcPr>
          <w:p>
            <w:pPr>
              <w:spacing w:after="0"/>
              <w:rPr>
                <w:sz w:val="1"/>
                <w:szCs w:val="1"/>
                <w:color w:val="auto"/>
              </w:rPr>
            </w:pPr>
          </w:p>
        </w:tc>
      </w:tr>
      <w:tr>
        <w:trPr>
          <w:trHeight w:val="206"/>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shares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dividends declared - $0.42 per share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(54,343)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(54,343)</w:t>
            </w: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September 30, 2025</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156,506</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1,565</w:t>
            </w:r>
          </w:p>
        </w:tc>
        <w:tc>
          <w:tcPr>
            <w:tcW w:w="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757,981</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(57,063)</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(609,299)</w:t>
            </w:r>
          </w:p>
        </w:tc>
        <w:tc>
          <w:tcPr>
            <w:tcW w:w="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(30,085)</w:t>
            </w: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(644,094)</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(550,910)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581025</wp:posOffset>
            </wp:positionV>
            <wp:extent cx="7122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460"/>
        <w:spacing w:after="0"/>
        <w:rPr>
          <w:sz w:val="20"/>
          <w:szCs w:val="20"/>
          <w:color w:val="auto"/>
        </w:rPr>
      </w:pPr>
      <w:r>
        <w:rPr>
          <w:rFonts w:ascii="Arial" w:cs="Arial" w:eastAsia="Arial" w:hAnsi="Arial"/>
          <w:sz w:val="13"/>
          <w:szCs w:val="13"/>
          <w:color w:val="auto"/>
        </w:rPr>
        <w:t>(amounts 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7122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Additional</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Accumulated Other</w:t>
            </w: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Retained</w:t>
            </w:r>
          </w:p>
        </w:tc>
        <w:tc>
          <w:tcPr>
            <w:tcW w:w="182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5"/>
        </w:trPr>
        <w:tc>
          <w:tcPr>
            <w:tcW w:w="3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6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2"/>
          </w:tcPr>
          <w:p>
            <w:pPr>
              <w:jc w:val="right"/>
              <w:ind w:right="100"/>
              <w:spacing w:after="0" w:line="105" w:lineRule="exact"/>
              <w:rPr>
                <w:sz w:val="20"/>
                <w:szCs w:val="20"/>
                <w:color w:val="auto"/>
              </w:rPr>
            </w:pPr>
            <w:r>
              <w:rPr>
                <w:rFonts w:ascii="Arial" w:cs="Arial" w:eastAsia="Arial" w:hAnsi="Arial"/>
                <w:sz w:val="11"/>
                <w:szCs w:val="11"/>
                <w:color w:val="auto"/>
              </w:rPr>
              <w:t>Paid-in</w:t>
            </w:r>
          </w:p>
        </w:tc>
        <w:tc>
          <w:tcPr>
            <w:tcW w:w="180" w:type="dxa"/>
            <w:vAlign w:val="bottom"/>
          </w:tcPr>
          <w:p>
            <w:pPr>
              <w:spacing w:after="0"/>
              <w:rPr>
                <w:sz w:val="9"/>
                <w:szCs w:val="9"/>
                <w:color w:val="auto"/>
              </w:rPr>
            </w:pPr>
          </w:p>
        </w:tc>
        <w:tc>
          <w:tcPr>
            <w:tcW w:w="1160" w:type="dxa"/>
            <w:vAlign w:val="bottom"/>
            <w:gridSpan w:val="2"/>
          </w:tcPr>
          <w:p>
            <w:pPr>
              <w:jc w:val="right"/>
              <w:ind w:right="100"/>
              <w:spacing w:after="0" w:line="105" w:lineRule="exact"/>
              <w:rPr>
                <w:sz w:val="20"/>
                <w:szCs w:val="20"/>
                <w:color w:val="auto"/>
              </w:rPr>
            </w:pPr>
            <w:r>
              <w:rPr>
                <w:rFonts w:ascii="Arial" w:cs="Arial" w:eastAsia="Arial" w:hAnsi="Arial"/>
                <w:sz w:val="11"/>
                <w:szCs w:val="11"/>
                <w:color w:val="auto"/>
              </w:rPr>
              <w:t>Comprehensive</w:t>
            </w:r>
          </w:p>
        </w:tc>
        <w:tc>
          <w:tcPr>
            <w:tcW w:w="160" w:type="dxa"/>
            <w:vAlign w:val="bottom"/>
          </w:tcPr>
          <w:p>
            <w:pPr>
              <w:spacing w:after="0"/>
              <w:rPr>
                <w:sz w:val="9"/>
                <w:szCs w:val="9"/>
                <w:color w:val="auto"/>
              </w:rPr>
            </w:pPr>
          </w:p>
        </w:tc>
        <w:tc>
          <w:tcPr>
            <w:tcW w:w="820" w:type="dxa"/>
            <w:vAlign w:val="bottom"/>
            <w:gridSpan w:val="2"/>
          </w:tcPr>
          <w:p>
            <w:pPr>
              <w:ind w:left="160"/>
              <w:spacing w:after="0" w:line="105" w:lineRule="exact"/>
              <w:rPr>
                <w:sz w:val="20"/>
                <w:szCs w:val="20"/>
                <w:color w:val="auto"/>
              </w:rPr>
            </w:pPr>
            <w:r>
              <w:rPr>
                <w:rFonts w:ascii="Arial" w:cs="Arial" w:eastAsia="Arial" w:hAnsi="Arial"/>
                <w:sz w:val="11"/>
                <w:szCs w:val="11"/>
                <w:color w:val="auto"/>
              </w:rPr>
              <w:t>Earnings</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6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9"/>
                <w:szCs w:val="9"/>
                <w:color w:val="auto"/>
              </w:rPr>
            </w:pPr>
          </w:p>
        </w:tc>
        <w:tc>
          <w:tcPr>
            <w:tcW w:w="90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Stockholders’</w:t>
            </w:r>
          </w:p>
        </w:tc>
        <w:tc>
          <w:tcPr>
            <w:tcW w:w="0" w:type="dxa"/>
            <w:vAlign w:val="bottom"/>
          </w:tcPr>
          <w:p>
            <w:pPr>
              <w:spacing w:after="0"/>
              <w:rPr>
                <w:sz w:val="1"/>
                <w:szCs w:val="1"/>
                <w:color w:val="auto"/>
              </w:rPr>
            </w:pPr>
          </w:p>
        </w:tc>
      </w:tr>
      <w:tr>
        <w:trPr>
          <w:trHeight w:val="192"/>
        </w:trPr>
        <w:tc>
          <w:tcPr>
            <w:tcW w:w="3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4"/>
                <w:szCs w:val="14"/>
                <w:color w:val="auto"/>
              </w:rPr>
              <w:t>Loss</w:t>
            </w:r>
            <w:r>
              <w:rPr>
                <w:rFonts w:ascii="Arial" w:cs="Arial" w:eastAsia="Arial" w:hAnsi="Arial"/>
                <w:sz w:val="17"/>
                <w:szCs w:val="17"/>
                <w:color w:val="auto"/>
                <w:vertAlign w:val="superscript"/>
              </w:rPr>
              <w:t>(1)</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8"/>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2024</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170,916</w:t>
            </w:r>
          </w:p>
        </w:tc>
        <w:tc>
          <w:tcPr>
            <w:tcW w:w="8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1,709</w:t>
            </w:r>
          </w:p>
        </w:tc>
        <w:tc>
          <w:tcPr>
            <w:tcW w:w="60" w:type="dxa"/>
            <w:vAlign w:val="bottom"/>
          </w:tcPr>
          <w:p>
            <w:pPr>
              <w:spacing w:after="0"/>
              <w:rPr>
                <w:sz w:val="17"/>
                <w:szCs w:val="17"/>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
              <w:spacing w:after="0"/>
              <w:rPr>
                <w:sz w:val="20"/>
                <w:szCs w:val="20"/>
                <w:color w:val="auto"/>
              </w:rPr>
            </w:pPr>
            <w:r>
              <w:rPr>
                <w:rFonts w:ascii="Arial" w:cs="Arial" w:eastAsia="Arial" w:hAnsi="Arial"/>
                <w:sz w:val="15"/>
                <w:szCs w:val="15"/>
                <w:color w:val="auto"/>
              </w:rPr>
              <w:t>762,583</w:t>
            </w:r>
          </w:p>
        </w:tc>
        <w:tc>
          <w:tcPr>
            <w:tcW w:w="80" w:type="dxa"/>
            <w:vAlign w:val="bottom"/>
          </w:tcPr>
          <w:p>
            <w:pPr>
              <w:spacing w:after="0"/>
              <w:rPr>
                <w:sz w:val="17"/>
                <w:szCs w:val="17"/>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(48,845)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12,654</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(31,325)</w:t>
            </w: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(637,507)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90,594</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(172,576)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(172,576)</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Other comprehensive income</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6,117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6,117</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7,463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7,463</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Stock-based awards exercised or vested</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(23,990)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(2,611)</w:t>
            </w:r>
          </w:p>
        </w:tc>
        <w:tc>
          <w:tcPr>
            <w:tcW w:w="80" w:type="dxa"/>
            <w:vAlign w:val="bottom"/>
          </w:tcPr>
          <w:p>
            <w:pPr>
              <w:spacing w:after="0"/>
              <w:rPr>
                <w:sz w:val="17"/>
                <w:szCs w:val="17"/>
                <w:color w:val="auto"/>
              </w:rPr>
            </w:pP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1,319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26,848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247</w:t>
            </w: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 of treasury shares</w:t>
            </w:r>
            <w:r>
              <w:rPr>
                <w:rFonts w:ascii="Arial" w:cs="Arial" w:eastAsia="Arial" w:hAnsi="Arial"/>
                <w:sz w:val="20"/>
                <w:szCs w:val="20"/>
                <w:color w:val="auto"/>
                <w:vertAlign w:val="superscript"/>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(35,882)</w:t>
            </w:r>
          </w:p>
        </w:tc>
        <w:tc>
          <w:tcPr>
            <w:tcW w:w="0" w:type="dxa"/>
            <w:vAlign w:val="bottom"/>
          </w:tcPr>
          <w:p>
            <w:pPr>
              <w:spacing w:after="0"/>
              <w:rPr>
                <w:sz w:val="1"/>
                <w:szCs w:val="1"/>
                <w:color w:val="auto"/>
              </w:rPr>
            </w:pPr>
          </w:p>
        </w:tc>
      </w:tr>
      <w:tr>
        <w:trPr>
          <w:trHeight w:val="155"/>
        </w:trPr>
        <w:tc>
          <w:tcPr>
            <w:tcW w:w="320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Repurchase and retirement of common</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(3,301)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(1,980)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(209,708)</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(211,721)</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0"/>
              <w:spacing w:after="0"/>
              <w:rPr>
                <w:sz w:val="20"/>
                <w:szCs w:val="20"/>
                <w:color w:val="auto"/>
              </w:rPr>
            </w:pPr>
            <w:r>
              <w:rPr>
                <w:rFonts w:ascii="Arial" w:cs="Arial" w:eastAsia="Arial" w:hAnsi="Arial"/>
                <w:sz w:val="15"/>
                <w:szCs w:val="15"/>
                <w:color w:val="auto"/>
              </w:rPr>
              <w:t>shares</w:t>
            </w: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 dividends declared - $0.375 per share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(52,307)</w:t>
            </w:r>
          </w:p>
        </w:tc>
        <w:tc>
          <w:tcPr>
            <w:tcW w:w="0" w:type="dxa"/>
            <w:vAlign w:val="bottom"/>
          </w:tcPr>
          <w:p>
            <w:pPr>
              <w:spacing w:after="0"/>
              <w:rPr>
                <w:sz w:val="1"/>
                <w:szCs w:val="1"/>
                <w:color w:val="auto"/>
              </w:rPr>
            </w:pPr>
          </w:p>
        </w:tc>
      </w:tr>
      <w:tr>
        <w:trPr>
          <w:trHeight w:val="236"/>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September 30, 2024</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167,615</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1,676</w:t>
            </w:r>
          </w:p>
        </w:tc>
        <w:tc>
          <w:tcPr>
            <w:tcW w:w="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rPr>
              <w:t>744,076</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(42,728)</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(424,548)</w:t>
            </w:r>
          </w:p>
        </w:tc>
        <w:tc>
          <w:tcPr>
            <w:tcW w:w="8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(30,573)</w:t>
            </w: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(646,541)</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(368,065)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40" w:hanging="137"/>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The balance of our accumulated other comprehensive loss consists of foreign currency translation adjustments.</w:t>
      </w:r>
    </w:p>
    <w:p>
      <w:pPr>
        <w:spacing w:after="0" w:line="18" w:lineRule="exact"/>
        <w:rPr>
          <w:rFonts w:ascii="Arial" w:cs="Arial" w:eastAsia="Arial" w:hAnsi="Arial"/>
          <w:sz w:val="9"/>
          <w:szCs w:val="9"/>
          <w:color w:val="auto"/>
        </w:rPr>
      </w:pPr>
    </w:p>
    <w:p>
      <w:pPr>
        <w:ind w:left="140" w:hanging="137"/>
        <w:spacing w:after="0" w:line="219"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Represents shares swapped or surrendered to us in connection with the vesting or exercise of stock-based awards.</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655955</wp:posOffset>
            </wp:positionV>
            <wp:extent cx="155575" cy="122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57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hanging="173"/>
        <w:spacing w:after="0"/>
        <w:tabs>
          <w:tab w:leader="none" w:pos="260" w:val="left"/>
        </w:tabs>
        <w:numPr>
          <w:ilvl w:val="0"/>
          <w:numId w:val="5"/>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6960" w:val="left"/>
        </w:tabs>
        <w:rPr>
          <w:sz w:val="20"/>
          <w:szCs w:val="20"/>
          <w:color w:val="auto"/>
        </w:rPr>
      </w:pPr>
      <w:r>
        <w:rPr>
          <w:rFonts w:ascii="Arial" w:cs="Arial" w:eastAsia="Arial" w:hAnsi="Arial"/>
          <w:sz w:val="24"/>
          <w:szCs w:val="24"/>
          <w:b w:val="1"/>
          <w:bCs w:val="1"/>
          <w:color w:val="14AA40"/>
        </w:rPr>
        <w:t>NOTES TO CONSOLIDATED FINANCIAL STATEMENTS</w:t>
      </w:r>
      <w:r>
        <w:rPr>
          <w:sz w:val="20"/>
          <w:szCs w:val="20"/>
          <w:color w:val="auto"/>
        </w:rPr>
        <w:tab/>
      </w:r>
      <w:r>
        <w:rPr>
          <w:rFonts w:ascii="Arial" w:cs="Arial" w:eastAsia="Arial" w:hAnsi="Arial"/>
          <w:sz w:val="20"/>
          <w:szCs w:val="20"/>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1: SUMMARY OF SIGNIFICANT ACCOUNTING POLICIES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consolidated balance sheets as of September 30, 2025 and June 30, 2025, the consolidated statements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and comprehensive loss for the three months ended September 30, 2025 and 2024, the consolidated statements of cash flows for the three months ended September 30, 2025 and 2024, and the consolidated statements of stockholders' equity for the three months ended September 30, 2025 and 2024 have been prepared by the Company, without audit. In the opinion of management, all adjustments, which include only normal recurring adjustments, necessary to present fairly the financial position, results of operations, and cash flows as of September 30, 2025 and 2024 and for all periods presented, have been made.</w:t>
      </w:r>
    </w:p>
    <w:p>
      <w:pPr>
        <w:spacing w:after="0" w:line="67"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color w:val="auto"/>
        </w:rPr>
        <w:t>"H&amp;R Block," "the Company," "we," "our," and "us" are used interchangeably to refer to H&amp;R Block, Inc., to H&amp;R Block, Inc. and its subsidiaries, or to H&amp;R Block, Inc.'s operating subsidiaries, as appropriate to the context.</w:t>
      </w:r>
    </w:p>
    <w:p>
      <w:pPr>
        <w:spacing w:after="0" w:line="43"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June 30, 2025 Annual Report on Form 10-K. All amounts presented herein as of June 30, 2025 or for the year then ended are derived from our Annual Report on Form 10-K.</w:t>
      </w:r>
    </w:p>
    <w:p>
      <w:pPr>
        <w:spacing w:after="0" w:line="63" w:lineRule="exact"/>
        <w:rPr>
          <w:sz w:val="20"/>
          <w:szCs w:val="20"/>
          <w:color w:val="auto"/>
        </w:rPr>
      </w:pPr>
    </w:p>
    <w:p>
      <w:pPr>
        <w:jc w:val="both"/>
        <w:ind w:firstLine="193"/>
        <w:spacing w:after="0" w:line="261" w:lineRule="auto"/>
        <w:rPr>
          <w:sz w:val="20"/>
          <w:szCs w:val="20"/>
          <w:color w:val="auto"/>
        </w:rPr>
      </w:pPr>
      <w:r>
        <w:rPr>
          <w:rFonts w:ascii="Arial" w:cs="Arial" w:eastAsia="Arial" w:hAnsi="Arial"/>
          <w:sz w:val="17"/>
          <w:szCs w:val="17"/>
          <w:b w:val="1"/>
          <w:bCs w:val="1"/>
          <w:color w:val="auto"/>
        </w:rPr>
        <w:t xml:space="preserve">MANAGEMENT ESTIMATES </w:t>
      </w:r>
      <w:r>
        <w:rPr>
          <w:rFonts w:ascii="Arial" w:cs="Arial" w:eastAsia="Arial" w:hAnsi="Arial"/>
          <w:sz w:val="17"/>
          <w:szCs w:val="17"/>
          <w:color w:val="auto"/>
        </w:rPr>
        <w:t>– The preparation of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associated with pending claims and litigation, reserves for uncertain tax positions, and fair value of reporting units. Estimates have been prepared based on the best information available as of each balance sheet date. As such, actual results could differ materially from those estimates.</w:t>
      </w:r>
    </w:p>
    <w:p>
      <w:pPr>
        <w:spacing w:after="0" w:line="65" w:lineRule="exact"/>
        <w:rPr>
          <w:sz w:val="20"/>
          <w:szCs w:val="20"/>
          <w:color w:val="auto"/>
        </w:rPr>
      </w:pPr>
    </w:p>
    <w:p>
      <w:pPr>
        <w:jc w:val="both"/>
        <w:ind w:firstLine="193"/>
        <w:spacing w:after="0" w:line="292" w:lineRule="auto"/>
        <w:rPr>
          <w:sz w:val="20"/>
          <w:szCs w:val="20"/>
          <w:color w:val="auto"/>
        </w:rPr>
      </w:pPr>
      <w:r>
        <w:rPr>
          <w:rFonts w:ascii="Arial" w:cs="Arial" w:eastAsia="Arial" w:hAnsi="Arial"/>
          <w:sz w:val="17"/>
          <w:szCs w:val="17"/>
          <w:b w:val="1"/>
          <w:bCs w:val="1"/>
          <w:color w:val="auto"/>
        </w:rPr>
        <w:t xml:space="preserve">SEASONALITY OF BUSINESS </w:t>
      </w:r>
      <w:r>
        <w:rPr>
          <w:rFonts w:ascii="Arial" w:cs="Arial" w:eastAsia="Arial" w:hAnsi="Arial"/>
          <w:sz w:val="17"/>
          <w:szCs w:val="17"/>
          <w:color w:val="auto"/>
        </w:rPr>
        <w:t>– Our operating revenues are seasonal in nature with peak revenues typically occurring in the months of</w:t>
      </w:r>
      <w:r>
        <w:rPr>
          <w:rFonts w:ascii="Arial" w:cs="Arial" w:eastAsia="Arial" w:hAnsi="Arial"/>
          <w:sz w:val="17"/>
          <w:szCs w:val="17"/>
          <w:b w:val="1"/>
          <w:bCs w:val="1"/>
          <w:color w:val="auto"/>
        </w:rPr>
        <w:t xml:space="preserve"> </w:t>
      </w:r>
      <w:r>
        <w:rPr>
          <w:rFonts w:ascii="Arial" w:cs="Arial" w:eastAsia="Arial" w:hAnsi="Arial"/>
          <w:sz w:val="17"/>
          <w:szCs w:val="17"/>
          <w:color w:val="auto"/>
        </w:rPr>
        <w:t>February through April. Therefore, results for interim periods are not indicative of results to be expected for the full year.</w:t>
      </w:r>
    </w:p>
    <w:p>
      <w:pPr>
        <w:spacing w:after="0" w:line="40" w:lineRule="exact"/>
        <w:rPr>
          <w:sz w:val="20"/>
          <w:szCs w:val="20"/>
          <w:color w:val="auto"/>
        </w:rPr>
      </w:pPr>
    </w:p>
    <w:p>
      <w:pPr>
        <w:jc w:val="both"/>
        <w:ind w:firstLine="193"/>
        <w:spacing w:after="0" w:line="292"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 Our discontinued operations include the results of operations of Sand Canyon Corporation, previously known</w:t>
      </w:r>
      <w:r>
        <w:rPr>
          <w:rFonts w:ascii="Arial" w:cs="Arial" w:eastAsia="Arial" w:hAnsi="Arial"/>
          <w:sz w:val="17"/>
          <w:szCs w:val="17"/>
          <w:b w:val="1"/>
          <w:bCs w:val="1"/>
          <w:color w:val="auto"/>
        </w:rPr>
        <w:t xml:space="preserve"> </w:t>
      </w:r>
      <w:r>
        <w:rPr>
          <w:rFonts w:ascii="Arial" w:cs="Arial" w:eastAsia="Arial" w:hAnsi="Arial"/>
          <w:sz w:val="17"/>
          <w:szCs w:val="17"/>
          <w:color w:val="auto"/>
        </w:rPr>
        <w:t>as Option One Mortgage Corporation, which exited its mortgage business in fiscal year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577850</wp:posOffset>
            </wp:positionV>
            <wp:extent cx="220980" cy="122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sz w:val="20"/>
          <w:szCs w:val="20"/>
          <w:color w:val="auto"/>
        </w:rPr>
        <w:tab/>
      </w:r>
      <w:r>
        <w:rPr>
          <w:rFonts w:ascii="Arial" w:cs="Arial" w:eastAsia="Arial" w:hAnsi="Arial"/>
          <w:sz w:val="10"/>
          <w:szCs w:val="10"/>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 w:name="page8"/>
    <w:bookmarkEnd w:id="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2: REVENUE RECOGNITION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majority of our revenues are from our United States (U.S.) tax services business. The following table disaggregates our U.S. revenues by major service line, with revenues from our international tax services businesses and from Wave included as separate lines: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7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5"/>
                <w:szCs w:val="15"/>
                <w:color w:val="auto"/>
              </w:rPr>
              <w:t>Three months ended September 30,</w:t>
            </w:r>
          </w:p>
        </w:tc>
      </w:tr>
      <w:tr>
        <w:trPr>
          <w:trHeight w:val="200"/>
        </w:trPr>
        <w:tc>
          <w:tcPr>
            <w:tcW w:w="73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r>
      <w:tr>
        <w:trPr>
          <w:trHeight w:val="198"/>
        </w:trPr>
        <w:tc>
          <w:tcPr>
            <w:tcW w:w="754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7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assisted tax preparation</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48,644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42,963</w:t>
            </w:r>
          </w:p>
        </w:tc>
      </w:tr>
      <w:tr>
        <w:trPr>
          <w:trHeight w:val="206"/>
        </w:trPr>
        <w:tc>
          <w:tcPr>
            <w:tcW w:w="7540" w:type="dxa"/>
            <w:vAlign w:val="bottom"/>
            <w:gridSpan w:val="2"/>
          </w:tcPr>
          <w:p>
            <w:pPr>
              <w:ind w:left="140"/>
              <w:spacing w:after="0"/>
              <w:rPr>
                <w:sz w:val="20"/>
                <w:szCs w:val="20"/>
                <w:color w:val="auto"/>
              </w:rPr>
            </w:pPr>
            <w:r>
              <w:rPr>
                <w:rFonts w:ascii="Arial" w:cs="Arial" w:eastAsia="Arial" w:hAnsi="Arial"/>
                <w:sz w:val="15"/>
                <w:szCs w:val="15"/>
                <w:color w:val="auto"/>
              </w:rPr>
              <w:t>U.S. royalties</w:t>
            </w:r>
          </w:p>
        </w:tc>
        <w:tc>
          <w:tcPr>
            <w:tcW w:w="36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b w:val="1"/>
                <w:bCs w:val="1"/>
                <w:color w:val="auto"/>
              </w:rPr>
              <w:t>5,849</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5,852</w:t>
            </w:r>
          </w:p>
        </w:tc>
      </w:tr>
      <w:tr>
        <w:trPr>
          <w:trHeight w:val="206"/>
        </w:trPr>
        <w:tc>
          <w:tcPr>
            <w:tcW w:w="7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DIY tax preparation</w:t>
            </w: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3,745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w:t>
            </w:r>
          </w:p>
        </w:tc>
      </w:tr>
      <w:tr>
        <w:trPr>
          <w:trHeight w:val="206"/>
        </w:trPr>
        <w:tc>
          <w:tcPr>
            <w:tcW w:w="7540" w:type="dxa"/>
            <w:vAlign w:val="bottom"/>
            <w:gridSpan w:val="2"/>
          </w:tcPr>
          <w:p>
            <w:pPr>
              <w:ind w:left="140"/>
              <w:spacing w:after="0"/>
              <w:rPr>
                <w:sz w:val="20"/>
                <w:szCs w:val="20"/>
                <w:color w:val="auto"/>
              </w:rPr>
            </w:pPr>
            <w:r>
              <w:rPr>
                <w:rFonts w:ascii="Arial" w:cs="Arial" w:eastAsia="Arial" w:hAnsi="Arial"/>
                <w:sz w:val="15"/>
                <w:szCs w:val="15"/>
                <w:color w:val="auto"/>
              </w:rPr>
              <w:t>Refund Transfers</w:t>
            </w:r>
          </w:p>
        </w:tc>
        <w:tc>
          <w:tcPr>
            <w:tcW w:w="36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b w:val="1"/>
                <w:bCs w:val="1"/>
                <w:color w:val="auto"/>
              </w:rPr>
              <w:t>843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860</w:t>
            </w:r>
          </w:p>
        </w:tc>
      </w:tr>
      <w:tr>
        <w:trPr>
          <w:trHeight w:val="206"/>
        </w:trPr>
        <w:tc>
          <w:tcPr>
            <w:tcW w:w="7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Peace of Mind® Extended Service Plan</w:t>
            </w: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23,509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23,097</w:t>
            </w:r>
          </w:p>
        </w:tc>
      </w:tr>
      <w:tr>
        <w:trPr>
          <w:trHeight w:val="206"/>
        </w:trPr>
        <w:tc>
          <w:tcPr>
            <w:tcW w:w="7540" w:type="dxa"/>
            <w:vAlign w:val="bottom"/>
            <w:gridSpan w:val="2"/>
          </w:tcPr>
          <w:p>
            <w:pPr>
              <w:ind w:left="140"/>
              <w:spacing w:after="0"/>
              <w:rPr>
                <w:sz w:val="20"/>
                <w:szCs w:val="20"/>
                <w:color w:val="auto"/>
              </w:rPr>
            </w:pPr>
            <w:r>
              <w:rPr>
                <w:rFonts w:ascii="Arial" w:cs="Arial" w:eastAsia="Arial" w:hAnsi="Arial"/>
                <w:sz w:val="15"/>
                <w:szCs w:val="15"/>
                <w:color w:val="auto"/>
              </w:rPr>
              <w:t>Tax Identity Shield®</w:t>
            </w:r>
          </w:p>
        </w:tc>
        <w:tc>
          <w:tcPr>
            <w:tcW w:w="36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b w:val="1"/>
                <w:bCs w:val="1"/>
                <w:color w:val="auto"/>
              </w:rPr>
              <w:t>4,122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3,909</w:t>
            </w:r>
          </w:p>
        </w:tc>
      </w:tr>
      <w:tr>
        <w:trPr>
          <w:trHeight w:val="206"/>
        </w:trPr>
        <w:tc>
          <w:tcPr>
            <w:tcW w:w="7540" w:type="dxa"/>
            <w:vAlign w:val="bottom"/>
            <w:gridSpan w:val="2"/>
            <w:shd w:val="clear" w:color="auto" w:fill="CCEEFF"/>
          </w:tcPr>
          <w:p>
            <w:pPr>
              <w:ind w:left="140"/>
              <w:spacing w:after="0" w:line="207"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7,852</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8,826</w:t>
            </w:r>
          </w:p>
        </w:tc>
      </w:tr>
      <w:tr>
        <w:trPr>
          <w:trHeight w:val="206"/>
        </w:trPr>
        <w:tc>
          <w:tcPr>
            <w:tcW w:w="7540" w:type="dxa"/>
            <w:vAlign w:val="bottom"/>
            <w:gridSpan w:val="2"/>
          </w:tcPr>
          <w:p>
            <w:pPr>
              <w:ind w:left="140"/>
              <w:spacing w:after="0"/>
              <w:rPr>
                <w:sz w:val="20"/>
                <w:szCs w:val="20"/>
                <w:color w:val="auto"/>
              </w:rPr>
            </w:pPr>
            <w:r>
              <w:rPr>
                <w:rFonts w:ascii="Arial" w:cs="Arial" w:eastAsia="Arial" w:hAnsi="Arial"/>
                <w:sz w:val="15"/>
                <w:szCs w:val="15"/>
                <w:color w:val="auto"/>
              </w:rPr>
              <w:t>Interest and fee income on Emerald Advance®</w:t>
            </w:r>
          </w:p>
        </w:tc>
        <w:tc>
          <w:tcPr>
            <w:tcW w:w="36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International</w:t>
            </w: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65,661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64,855</w:t>
            </w:r>
          </w:p>
        </w:tc>
      </w:tr>
      <w:tr>
        <w:trPr>
          <w:trHeight w:val="206"/>
        </w:trPr>
        <w:tc>
          <w:tcPr>
            <w:tcW w:w="7540" w:type="dxa"/>
            <w:vAlign w:val="bottom"/>
            <w:gridSpan w:val="2"/>
          </w:tcPr>
          <w:p>
            <w:pPr>
              <w:ind w:left="140"/>
              <w:spacing w:after="0"/>
              <w:rPr>
                <w:sz w:val="20"/>
                <w:szCs w:val="20"/>
                <w:color w:val="auto"/>
              </w:rPr>
            </w:pPr>
            <w:r>
              <w:rPr>
                <w:rFonts w:ascii="Arial" w:cs="Arial" w:eastAsia="Arial" w:hAnsi="Arial"/>
                <w:sz w:val="15"/>
                <w:szCs w:val="15"/>
                <w:color w:val="auto"/>
              </w:rPr>
              <w:t>Wave</w:t>
            </w:r>
          </w:p>
        </w:tc>
        <w:tc>
          <w:tcPr>
            <w:tcW w:w="360" w:type="dxa"/>
            <w:vAlign w:val="bottom"/>
          </w:tcPr>
          <w:p>
            <w:pPr>
              <w:spacing w:after="0"/>
              <w:rPr>
                <w:sz w:val="17"/>
                <w:szCs w:val="17"/>
                <w:color w:val="auto"/>
              </w:rPr>
            </w:pPr>
          </w:p>
        </w:tc>
        <w:tc>
          <w:tcPr>
            <w:tcW w:w="1440" w:type="dxa"/>
            <w:vAlign w:val="bottom"/>
          </w:tcPr>
          <w:p>
            <w:pPr>
              <w:jc w:val="right"/>
              <w:ind w:right="3"/>
              <w:spacing w:after="0"/>
              <w:rPr>
                <w:sz w:val="20"/>
                <w:szCs w:val="20"/>
                <w:color w:val="auto"/>
              </w:rPr>
            </w:pPr>
            <w:r>
              <w:rPr>
                <w:rFonts w:ascii="Arial" w:cs="Arial" w:eastAsia="Arial" w:hAnsi="Arial"/>
                <w:sz w:val="15"/>
                <w:szCs w:val="15"/>
                <w:b w:val="1"/>
                <w:bCs w:val="1"/>
                <w:color w:val="auto"/>
              </w:rPr>
              <w:t>29,850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26,403</w:t>
            </w:r>
          </w:p>
        </w:tc>
      </w:tr>
      <w:tr>
        <w:trPr>
          <w:trHeight w:val="206"/>
        </w:trPr>
        <w:tc>
          <w:tcPr>
            <w:tcW w:w="75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13,476</w:t>
            </w: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13,809</w:t>
            </w:r>
          </w:p>
        </w:tc>
      </w:tr>
      <w:tr>
        <w:trPr>
          <w:trHeight w:val="236"/>
        </w:trPr>
        <w:tc>
          <w:tcPr>
            <w:tcW w:w="7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203,551</w:t>
            </w: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193,810</w:t>
            </w:r>
          </w:p>
        </w:tc>
      </w:tr>
      <w:tr>
        <w:trPr>
          <w:trHeight w:val="20"/>
        </w:trPr>
        <w:tc>
          <w:tcPr>
            <w:tcW w:w="736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4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r>
    </w:tbl>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Changes in the balances of deferred revenue and wages for our Peace of Mind® Extended Service Plan (POM)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POM</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Deferred Revenue</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Deferred Wages</w:t>
            </w:r>
          </w:p>
        </w:tc>
      </w:tr>
      <w:tr>
        <w:trPr>
          <w:trHeight w:val="19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September 30,</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r>
      <w:tr>
        <w:trPr>
          <w:trHeight w:val="199"/>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Balance, beginning of the period</w:t>
            </w:r>
          </w:p>
        </w:tc>
        <w:tc>
          <w:tcPr>
            <w:tcW w:w="500" w:type="dxa"/>
            <w:vAlign w:val="bottom"/>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b w:val="1"/>
                <w:bCs w:val="1"/>
                <w:color w:val="auto"/>
              </w:rPr>
              <w:t>149,302</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156,610</w:t>
            </w:r>
          </w:p>
        </w:tc>
        <w:tc>
          <w:tcPr>
            <w:tcW w:w="8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19,884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20,212</w:t>
            </w:r>
          </w:p>
        </w:tc>
      </w:tr>
      <w:tr>
        <w:trPr>
          <w:trHeight w:val="20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Amounts deferred</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1,534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1,563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206"/>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Amounts recognized on previous deferrals</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(26,955)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(27,450)</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(3,629)</w:t>
            </w:r>
          </w:p>
        </w:tc>
      </w:tr>
      <w:tr>
        <w:trPr>
          <w:trHeight w:val="199"/>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end of the period</w:t>
            </w: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b w:val="1"/>
                <w:bCs w:val="1"/>
                <w:color w:val="auto"/>
                <w:w w:val="95"/>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123,881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130,723</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16,431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16,598</w:t>
            </w:r>
          </w:p>
        </w:tc>
      </w:tr>
      <w:tr>
        <w:trPr>
          <w:trHeight w:val="32"/>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7"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As of September 30, 2025, deferred revenue related to POM was $ 123.9 million. We expect that $83.7 million will be recognized over the next twelve months, while the remaining balance will be recognized over the following five years.</w:t>
      </w:r>
    </w:p>
    <w:p>
      <w:pPr>
        <w:spacing w:after="0" w:line="43"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As of September 30, 2025 and 2024, Tax Identity Shield® (TIS) deferred revenue was $18.7 million and $17.7 million, respectively. Deferred revenue related to TIS was $22.6 million and $21.4 million as of June 30, 2025 and 2024, respectively. All deferred revenue related to TIS will be recognized by April 2026.</w:t>
      </w:r>
    </w:p>
    <w:p>
      <w:pPr>
        <w:spacing w:after="0" w:line="54"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3: EARNINGS PER SHARE AND STOCKHOLDERS' EQUITY</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 Basic and diluted earnings (loss) per share is computed using the two-class method. The two-class method is an</w:t>
      </w:r>
      <w:r>
        <w:rPr>
          <w:rFonts w:ascii="Arial" w:cs="Arial" w:eastAsia="Arial" w:hAnsi="Arial"/>
          <w:sz w:val="17"/>
          <w:szCs w:val="17"/>
          <w:b w:val="1"/>
          <w:bCs w:val="1"/>
          <w:color w:val="auto"/>
        </w:rPr>
        <w:t xml:space="preserve"> </w:t>
      </w:r>
      <w:r>
        <w:rPr>
          <w:rFonts w:ascii="Arial" w:cs="Arial" w:eastAsia="Arial" w:hAnsi="Arial"/>
          <w:sz w:val="17"/>
          <w:szCs w:val="17"/>
          <w:color w:val="auto"/>
        </w:rPr>
        <w:t>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2.7 million shares for both the three months ended September 30, 2025 and 2024, as the effect would be antidilutive due to the net loss from continuing operations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735965</wp:posOffset>
            </wp:positionV>
            <wp:extent cx="212725" cy="122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hanging="228"/>
        <w:spacing w:after="0"/>
        <w:tabs>
          <w:tab w:leader="none" w:pos="360" w:val="left"/>
        </w:tabs>
        <w:numPr>
          <w:ilvl w:val="0"/>
          <w:numId w:val="6"/>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computations of basic and diluted earnings (loss) per share from continuing operations are as follows:</w:t>
      </w:r>
    </w:p>
    <w:p>
      <w:pPr>
        <w:spacing w:after="0" w:line="149" w:lineRule="exact"/>
        <w:rPr>
          <w:sz w:val="20"/>
          <w:szCs w:val="20"/>
          <w:color w:val="auto"/>
        </w:rPr>
      </w:pPr>
    </w:p>
    <w:p>
      <w:pPr>
        <w:ind w:left="9020"/>
        <w:spacing w:after="0"/>
        <w:rPr>
          <w:sz w:val="20"/>
          <w:szCs w:val="20"/>
          <w:color w:val="auto"/>
        </w:rPr>
      </w:pPr>
      <w:r>
        <w:rPr>
          <w:rFonts w:ascii="Arial" w:cs="Arial" w:eastAsia="Arial" w:hAnsi="Arial"/>
          <w:sz w:val="13"/>
          <w:szCs w:val="13"/>
          <w:color w:val="auto"/>
        </w:rPr>
        <w:t>(in 000s,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3360" w:type="dxa"/>
            <w:vAlign w:val="bottom"/>
            <w:tcBorders>
              <w:top w:val="single" w:sz="8" w:color="auto"/>
              <w:bottom w:val="single" w:sz="8" w:color="auto"/>
            </w:tcBorders>
            <w:gridSpan w:val="4"/>
          </w:tcPr>
          <w:p>
            <w:pPr>
              <w:jc w:val="right"/>
              <w:ind w:right="543"/>
              <w:spacing w:after="0"/>
              <w:rPr>
                <w:sz w:val="20"/>
                <w:szCs w:val="20"/>
                <w:color w:val="auto"/>
              </w:rPr>
            </w:pPr>
            <w:r>
              <w:rPr>
                <w:rFonts w:ascii="Arial" w:cs="Arial" w:eastAsia="Arial" w:hAnsi="Arial"/>
                <w:sz w:val="15"/>
                <w:szCs w:val="15"/>
                <w:color w:val="auto"/>
              </w:rPr>
              <w:t>Three months ended September 30,</w:t>
            </w:r>
          </w:p>
        </w:tc>
      </w:tr>
      <w:tr>
        <w:trPr>
          <w:trHeight w:val="200"/>
        </w:trPr>
        <w:tc>
          <w:tcPr>
            <w:tcW w:w="7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r>
      <w:tr>
        <w:trPr>
          <w:trHeight w:val="199"/>
        </w:trPr>
        <w:tc>
          <w:tcPr>
            <w:tcW w:w="7520" w:type="dxa"/>
            <w:vAlign w:val="bottom"/>
          </w:tcPr>
          <w:p>
            <w:pPr>
              <w:ind w:left="20"/>
              <w:spacing w:after="0"/>
              <w:rPr>
                <w:sz w:val="20"/>
                <w:szCs w:val="20"/>
                <w:color w:val="auto"/>
              </w:rPr>
            </w:pPr>
            <w:r>
              <w:rPr>
                <w:rFonts w:ascii="Arial" w:cs="Arial" w:eastAsia="Arial" w:hAnsi="Arial"/>
                <w:sz w:val="15"/>
                <w:szCs w:val="15"/>
                <w:color w:val="auto"/>
              </w:rPr>
              <w:t>Net loss from continuing operations attributable to shareholders</w:t>
            </w: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(165,368)</w:t>
            </w:r>
          </w:p>
        </w:tc>
        <w:tc>
          <w:tcPr>
            <w:tcW w:w="80" w:type="dxa"/>
            <w:vAlign w:val="bottom"/>
          </w:tcPr>
          <w:p>
            <w:pPr>
              <w:spacing w:after="0"/>
              <w:rPr>
                <w:sz w:val="17"/>
                <w:szCs w:val="17"/>
                <w:color w:val="auto"/>
              </w:rPr>
            </w:pPr>
          </w:p>
        </w:tc>
        <w:tc>
          <w:tcPr>
            <w:tcW w:w="62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(171,421)</w:t>
            </w:r>
          </w:p>
        </w:tc>
      </w:tr>
      <w:tr>
        <w:trPr>
          <w:trHeight w:val="206"/>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allocated to participating securities</w:t>
            </w:r>
          </w:p>
        </w:tc>
        <w:tc>
          <w:tcPr>
            <w:tcW w:w="3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(262)</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w:t>
            </w:r>
          </w:p>
        </w:tc>
      </w:tr>
      <w:tr>
        <w:trPr>
          <w:trHeight w:val="19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loss from continuing operations attributable to common shareholders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(165,630)</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(171,650)</w:t>
            </w:r>
          </w:p>
        </w:tc>
      </w:tr>
      <w:tr>
        <w:trPr>
          <w:trHeight w:val="225"/>
        </w:trPr>
        <w:tc>
          <w:tcPr>
            <w:tcW w:w="7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7520" w:type="dxa"/>
            <w:vAlign w:val="bottom"/>
          </w:tcPr>
          <w:p>
            <w:pPr>
              <w:ind w:left="20"/>
              <w:spacing w:after="0"/>
              <w:rPr>
                <w:sz w:val="20"/>
                <w:szCs w:val="20"/>
                <w:color w:val="auto"/>
              </w:rPr>
            </w:pPr>
            <w:r>
              <w:rPr>
                <w:rFonts w:ascii="Arial" w:cs="Arial" w:eastAsia="Arial" w:hAnsi="Arial"/>
                <w:sz w:val="15"/>
                <w:szCs w:val="15"/>
                <w:color w:val="auto"/>
              </w:rPr>
              <w:t>Basic weighted average common shares</w:t>
            </w:r>
          </w:p>
        </w:tc>
        <w:tc>
          <w:tcPr>
            <w:tcW w:w="36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131,387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139,154</w:t>
            </w:r>
          </w:p>
        </w:tc>
      </w:tr>
      <w:tr>
        <w:trPr>
          <w:trHeight w:val="206"/>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Potential dilutive shares</w:t>
            </w:r>
          </w:p>
        </w:tc>
        <w:tc>
          <w:tcPr>
            <w:tcW w:w="3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Dilutive weighted average common shares</w:t>
            </w:r>
          </w:p>
        </w:tc>
        <w:tc>
          <w:tcPr>
            <w:tcW w:w="3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131,387</w:t>
            </w: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139,154</w:t>
            </w:r>
          </w:p>
        </w:tc>
      </w:tr>
      <w:tr>
        <w:trPr>
          <w:trHeight w:val="225"/>
        </w:trPr>
        <w:tc>
          <w:tcPr>
            <w:tcW w:w="7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5"/>
        </w:trPr>
        <w:tc>
          <w:tcPr>
            <w:tcW w:w="7520" w:type="dxa"/>
            <w:vAlign w:val="bottom"/>
          </w:tcPr>
          <w:p>
            <w:pPr>
              <w:ind w:left="20"/>
              <w:spacing w:after="0"/>
              <w:rPr>
                <w:sz w:val="20"/>
                <w:szCs w:val="20"/>
                <w:color w:val="auto"/>
              </w:rPr>
            </w:pPr>
            <w:r>
              <w:rPr>
                <w:rFonts w:ascii="Arial" w:cs="Arial" w:eastAsia="Arial" w:hAnsi="Arial"/>
                <w:sz w:val="15"/>
                <w:szCs w:val="15"/>
                <w:color w:val="auto"/>
              </w:rPr>
              <w:t>Loss per share from continuing operations attributable to common shareholders:</w:t>
            </w: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238"/>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Diluted</w:t>
            </w:r>
          </w:p>
        </w:tc>
        <w:tc>
          <w:tcPr>
            <w:tcW w:w="36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(1.26)</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(1.23)</w:t>
            </w:r>
          </w:p>
        </w:tc>
      </w:tr>
      <w:tr>
        <w:trPr>
          <w:trHeight w:val="20"/>
        </w:trPr>
        <w:tc>
          <w:tcPr>
            <w:tcW w:w="7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decrease in the weighted average shares outstanding is due to share repurchases completed in the current and prior fiscal years.</w:t>
      </w:r>
    </w:p>
    <w:p>
      <w:pPr>
        <w:spacing w:after="0" w:line="112"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We granted 0.8 million and 1.0 million shares, including adjustments for performance achievement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equivalents, under our stock-based compensation plans during the three months ended September 30, 2025 and 2024, respectively. Stock-based compensation expense of our continuing operations totaled $6.2 million and $8.7 million for the three months ended September 30, 2025 and 2024, respectively. As of September 30, 2025, unrecognized compensation cost for nonvested shares and units totaled $68.5 million.</w:t>
      </w:r>
    </w:p>
    <w:p>
      <w:pPr>
        <w:spacing w:after="0" w:line="5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4: RECEIVABLES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Receivables, net of their related allowance,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 2025</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5"/>
                <w:szCs w:val="15"/>
                <w:color w:val="auto"/>
              </w:rPr>
              <w:t>June 30, 2025</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5"/>
                <w:szCs w:val="15"/>
                <w:color w:val="auto"/>
              </w:rPr>
              <w:t>Short-term</w:t>
            </w:r>
          </w:p>
        </w:tc>
        <w:tc>
          <w:tcPr>
            <w:tcW w:w="7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Arial" w:cs="Arial" w:eastAsia="Arial" w:hAnsi="Arial"/>
                <w:sz w:val="15"/>
                <w:szCs w:val="15"/>
                <w:color w:val="auto"/>
              </w:rPr>
              <w:t>Long-term</w:t>
            </w:r>
          </w:p>
        </w:tc>
        <w:tc>
          <w:tcPr>
            <w:tcW w:w="460" w:type="dxa"/>
            <w:vAlign w:val="bottom"/>
          </w:tcPr>
          <w:p>
            <w:pPr>
              <w:spacing w:after="0"/>
              <w:rPr>
                <w:sz w:val="17"/>
                <w:szCs w:val="17"/>
                <w:color w:val="auto"/>
              </w:rPr>
            </w:pPr>
          </w:p>
        </w:tc>
        <w:tc>
          <w:tcPr>
            <w:tcW w:w="1180" w:type="dxa"/>
            <w:vAlign w:val="bottom"/>
            <w:gridSpan w:val="2"/>
          </w:tcPr>
          <w:p>
            <w:pPr>
              <w:ind w:left="340"/>
              <w:spacing w:after="0"/>
              <w:rPr>
                <w:sz w:val="20"/>
                <w:szCs w:val="20"/>
                <w:color w:val="auto"/>
              </w:rPr>
            </w:pPr>
            <w:r>
              <w:rPr>
                <w:rFonts w:ascii="Arial" w:cs="Arial" w:eastAsia="Arial" w:hAnsi="Arial"/>
                <w:sz w:val="15"/>
                <w:szCs w:val="15"/>
                <w:color w:val="auto"/>
              </w:rPr>
              <w:t>Short-term</w:t>
            </w: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Long-term</w:t>
            </w:r>
          </w:p>
        </w:tc>
        <w:tc>
          <w:tcPr>
            <w:tcW w:w="0" w:type="dxa"/>
            <w:vAlign w:val="bottom"/>
          </w:tcPr>
          <w:p>
            <w:pPr>
              <w:spacing w:after="0"/>
              <w:rPr>
                <w:sz w:val="1"/>
                <w:szCs w:val="1"/>
                <w:color w:val="auto"/>
              </w:rPr>
            </w:pPr>
          </w:p>
        </w:tc>
      </w:tr>
      <w:tr>
        <w:trPr>
          <w:trHeight w:val="201"/>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Loans to franchisees</w:t>
            </w:r>
          </w:p>
        </w:tc>
        <w:tc>
          <w:tcPr>
            <w:tcW w:w="440" w:type="dxa"/>
            <w:vAlign w:val="bottom"/>
            <w:tcBorders>
              <w:top w:val="single" w:sz="8" w:color="auto"/>
            </w:tcBorders>
          </w:tcPr>
          <w:p>
            <w:pPr>
              <w:jc w:val="right"/>
              <w:ind w:right="26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10,833</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56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16,526</w:t>
            </w:r>
          </w:p>
        </w:tc>
        <w:tc>
          <w:tcPr>
            <w:tcW w:w="80" w:type="dxa"/>
            <w:vAlign w:val="bottom"/>
          </w:tcPr>
          <w:p>
            <w:pPr>
              <w:spacing w:after="0"/>
              <w:rPr>
                <w:sz w:val="17"/>
                <w:szCs w:val="17"/>
                <w:color w:val="auto"/>
              </w:rPr>
            </w:pPr>
          </w:p>
        </w:tc>
        <w:tc>
          <w:tcPr>
            <w:tcW w:w="46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7,386</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16,402</w:t>
            </w:r>
          </w:p>
        </w:tc>
        <w:tc>
          <w:tcPr>
            <w:tcW w:w="0" w:type="dxa"/>
            <w:vAlign w:val="bottom"/>
          </w:tcPr>
          <w:p>
            <w:pPr>
              <w:spacing w:after="0"/>
              <w:rPr>
                <w:sz w:val="1"/>
                <w:szCs w:val="1"/>
                <w:color w:val="auto"/>
              </w:rPr>
            </w:pPr>
          </w:p>
        </w:tc>
      </w:tr>
      <w:tr>
        <w:trPr>
          <w:trHeight w:val="155"/>
        </w:trPr>
        <w:tc>
          <w:tcPr>
            <w:tcW w:w="48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Receivables for U.S. assisted and DIY tax preparation and related</w:t>
            </w:r>
          </w:p>
        </w:tc>
        <w:tc>
          <w:tcPr>
            <w:tcW w:w="4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12,594</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6,392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15,896</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6,361</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fees</w:t>
            </w:r>
          </w:p>
        </w:tc>
        <w:tc>
          <w:tcPr>
            <w:tcW w:w="4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H&amp;R Block's Instant Refund® receivables</w:t>
            </w:r>
          </w:p>
        </w:tc>
        <w:tc>
          <w:tcPr>
            <w:tcW w:w="4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841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b w:val="1"/>
                <w:bCs w:val="1"/>
                <w:color w:val="auto"/>
              </w:rPr>
              <w:t>974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2,243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939</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Emerald Advance®</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13,100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24,169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13,899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22,816</w:t>
            </w:r>
          </w:p>
        </w:tc>
        <w:tc>
          <w:tcPr>
            <w:tcW w:w="0" w:type="dxa"/>
            <w:vAlign w:val="bottom"/>
          </w:tcPr>
          <w:p>
            <w:pPr>
              <w:spacing w:after="0"/>
              <w:rPr>
                <w:sz w:val="1"/>
                <w:szCs w:val="1"/>
                <w:color w:val="auto"/>
              </w:rPr>
            </w:pPr>
          </w:p>
        </w:tc>
      </w:tr>
      <w:tr>
        <w:trPr>
          <w:trHeight w:val="206"/>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Software receivables from retailers</w:t>
            </w:r>
          </w:p>
        </w:tc>
        <w:tc>
          <w:tcPr>
            <w:tcW w:w="4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338</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2,582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Royalties and other receivables from franchisees</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6,366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gridSpan w:val="2"/>
          </w:tcPr>
          <w:p>
            <w:pPr>
              <w:ind w:left="20"/>
              <w:spacing w:after="0"/>
              <w:rPr>
                <w:sz w:val="20"/>
                <w:szCs w:val="20"/>
                <w:color w:val="auto"/>
              </w:rPr>
            </w:pPr>
            <w:r>
              <w:rPr>
                <w:rFonts w:ascii="Arial" w:cs="Arial" w:eastAsia="Arial" w:hAnsi="Arial"/>
                <w:sz w:val="15"/>
                <w:szCs w:val="15"/>
                <w:color w:val="auto"/>
              </w:rPr>
              <w:t>Wave payment processing receivables</w:t>
            </w:r>
          </w:p>
        </w:tc>
        <w:tc>
          <w:tcPr>
            <w:tcW w:w="4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b w:val="1"/>
                <w:bCs w:val="1"/>
                <w:color w:val="auto"/>
              </w:rPr>
              <w:t>1,936</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1,533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18,137</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588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15,668</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236"/>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64,145</w:t>
            </w: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48,649</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63,621</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47,016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Balances presented above as short-term are included in receivables, while the long-term portions are included in other noncurrent assets in the consolidated balance sheets.</w:t>
      </w:r>
    </w:p>
    <w:p>
      <w:pPr>
        <w:spacing w:after="0" w:line="41" w:lineRule="exact"/>
        <w:rPr>
          <w:sz w:val="20"/>
          <w:szCs w:val="20"/>
          <w:color w:val="auto"/>
        </w:rPr>
      </w:pPr>
    </w:p>
    <w:p>
      <w:pPr>
        <w:jc w:val="both"/>
        <w:ind w:firstLine="193"/>
        <w:spacing w:after="0" w:line="272" w:lineRule="auto"/>
        <w:rPr>
          <w:sz w:val="20"/>
          <w:szCs w:val="20"/>
          <w:color w:val="auto"/>
        </w:rPr>
      </w:pPr>
      <w:r>
        <w:rPr>
          <w:rFonts w:ascii="Arial" w:cs="Arial" w:eastAsia="Arial" w:hAnsi="Arial"/>
          <w:sz w:val="17"/>
          <w:szCs w:val="17"/>
          <w:b w:val="1"/>
          <w:bCs w:val="1"/>
          <w:color w:val="auto"/>
        </w:rPr>
        <w:t xml:space="preserve">LOANS TO FRANCHISEES </w:t>
      </w:r>
      <w:r>
        <w:rPr>
          <w:rFonts w:ascii="Arial" w:cs="Arial" w:eastAsia="Arial" w:hAnsi="Arial"/>
          <w:sz w:val="17"/>
          <w:szCs w:val="17"/>
          <w:color w:val="auto"/>
        </w:rPr>
        <w:t>– Franchisee loan balances consist of term loans made primarily to finance the purchase of franchises and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lines of credit primarily for the purpose of funding working capital needs. Loans with a principal balance more than 90 days past due or on non-accrual status were $3.5 million and $3.1 million as of September 30, 2025 and June 30,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588645</wp:posOffset>
            </wp:positionV>
            <wp:extent cx="220980" cy="122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sz w:val="20"/>
          <w:szCs w:val="20"/>
          <w:color w:val="auto"/>
        </w:rPr>
        <w:tab/>
      </w:r>
      <w:r>
        <w:rPr>
          <w:rFonts w:ascii="Arial" w:cs="Arial" w:eastAsia="Arial" w:hAnsi="Arial"/>
          <w:sz w:val="10"/>
          <w:szCs w:val="10"/>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193"/>
        <w:spacing w:after="0" w:line="292" w:lineRule="auto"/>
        <w:rPr>
          <w:sz w:val="20"/>
          <w:szCs w:val="20"/>
          <w:color w:val="auto"/>
        </w:rPr>
      </w:pPr>
      <w:r>
        <w:rPr>
          <w:rFonts w:ascii="Arial" w:cs="Arial" w:eastAsia="Arial" w:hAnsi="Arial"/>
          <w:sz w:val="17"/>
          <w:szCs w:val="17"/>
          <w:b w:val="1"/>
          <w:bCs w:val="1"/>
          <w:color w:val="auto"/>
        </w:rPr>
        <w:t>H&amp;R BLOCK'S INSTANT REFUND</w:t>
      </w:r>
      <w:r>
        <w:rPr>
          <w:rFonts w:ascii="Arial" w:cs="Arial" w:eastAsia="Arial" w:hAnsi="Arial"/>
          <w:sz w:val="17"/>
          <w:szCs w:val="17"/>
          <w:color w:val="auto"/>
        </w:rPr>
        <w:t>® – H&amp;R Block's Instant Refund® amounts are generally received from the Canada Revenue Agency within</w:t>
      </w:r>
      <w:r>
        <w:rPr>
          <w:rFonts w:ascii="Arial" w:cs="Arial" w:eastAsia="Arial" w:hAnsi="Arial"/>
          <w:sz w:val="17"/>
          <w:szCs w:val="17"/>
          <w:b w:val="1"/>
          <w:bCs w:val="1"/>
          <w:color w:val="auto"/>
        </w:rPr>
        <w:t xml:space="preserve"> </w:t>
      </w:r>
      <w:r>
        <w:rPr>
          <w:rFonts w:ascii="Arial" w:cs="Arial" w:eastAsia="Arial" w:hAnsi="Arial"/>
          <w:sz w:val="17"/>
          <w:szCs w:val="17"/>
          <w:color w:val="auto"/>
        </w:rPr>
        <w:t>60 days of filing the client's return, with the remaining balance collectible from the client.</w:t>
      </w:r>
    </w:p>
    <w:p>
      <w:pPr>
        <w:spacing w:after="0" w:line="42"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We review the credit quality of our Instant Refund receivables based on pools, which are segregated by the tax return year of origination, with older years being deemed more unlikely to be repaid. We establish an allowance for credit losses at an amount that we believe reflects the receivable at net realizable value. In December of each year, we charge-off the receivables and the related allowance to an amount we believe represents the net realizable value.</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Balances and amounts on non-accrual status, classified as impaired, or more than 60 days past due, by tax return year of origination, 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2025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52"/>
        </w:trPr>
        <w:tc>
          <w:tcPr>
            <w:tcW w:w="7280" w:type="dxa"/>
            <w:vAlign w:val="bottom"/>
            <w:gridSpan w:val="2"/>
            <w:vMerge w:val="restart"/>
          </w:tcPr>
          <w:p>
            <w:pPr>
              <w:ind w:left="20"/>
              <w:spacing w:after="0"/>
              <w:rPr>
                <w:sz w:val="20"/>
                <w:szCs w:val="20"/>
                <w:color w:val="auto"/>
              </w:rPr>
            </w:pPr>
            <w:r>
              <w:rPr>
                <w:rFonts w:ascii="Arial" w:cs="Arial" w:eastAsia="Arial" w:hAnsi="Arial"/>
                <w:sz w:val="15"/>
                <w:szCs w:val="15"/>
                <w:color w:val="auto"/>
              </w:rPr>
              <w:t>Tax return year of origination</w:t>
            </w:r>
          </w:p>
        </w:tc>
        <w:tc>
          <w:tcPr>
            <w:tcW w:w="7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Balance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jc w:val="right"/>
              <w:spacing w:after="0" w:line="152" w:lineRule="exact"/>
              <w:rPr>
                <w:sz w:val="20"/>
                <w:szCs w:val="20"/>
                <w:color w:val="auto"/>
              </w:rPr>
            </w:pPr>
            <w:r>
              <w:rPr>
                <w:rFonts w:ascii="Arial" w:cs="Arial" w:eastAsia="Arial" w:hAnsi="Arial"/>
                <w:sz w:val="15"/>
                <w:szCs w:val="15"/>
                <w:color w:val="auto"/>
              </w:rPr>
              <w:t>More Than 60 Days Past</w:t>
            </w:r>
          </w:p>
        </w:tc>
        <w:tc>
          <w:tcPr>
            <w:tcW w:w="0" w:type="dxa"/>
            <w:vAlign w:val="bottom"/>
          </w:tcPr>
          <w:p>
            <w:pPr>
              <w:spacing w:after="0"/>
              <w:rPr>
                <w:sz w:val="1"/>
                <w:szCs w:val="1"/>
                <w:color w:val="auto"/>
              </w:rPr>
            </w:pPr>
          </w:p>
        </w:tc>
      </w:tr>
      <w:tr>
        <w:trPr>
          <w:trHeight w:val="205"/>
        </w:trPr>
        <w:tc>
          <w:tcPr>
            <w:tcW w:w="72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Due</w:t>
            </w:r>
          </w:p>
        </w:tc>
        <w:tc>
          <w:tcPr>
            <w:tcW w:w="0" w:type="dxa"/>
            <w:vAlign w:val="bottom"/>
          </w:tcPr>
          <w:p>
            <w:pPr>
              <w:spacing w:after="0"/>
              <w:rPr>
                <w:sz w:val="1"/>
                <w:szCs w:val="1"/>
                <w:color w:val="auto"/>
              </w:rPr>
            </w:pPr>
          </w:p>
        </w:tc>
      </w:tr>
      <w:tr>
        <w:trPr>
          <w:trHeight w:val="200"/>
        </w:trPr>
        <w:tc>
          <w:tcPr>
            <w:tcW w:w="72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2,237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2,085</w:t>
            </w:r>
          </w:p>
        </w:tc>
        <w:tc>
          <w:tcPr>
            <w:tcW w:w="0" w:type="dxa"/>
            <w:vAlign w:val="bottom"/>
          </w:tcPr>
          <w:p>
            <w:pPr>
              <w:spacing w:after="0"/>
              <w:rPr>
                <w:sz w:val="1"/>
                <w:szCs w:val="1"/>
                <w:color w:val="auto"/>
              </w:rPr>
            </w:pPr>
          </w:p>
        </w:tc>
      </w:tr>
      <w:tr>
        <w:trPr>
          <w:trHeight w:val="20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2023 and prior</w:t>
            </w:r>
          </w:p>
        </w:tc>
        <w:tc>
          <w:tcPr>
            <w:tcW w:w="7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657</w:t>
            </w:r>
          </w:p>
        </w:tc>
        <w:tc>
          <w:tcPr>
            <w:tcW w:w="0" w:type="dxa"/>
            <w:vAlign w:val="bottom"/>
          </w:tcPr>
          <w:p>
            <w:pPr>
              <w:spacing w:after="0"/>
              <w:rPr>
                <w:sz w:val="1"/>
                <w:szCs w:val="1"/>
                <w:color w:val="auto"/>
              </w:rPr>
            </w:pPr>
          </w:p>
        </w:tc>
      </w:tr>
      <w:tr>
        <w:trPr>
          <w:trHeight w:val="199"/>
        </w:trPr>
        <w:tc>
          <w:tcPr>
            <w:tcW w:w="7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2,894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2,742</w:t>
            </w:r>
          </w:p>
        </w:tc>
        <w:tc>
          <w:tcPr>
            <w:tcW w:w="0" w:type="dxa"/>
            <w:vAlign w:val="bottom"/>
          </w:tcPr>
          <w:p>
            <w:pPr>
              <w:spacing w:after="0"/>
              <w:rPr>
                <w:sz w:val="1"/>
                <w:szCs w:val="1"/>
                <w:color w:val="auto"/>
              </w:rPr>
            </w:pPr>
          </w:p>
        </w:tc>
      </w:tr>
      <w:tr>
        <w:trPr>
          <w:trHeight w:val="18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Allowance</w:t>
            </w:r>
          </w:p>
        </w:tc>
        <w:tc>
          <w:tcPr>
            <w:tcW w:w="7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balance</w:t>
            </w:r>
          </w:p>
        </w:tc>
        <w:tc>
          <w:tcPr>
            <w:tcW w:w="7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7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b w:val="1"/>
          <w:bCs w:val="1"/>
          <w:color w:val="auto"/>
        </w:rPr>
        <w:t>EMERALD ADVANCE</w:t>
      </w:r>
      <w:r>
        <w:rPr>
          <w:rFonts w:ascii="Arial" w:cs="Arial" w:eastAsia="Arial" w:hAnsi="Arial"/>
          <w:sz w:val="17"/>
          <w:szCs w:val="17"/>
          <w:color w:val="auto"/>
        </w:rPr>
        <w:t>® – We review the credit quality of our purchased participation interests in Emerald Advance® (EA) receivables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pools, which are segregated by the fiscal year of origination, with older years being deemed more unlikely to be repaid. We establish an allowance for credit losses at an amount that we believe reflects the receivable at net realizable value. Typically, in December of each year, we charge-off the receivables and the related allowance for EAs to an amount we believe represents the net realizable value.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Balances and amounts on non-accrual status, classified as impaired, or more than 60 days past due, by fiscal year of origination, as of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2025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w w:val="95"/>
              </w:rPr>
              <w:t>(in 000s)</w:t>
            </w:r>
          </w:p>
        </w:tc>
      </w:tr>
      <w:tr>
        <w:trPr>
          <w:trHeight w:val="202"/>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Fiscal year of origination</w:t>
            </w:r>
          </w:p>
        </w:tc>
        <w:tc>
          <w:tcPr>
            <w:tcW w:w="720" w:type="dxa"/>
            <w:vAlign w:val="bottom"/>
          </w:tcPr>
          <w:p>
            <w:pPr>
              <w:spacing w:after="0"/>
              <w:rPr>
                <w:sz w:val="17"/>
                <w:szCs w:val="17"/>
                <w:color w:val="auto"/>
              </w:rPr>
            </w:pPr>
          </w:p>
        </w:tc>
        <w:tc>
          <w:tcPr>
            <w:tcW w:w="1220" w:type="dxa"/>
            <w:vAlign w:val="bottom"/>
          </w:tcPr>
          <w:p>
            <w:pPr>
              <w:jc w:val="center"/>
              <w:ind w:left="543"/>
              <w:spacing w:after="0"/>
              <w:rPr>
                <w:sz w:val="20"/>
                <w:szCs w:val="20"/>
                <w:color w:val="auto"/>
              </w:rPr>
            </w:pPr>
            <w:r>
              <w:rPr>
                <w:rFonts w:ascii="Arial" w:cs="Arial" w:eastAsia="Arial" w:hAnsi="Arial"/>
                <w:sz w:val="15"/>
                <w:szCs w:val="15"/>
                <w:color w:val="auto"/>
              </w:rPr>
              <w:t>Balance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ind w:left="480"/>
              <w:spacing w:after="0"/>
              <w:rPr>
                <w:sz w:val="20"/>
                <w:szCs w:val="20"/>
                <w:color w:val="auto"/>
              </w:rPr>
            </w:pPr>
            <w:r>
              <w:rPr>
                <w:rFonts w:ascii="Arial" w:cs="Arial" w:eastAsia="Arial" w:hAnsi="Arial"/>
                <w:sz w:val="15"/>
                <w:szCs w:val="15"/>
                <w:color w:val="auto"/>
              </w:rPr>
              <w:t>Non-Accrual</w:t>
            </w:r>
          </w:p>
        </w:tc>
      </w:tr>
      <w:tr>
        <w:trPr>
          <w:trHeight w:val="200"/>
        </w:trPr>
        <w:tc>
          <w:tcPr>
            <w:tcW w:w="72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720" w:type="dxa"/>
            <w:vAlign w:val="bottom"/>
            <w:tcBorders>
              <w:top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w:t>
            </w:r>
          </w:p>
        </w:tc>
        <w:tc>
          <w:tcPr>
            <w:tcW w:w="1220" w:type="dxa"/>
            <w:vAlign w:val="bottom"/>
            <w:tcBorders>
              <w:top w:val="single" w:sz="8" w:color="auto"/>
            </w:tcBorders>
          </w:tcPr>
          <w:p>
            <w:pPr>
              <w:jc w:val="center"/>
              <w:ind w:left="543"/>
              <w:spacing w:after="0"/>
              <w:rPr>
                <w:sz w:val="20"/>
                <w:szCs w:val="20"/>
                <w:color w:val="auto"/>
              </w:rPr>
            </w:pPr>
            <w:r>
              <w:rPr>
                <w:rFonts w:ascii="Arial" w:cs="Arial" w:eastAsia="Arial" w:hAnsi="Arial"/>
                <w:sz w:val="15"/>
                <w:szCs w:val="15"/>
                <w:b w:val="1"/>
                <w:bCs w:val="1"/>
                <w:color w:val="auto"/>
              </w:rPr>
              <w:t>34,444</w:t>
            </w:r>
          </w:p>
        </w:tc>
        <w:tc>
          <w:tcPr>
            <w:tcW w:w="100" w:type="dxa"/>
            <w:vAlign w:val="bottom"/>
          </w:tcPr>
          <w:p>
            <w:pPr>
              <w:spacing w:after="0"/>
              <w:rPr>
                <w:sz w:val="17"/>
                <w:szCs w:val="17"/>
                <w:color w:val="auto"/>
              </w:rPr>
            </w:pPr>
          </w:p>
        </w:tc>
        <w:tc>
          <w:tcPr>
            <w:tcW w:w="580" w:type="dxa"/>
            <w:vAlign w:val="bottom"/>
            <w:tcBorders>
              <w:top w:val="single" w:sz="8" w:color="auto"/>
            </w:tcBorders>
          </w:tcPr>
          <w:p>
            <w:pPr>
              <w:jc w:val="right"/>
              <w:ind w:right="40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top w:val="single" w:sz="8" w:color="auto"/>
            </w:tcBorders>
          </w:tcPr>
          <w:p>
            <w:pPr>
              <w:ind w:left="800"/>
              <w:spacing w:after="0"/>
              <w:rPr>
                <w:sz w:val="20"/>
                <w:szCs w:val="20"/>
                <w:color w:val="auto"/>
              </w:rPr>
            </w:pPr>
            <w:r>
              <w:rPr>
                <w:rFonts w:ascii="Arial" w:cs="Arial" w:eastAsia="Arial" w:hAnsi="Arial"/>
                <w:sz w:val="15"/>
                <w:szCs w:val="15"/>
                <w:b w:val="1"/>
                <w:bCs w:val="1"/>
                <w:color w:val="auto"/>
              </w:rPr>
              <w:t>34,444</w:t>
            </w:r>
          </w:p>
        </w:tc>
      </w:tr>
      <w:tr>
        <w:trPr>
          <w:trHeight w:val="20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2024 and prior</w:t>
            </w:r>
          </w:p>
        </w:tc>
        <w:tc>
          <w:tcPr>
            <w:tcW w:w="7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ind w:left="543"/>
              <w:spacing w:after="0"/>
              <w:rPr>
                <w:sz w:val="20"/>
                <w:szCs w:val="20"/>
                <w:color w:val="auto"/>
              </w:rPr>
            </w:pPr>
            <w:r>
              <w:rPr>
                <w:rFonts w:ascii="Arial" w:cs="Arial" w:eastAsia="Arial" w:hAnsi="Arial"/>
                <w:sz w:val="15"/>
                <w:szCs w:val="15"/>
                <w:b w:val="1"/>
                <w:bCs w:val="1"/>
                <w:color w:val="auto"/>
              </w:rPr>
              <w:t>22,488</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5"/>
                <w:szCs w:val="15"/>
                <w:b w:val="1"/>
                <w:bCs w:val="1"/>
                <w:color w:val="auto"/>
              </w:rPr>
              <w:t>22,488</w:t>
            </w:r>
          </w:p>
        </w:tc>
      </w:tr>
      <w:tr>
        <w:trPr>
          <w:trHeight w:val="199"/>
        </w:trPr>
        <w:tc>
          <w:tcPr>
            <w:tcW w:w="7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center"/>
              <w:ind w:left="543"/>
              <w:spacing w:after="0"/>
              <w:rPr>
                <w:sz w:val="20"/>
                <w:szCs w:val="20"/>
                <w:color w:val="auto"/>
              </w:rPr>
            </w:pPr>
            <w:r>
              <w:rPr>
                <w:rFonts w:ascii="Arial" w:cs="Arial" w:eastAsia="Arial" w:hAnsi="Arial"/>
                <w:sz w:val="15"/>
                <w:szCs w:val="15"/>
                <w:b w:val="1"/>
                <w:bCs w:val="1"/>
                <w:color w:val="auto"/>
              </w:rPr>
              <w:t>56,932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w w:val="95"/>
              </w:rPr>
              <w:t>$</w:t>
            </w: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56,932</w:t>
            </w:r>
          </w:p>
        </w:tc>
      </w:tr>
      <w:tr>
        <w:trPr>
          <w:trHeight w:val="18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Allowance</w:t>
            </w:r>
          </w:p>
        </w:tc>
        <w:tc>
          <w:tcPr>
            <w:tcW w:w="7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left="523"/>
              <w:spacing w:after="0"/>
              <w:rPr>
                <w:sz w:val="20"/>
                <w:szCs w:val="20"/>
                <w:color w:val="auto"/>
              </w:rPr>
            </w:pPr>
            <w:r>
              <w:rPr>
                <w:rFonts w:ascii="Arial" w:cs="Arial" w:eastAsia="Arial" w:hAnsi="Arial"/>
                <w:sz w:val="15"/>
                <w:szCs w:val="15"/>
                <w:b w:val="1"/>
                <w:bCs w:val="1"/>
                <w:color w:val="auto"/>
              </w:rPr>
              <w:t>(19,663)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6"/>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balance</w:t>
            </w:r>
          </w:p>
        </w:tc>
        <w:tc>
          <w:tcPr>
            <w:tcW w:w="72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center"/>
              <w:ind w:left="543"/>
              <w:spacing w:after="0"/>
              <w:rPr>
                <w:sz w:val="20"/>
                <w:szCs w:val="20"/>
                <w:color w:val="auto"/>
              </w:rPr>
            </w:pPr>
            <w:r>
              <w:rPr>
                <w:rFonts w:ascii="Arial" w:cs="Arial" w:eastAsia="Arial" w:hAnsi="Arial"/>
                <w:sz w:val="15"/>
                <w:szCs w:val="15"/>
                <w:b w:val="1"/>
                <w:bCs w:val="1"/>
                <w:color w:val="auto"/>
              </w:rPr>
              <w:t>37,269</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r>
      <w:tr>
        <w:trPr>
          <w:trHeight w:val="20"/>
        </w:trPr>
        <w:tc>
          <w:tcPr>
            <w:tcW w:w="72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662940</wp:posOffset>
            </wp:positionV>
            <wp:extent cx="212725" cy="122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228"/>
        <w:spacing w:after="0"/>
        <w:tabs>
          <w:tab w:leader="none" w:pos="36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firstLine="193"/>
        <w:spacing w:after="0" w:line="292" w:lineRule="auto"/>
        <w:rPr>
          <w:sz w:val="20"/>
          <w:szCs w:val="20"/>
          <w:color w:val="auto"/>
        </w:rPr>
      </w:pPr>
      <w:r>
        <w:rPr>
          <w:rFonts w:ascii="Arial" w:cs="Arial" w:eastAsia="Arial" w:hAnsi="Arial"/>
          <w:sz w:val="17"/>
          <w:szCs w:val="17"/>
          <w:b w:val="1"/>
          <w:bCs w:val="1"/>
          <w:color w:val="auto"/>
        </w:rPr>
        <w:t xml:space="preserve">ALLOWANCE FOR CREDIT LOSSES </w:t>
      </w:r>
      <w:r>
        <w:rPr>
          <w:rFonts w:ascii="Arial" w:cs="Arial" w:eastAsia="Arial" w:hAnsi="Arial"/>
          <w:sz w:val="17"/>
          <w:szCs w:val="17"/>
          <w:color w:val="auto"/>
        </w:rPr>
        <w:t>– Activity in the allowance for credit losses for EA and all other short-term and long-term receivables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three months ended September 30, 2025 and 2024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5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EAs</w:t>
            </w: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All Other</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Total</w:t>
            </w:r>
          </w:p>
        </w:tc>
      </w:tr>
      <w:tr>
        <w:trPr>
          <w:trHeight w:val="200"/>
        </w:trPr>
        <w:tc>
          <w:tcPr>
            <w:tcW w:w="528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2025</w:t>
            </w:r>
          </w:p>
        </w:tc>
        <w:tc>
          <w:tcPr>
            <w:tcW w:w="740" w:type="dxa"/>
            <w:vAlign w:val="bottom"/>
          </w:tcPr>
          <w:p>
            <w:pPr>
              <w:jc w:val="right"/>
              <w:ind w:right="543"/>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19,663</w:t>
            </w:r>
          </w:p>
        </w:tc>
        <w:tc>
          <w:tcPr>
            <w:tcW w:w="100" w:type="dxa"/>
            <w:vAlign w:val="bottom"/>
          </w:tcPr>
          <w:p>
            <w:pPr>
              <w:spacing w:after="0"/>
              <w:rPr>
                <w:sz w:val="17"/>
                <w:szCs w:val="17"/>
                <w:color w:val="auto"/>
              </w:rPr>
            </w:pPr>
          </w:p>
        </w:tc>
        <w:tc>
          <w:tcPr>
            <w:tcW w:w="700" w:type="dxa"/>
            <w:vAlign w:val="bottom"/>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45,156</w:t>
            </w:r>
          </w:p>
        </w:tc>
        <w:tc>
          <w:tcPr>
            <w:tcW w:w="100" w:type="dxa"/>
            <w:vAlign w:val="bottom"/>
          </w:tcPr>
          <w:p>
            <w:pPr>
              <w:spacing w:after="0"/>
              <w:rPr>
                <w:sz w:val="17"/>
                <w:szCs w:val="17"/>
                <w:color w:val="auto"/>
              </w:rPr>
            </w:pPr>
          </w:p>
        </w:tc>
        <w:tc>
          <w:tcPr>
            <w:tcW w:w="740" w:type="dxa"/>
            <w:vAlign w:val="bottom"/>
          </w:tcPr>
          <w:p>
            <w:pPr>
              <w:jc w:val="right"/>
              <w:ind w:right="5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64,819</w:t>
            </w:r>
          </w:p>
        </w:tc>
      </w:tr>
      <w:tr>
        <w:trPr>
          <w:trHeight w:val="20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 for credit losses</w:t>
            </w:r>
          </w:p>
        </w:tc>
        <w:tc>
          <w:tcPr>
            <w:tcW w:w="7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975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975</w:t>
            </w:r>
          </w:p>
        </w:tc>
      </w:tr>
      <w:tr>
        <w:trPr>
          <w:trHeight w:val="206"/>
        </w:trPr>
        <w:tc>
          <w:tcPr>
            <w:tcW w:w="5280" w:type="dxa"/>
            <w:vAlign w:val="bottom"/>
            <w:gridSpan w:val="2"/>
          </w:tcPr>
          <w:p>
            <w:pPr>
              <w:ind w:left="20"/>
              <w:spacing w:after="0"/>
              <w:rPr>
                <w:sz w:val="20"/>
                <w:szCs w:val="20"/>
                <w:color w:val="auto"/>
              </w:rPr>
            </w:pPr>
            <w:r>
              <w:rPr>
                <w:rFonts w:ascii="Arial" w:cs="Arial" w:eastAsia="Arial" w:hAnsi="Arial"/>
                <w:sz w:val="15"/>
                <w:szCs w:val="15"/>
                <w:color w:val="auto"/>
              </w:rPr>
              <w:t>Charge-offs, recoveries and other</w:t>
            </w:r>
          </w:p>
        </w:tc>
        <w:tc>
          <w:tcPr>
            <w:tcW w:w="7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(1,365)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(1,365)</w:t>
            </w:r>
          </w:p>
        </w:tc>
      </w:tr>
      <w:tr>
        <w:trPr>
          <w:trHeight w:val="199"/>
        </w:trPr>
        <w:tc>
          <w:tcPr>
            <w:tcW w:w="5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September 30, 2025</w:t>
            </w:r>
          </w:p>
        </w:tc>
        <w:tc>
          <w:tcPr>
            <w:tcW w:w="740" w:type="dxa"/>
            <w:vAlign w:val="bottom"/>
            <w:tcBorders>
              <w:top w:val="single" w:sz="8" w:color="auto"/>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19,663</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44,766</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64,429</w:t>
            </w:r>
          </w:p>
        </w:tc>
      </w:tr>
      <w:tr>
        <w:trPr>
          <w:trHeight w:val="198"/>
        </w:trPr>
        <w:tc>
          <w:tcPr>
            <w:tcW w:w="528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2024</w:t>
            </w:r>
          </w:p>
        </w:tc>
        <w:tc>
          <w:tcPr>
            <w:tcW w:w="740" w:type="dxa"/>
            <w:vAlign w:val="bottom"/>
          </w:tcPr>
          <w:p>
            <w:pPr>
              <w:jc w:val="right"/>
              <w:ind w:right="543"/>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33,536</w:t>
            </w:r>
          </w:p>
        </w:tc>
        <w:tc>
          <w:tcPr>
            <w:tcW w:w="100" w:type="dxa"/>
            <w:vAlign w:val="bottom"/>
          </w:tcPr>
          <w:p>
            <w:pPr>
              <w:spacing w:after="0"/>
              <w:rPr>
                <w:sz w:val="17"/>
                <w:szCs w:val="17"/>
                <w:color w:val="auto"/>
              </w:rPr>
            </w:pPr>
          </w:p>
        </w:tc>
        <w:tc>
          <w:tcPr>
            <w:tcW w:w="700" w:type="dxa"/>
            <w:vAlign w:val="bottom"/>
          </w:tcPr>
          <w:p>
            <w:pPr>
              <w:jc w:val="right"/>
              <w:ind w:right="5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45,327</w:t>
            </w:r>
          </w:p>
        </w:tc>
        <w:tc>
          <w:tcPr>
            <w:tcW w:w="100" w:type="dxa"/>
            <w:vAlign w:val="bottom"/>
          </w:tcPr>
          <w:p>
            <w:pPr>
              <w:spacing w:after="0"/>
              <w:rPr>
                <w:sz w:val="17"/>
                <w:szCs w:val="17"/>
                <w:color w:val="auto"/>
              </w:rPr>
            </w:pPr>
          </w:p>
        </w:tc>
        <w:tc>
          <w:tcPr>
            <w:tcW w:w="740" w:type="dxa"/>
            <w:vAlign w:val="bottom"/>
          </w:tcPr>
          <w:p>
            <w:pPr>
              <w:jc w:val="right"/>
              <w:ind w:right="5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78,863</w:t>
            </w:r>
          </w:p>
        </w:tc>
      </w:tr>
      <w:tr>
        <w:trPr>
          <w:trHeight w:val="20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Provision for credit losses</w:t>
            </w:r>
          </w:p>
        </w:tc>
        <w:tc>
          <w:tcPr>
            <w:tcW w:w="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1,024</w:t>
            </w:r>
          </w:p>
        </w:tc>
      </w:tr>
      <w:tr>
        <w:trPr>
          <w:trHeight w:val="205"/>
        </w:trPr>
        <w:tc>
          <w:tcPr>
            <w:tcW w:w="5280" w:type="dxa"/>
            <w:vAlign w:val="bottom"/>
            <w:gridSpan w:val="2"/>
          </w:tcPr>
          <w:p>
            <w:pPr>
              <w:ind w:left="20"/>
              <w:spacing w:after="0"/>
              <w:rPr>
                <w:sz w:val="20"/>
                <w:szCs w:val="20"/>
                <w:color w:val="auto"/>
              </w:rPr>
            </w:pPr>
            <w:r>
              <w:rPr>
                <w:rFonts w:ascii="Arial" w:cs="Arial" w:eastAsia="Arial" w:hAnsi="Arial"/>
                <w:sz w:val="15"/>
                <w:szCs w:val="15"/>
                <w:color w:val="auto"/>
              </w:rPr>
              <w:t>Charge-offs, recoveries and other</w:t>
            </w:r>
          </w:p>
        </w:tc>
        <w:tc>
          <w:tcPr>
            <w:tcW w:w="7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(1,462)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(1,462)</w:t>
            </w:r>
          </w:p>
        </w:tc>
      </w:tr>
      <w:tr>
        <w:trPr>
          <w:trHeight w:val="200"/>
        </w:trPr>
        <w:tc>
          <w:tcPr>
            <w:tcW w:w="5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Balances as of September 30, 2024</w:t>
            </w:r>
          </w:p>
        </w:tc>
        <w:tc>
          <w:tcPr>
            <w:tcW w:w="740" w:type="dxa"/>
            <w:vAlign w:val="bottom"/>
            <w:tcBorders>
              <w:top w:val="single" w:sz="8" w:color="auto"/>
              <w:bottom w:val="single" w:sz="8" w:color="auto"/>
            </w:tcBorders>
            <w:shd w:val="clear" w:color="auto" w:fill="CCEEFF"/>
          </w:tcPr>
          <w:p>
            <w:pPr>
              <w:jc w:val="right"/>
              <w:ind w:right="543"/>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33,536</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44,889</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78,425</w:t>
            </w:r>
          </w:p>
        </w:tc>
      </w:tr>
      <w:tr>
        <w:trPr>
          <w:trHeight w:val="32"/>
        </w:trPr>
        <w:tc>
          <w:tcPr>
            <w:tcW w:w="5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5: 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for the three months ended September 30, 2025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Goodwill</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2"/>
          </w:tcPr>
          <w:p>
            <w:pPr>
              <w:jc w:val="right"/>
              <w:ind w:right="100"/>
              <w:spacing w:after="0" w:line="152" w:lineRule="exact"/>
              <w:rPr>
                <w:sz w:val="20"/>
                <w:szCs w:val="20"/>
                <w:color w:val="auto"/>
              </w:rPr>
            </w:pPr>
            <w:r>
              <w:rPr>
                <w:rFonts w:ascii="Arial" w:cs="Arial" w:eastAsia="Arial" w:hAnsi="Arial"/>
                <w:sz w:val="15"/>
                <w:szCs w:val="15"/>
                <w:color w:val="auto"/>
              </w:rPr>
              <w:t>Accumulated Impairment</w:t>
            </w:r>
          </w:p>
        </w:tc>
        <w:tc>
          <w:tcPr>
            <w:tcW w:w="7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Net</w:t>
            </w:r>
          </w:p>
        </w:tc>
        <w:tc>
          <w:tcPr>
            <w:tcW w:w="0" w:type="dxa"/>
            <w:vAlign w:val="bottom"/>
          </w:tcPr>
          <w:p>
            <w:pPr>
              <w:spacing w:after="0"/>
              <w:rPr>
                <w:sz w:val="1"/>
                <w:szCs w:val="1"/>
                <w:color w:val="auto"/>
              </w:rPr>
            </w:pPr>
          </w:p>
        </w:tc>
      </w:tr>
      <w:tr>
        <w:trPr>
          <w:trHeight w:val="205"/>
        </w:trPr>
        <w:tc>
          <w:tcPr>
            <w:tcW w:w="4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Losses</w:t>
            </w:r>
          </w:p>
        </w:tc>
        <w:tc>
          <w:tcPr>
            <w:tcW w:w="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Balances as of July 1, 2025</w:t>
            </w:r>
          </w:p>
        </w:tc>
        <w:tc>
          <w:tcPr>
            <w:tcW w:w="760" w:type="dxa"/>
            <w:vAlign w:val="bottom"/>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Pr>
          <w:p>
            <w:pPr>
              <w:jc w:val="right"/>
              <w:ind w:right="3"/>
              <w:spacing w:after="0"/>
              <w:rPr>
                <w:sz w:val="20"/>
                <w:szCs w:val="20"/>
                <w:color w:val="auto"/>
              </w:rPr>
            </w:pPr>
            <w:r>
              <w:rPr>
                <w:rFonts w:ascii="Arial" w:cs="Arial" w:eastAsia="Arial" w:hAnsi="Arial"/>
                <w:sz w:val="15"/>
                <w:szCs w:val="15"/>
                <w:b w:val="1"/>
                <w:bCs w:val="1"/>
                <w:color w:val="auto"/>
              </w:rPr>
              <w:t>940,350</w:t>
            </w:r>
          </w:p>
        </w:tc>
        <w:tc>
          <w:tcPr>
            <w:tcW w:w="8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860" w:type="dxa"/>
            <w:vAlign w:val="bottom"/>
          </w:tcPr>
          <w:p>
            <w:pPr>
              <w:jc w:val="right"/>
              <w:spacing w:after="0"/>
              <w:rPr>
                <w:sz w:val="20"/>
                <w:szCs w:val="20"/>
                <w:color w:val="auto"/>
              </w:rPr>
            </w:pPr>
            <w:r>
              <w:rPr>
                <w:rFonts w:ascii="Arial" w:cs="Arial" w:eastAsia="Arial" w:hAnsi="Arial"/>
                <w:sz w:val="15"/>
                <w:szCs w:val="15"/>
                <w:b w:val="1"/>
                <w:bCs w:val="1"/>
                <w:color w:val="auto"/>
              </w:rPr>
              <w:t>(138,297)</w:t>
            </w:r>
          </w:p>
        </w:tc>
        <w:tc>
          <w:tcPr>
            <w:tcW w:w="80" w:type="dxa"/>
            <w:vAlign w:val="bottom"/>
          </w:tcPr>
          <w:p>
            <w:pPr>
              <w:spacing w:after="0"/>
              <w:rPr>
                <w:sz w:val="17"/>
                <w:szCs w:val="17"/>
                <w:color w:val="auto"/>
              </w:rPr>
            </w:pPr>
          </w:p>
        </w:tc>
        <w:tc>
          <w:tcPr>
            <w:tcW w:w="780" w:type="dxa"/>
            <w:vAlign w:val="bottom"/>
          </w:tcPr>
          <w:p>
            <w:pPr>
              <w:jc w:val="right"/>
              <w:ind w:right="583"/>
              <w:spacing w:after="0"/>
              <w:rPr>
                <w:sz w:val="20"/>
                <w:szCs w:val="20"/>
                <w:color w:val="auto"/>
              </w:rPr>
            </w:pPr>
            <w:r>
              <w:rPr>
                <w:rFonts w:ascii="Arial" w:cs="Arial" w:eastAsia="Arial" w:hAnsi="Arial"/>
                <w:sz w:val="15"/>
                <w:szCs w:val="15"/>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802,053</w:t>
            </w:r>
          </w:p>
        </w:tc>
        <w:tc>
          <w:tcPr>
            <w:tcW w:w="0" w:type="dxa"/>
            <w:vAlign w:val="bottom"/>
          </w:tcPr>
          <w:p>
            <w:pPr>
              <w:spacing w:after="0"/>
              <w:rPr>
                <w:sz w:val="1"/>
                <w:szCs w:val="1"/>
                <w:color w:val="auto"/>
              </w:rPr>
            </w:pPr>
          </w:p>
        </w:tc>
      </w:tr>
      <w:tr>
        <w:trPr>
          <w:trHeight w:val="206"/>
        </w:trPr>
        <w:tc>
          <w:tcPr>
            <w:tcW w:w="486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5"/>
                <w:szCs w:val="15"/>
                <w:color w:val="auto"/>
              </w:rPr>
              <w:t>Acquisitions</w:t>
            </w:r>
            <w:r>
              <w:rPr>
                <w:rFonts w:ascii="Arial" w:cs="Arial" w:eastAsia="Arial" w:hAnsi="Arial"/>
                <w:sz w:val="20"/>
                <w:szCs w:val="20"/>
                <w:color w:val="auto"/>
                <w:vertAlign w:val="superscript"/>
              </w:rPr>
              <w:t>(1)</w:t>
            </w:r>
          </w:p>
        </w:tc>
        <w:tc>
          <w:tcPr>
            <w:tcW w:w="7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1,897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640"/>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1,897</w:t>
            </w:r>
          </w:p>
        </w:tc>
        <w:tc>
          <w:tcPr>
            <w:tcW w:w="0" w:type="dxa"/>
            <w:vAlign w:val="bottom"/>
          </w:tcPr>
          <w:p>
            <w:pPr>
              <w:spacing w:after="0"/>
              <w:rPr>
                <w:sz w:val="1"/>
                <w:szCs w:val="1"/>
                <w:color w:val="auto"/>
              </w:rPr>
            </w:pP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5"/>
                <w:szCs w:val="15"/>
                <w:color w:val="auto"/>
              </w:rPr>
              <w:t>Disposals and foreign currency changes, net</w:t>
            </w:r>
          </w:p>
        </w:tc>
        <w:tc>
          <w:tcPr>
            <w:tcW w:w="7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(6,211)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ind w:left="1640"/>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(6,211)</w:t>
            </w:r>
          </w:p>
        </w:tc>
        <w:tc>
          <w:tcPr>
            <w:tcW w:w="0" w:type="dxa"/>
            <w:vAlign w:val="bottom"/>
          </w:tcPr>
          <w:p>
            <w:pPr>
              <w:spacing w:after="0"/>
              <w:rPr>
                <w:sz w:val="1"/>
                <w:szCs w:val="1"/>
                <w:color w:val="auto"/>
              </w:rPr>
            </w:pPr>
          </w:p>
        </w:tc>
      </w:tr>
      <w:tr>
        <w:trPr>
          <w:trHeight w:val="20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Impairments</w:t>
            </w:r>
          </w:p>
        </w:tc>
        <w:tc>
          <w:tcPr>
            <w:tcW w:w="7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640"/>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Balances as of September 30, 2025</w:t>
            </w:r>
          </w:p>
        </w:tc>
        <w:tc>
          <w:tcPr>
            <w:tcW w:w="7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w w:val="95"/>
              </w:rPr>
              <w:t>$</w:t>
            </w:r>
          </w:p>
        </w:tc>
        <w:tc>
          <w:tcPr>
            <w:tcW w:w="13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936,036</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(138,297)</w:t>
            </w:r>
          </w:p>
        </w:tc>
        <w:tc>
          <w:tcPr>
            <w:tcW w:w="8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797,739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8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260" w:hanging="257"/>
        <w:spacing w:after="0"/>
        <w:tabs>
          <w:tab w:leader="none" w:pos="2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All goodwill added during the period is expected to be tax-deductible for federal income tax reporting.</w:t>
      </w:r>
    </w:p>
    <w:p>
      <w:pPr>
        <w:spacing w:after="0" w:line="68" w:lineRule="exact"/>
        <w:rPr>
          <w:sz w:val="20"/>
          <w:szCs w:val="20"/>
          <w:color w:val="auto"/>
        </w:rPr>
      </w:pPr>
    </w:p>
    <w:p>
      <w:pPr>
        <w:ind w:firstLine="193"/>
        <w:spacing w:after="0" w:line="290" w:lineRule="auto"/>
        <w:rPr>
          <w:sz w:val="20"/>
          <w:szCs w:val="20"/>
          <w:color w:val="auto"/>
        </w:rPr>
      </w:pPr>
      <w:r>
        <w:rPr>
          <w:rFonts w:ascii="Arial" w:cs="Arial" w:eastAsia="Arial" w:hAnsi="Arial"/>
          <w:sz w:val="17"/>
          <w:szCs w:val="17"/>
          <w:color w:val="auto"/>
        </w:rPr>
        <w:t>We test goodwill for impairment annually as of February 1, or more frequently if events occur or circumstances change which would, more likely than not, reduce the fair value of a reporting unit below its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586740</wp:posOffset>
            </wp:positionV>
            <wp:extent cx="220980" cy="122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38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sz w:val="20"/>
          <w:szCs w:val="20"/>
          <w:color w:val="auto"/>
        </w:rPr>
        <w:tab/>
      </w:r>
      <w:r>
        <w:rPr>
          <w:rFonts w:ascii="Arial" w:cs="Arial" w:eastAsia="Arial" w:hAnsi="Arial"/>
          <w:sz w:val="10"/>
          <w:szCs w:val="10"/>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Components of intangible assets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5"/>
                <w:szCs w:val="15"/>
                <w:color w:val="auto"/>
              </w:rPr>
              <w:t>Gross Carrying Amount</w:t>
            </w:r>
          </w:p>
        </w:tc>
        <w:tc>
          <w:tcPr>
            <w:tcW w:w="8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2"/>
          </w:tcPr>
          <w:p>
            <w:pPr>
              <w:jc w:val="right"/>
              <w:ind w:right="100"/>
              <w:spacing w:after="0" w:line="152" w:lineRule="exact"/>
              <w:rPr>
                <w:sz w:val="20"/>
                <w:szCs w:val="20"/>
                <w:color w:val="auto"/>
              </w:rPr>
            </w:pPr>
            <w:r>
              <w:rPr>
                <w:rFonts w:ascii="Arial" w:cs="Arial" w:eastAsia="Arial" w:hAnsi="Arial"/>
                <w:sz w:val="15"/>
                <w:szCs w:val="15"/>
                <w:color w:val="auto"/>
              </w:rPr>
              <w:t>Accumulated</w:t>
            </w:r>
          </w:p>
        </w:tc>
        <w:tc>
          <w:tcPr>
            <w:tcW w:w="6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Net</w:t>
            </w:r>
          </w:p>
        </w:tc>
        <w:tc>
          <w:tcPr>
            <w:tcW w:w="0" w:type="dxa"/>
            <w:vAlign w:val="bottom"/>
          </w:tcPr>
          <w:p>
            <w:pPr>
              <w:spacing w:after="0"/>
              <w:rPr>
                <w:sz w:val="1"/>
                <w:szCs w:val="1"/>
                <w:color w:val="auto"/>
              </w:rPr>
            </w:pPr>
          </w:p>
        </w:tc>
      </w:tr>
      <w:tr>
        <w:trPr>
          <w:trHeight w:val="205"/>
        </w:trPr>
        <w:tc>
          <w:tcPr>
            <w:tcW w:w="5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Amortization</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40" w:type="dxa"/>
            <w:vAlign w:val="bottom"/>
            <w:gridSpan w:val="2"/>
          </w:tcPr>
          <w:p>
            <w:pPr>
              <w:ind w:left="20"/>
              <w:spacing w:after="0"/>
              <w:rPr>
                <w:sz w:val="20"/>
                <w:szCs w:val="20"/>
                <w:color w:val="auto"/>
              </w:rPr>
            </w:pPr>
            <w:r>
              <w:rPr>
                <w:rFonts w:ascii="Arial" w:cs="Arial" w:eastAsia="Arial" w:hAnsi="Arial"/>
                <w:sz w:val="15"/>
                <w:szCs w:val="15"/>
                <w:color w:val="auto"/>
              </w:rPr>
              <w:t>As of September 30, 2025:</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Reacquired franchise rights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417,736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(246,916)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b w:val="1"/>
                <w:bCs w:val="1"/>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170,820</w:t>
            </w:r>
          </w:p>
        </w:tc>
        <w:tc>
          <w:tcPr>
            <w:tcW w:w="0" w:type="dxa"/>
            <w:vAlign w:val="bottom"/>
          </w:tcPr>
          <w:p>
            <w:pPr>
              <w:spacing w:after="0"/>
              <w:rPr>
                <w:sz w:val="1"/>
                <w:szCs w:val="1"/>
                <w:color w:val="auto"/>
              </w:rPr>
            </w:pPr>
          </w:p>
        </w:tc>
      </w:tr>
      <w:tr>
        <w:trPr>
          <w:trHeight w:val="206"/>
        </w:trPr>
        <w:tc>
          <w:tcPr>
            <w:tcW w:w="5840" w:type="dxa"/>
            <w:vAlign w:val="bottom"/>
            <w:gridSpan w:val="2"/>
          </w:tcPr>
          <w:p>
            <w:pPr>
              <w:ind w:left="140"/>
              <w:spacing w:after="0"/>
              <w:rPr>
                <w:sz w:val="20"/>
                <w:szCs w:val="20"/>
                <w:color w:val="auto"/>
              </w:rPr>
            </w:pPr>
            <w:r>
              <w:rPr>
                <w:rFonts w:ascii="Arial" w:cs="Arial" w:eastAsia="Arial" w:hAnsi="Arial"/>
                <w:sz w:val="15"/>
                <w:szCs w:val="15"/>
                <w:color w:val="auto"/>
              </w:rPr>
              <w:t>Customer relationships</w:t>
            </w:r>
          </w:p>
        </w:tc>
        <w:tc>
          <w:tcPr>
            <w:tcW w:w="1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b w:val="1"/>
                <w:bCs w:val="1"/>
                <w:color w:val="auto"/>
              </w:rPr>
              <w:t>356,998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(292,643)</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64,355</w:t>
            </w:r>
          </w:p>
        </w:tc>
        <w:tc>
          <w:tcPr>
            <w:tcW w:w="0" w:type="dxa"/>
            <w:vAlign w:val="bottom"/>
          </w:tcPr>
          <w:p>
            <w:pPr>
              <w:spacing w:after="0"/>
              <w:rPr>
                <w:sz w:val="1"/>
                <w:szCs w:val="1"/>
                <w:color w:val="auto"/>
              </w:rPr>
            </w:pPr>
          </w:p>
        </w:tc>
      </w:tr>
      <w:tr>
        <w:trPr>
          <w:trHeight w:val="206"/>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Internally-developed software</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120,434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(117,622)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2,812</w:t>
            </w:r>
          </w:p>
        </w:tc>
        <w:tc>
          <w:tcPr>
            <w:tcW w:w="0" w:type="dxa"/>
            <w:vAlign w:val="bottom"/>
          </w:tcPr>
          <w:p>
            <w:pPr>
              <w:spacing w:after="0"/>
              <w:rPr>
                <w:sz w:val="1"/>
                <w:szCs w:val="1"/>
                <w:color w:val="auto"/>
              </w:rPr>
            </w:pPr>
          </w:p>
        </w:tc>
      </w:tr>
      <w:tr>
        <w:trPr>
          <w:trHeight w:val="206"/>
        </w:trPr>
        <w:tc>
          <w:tcPr>
            <w:tcW w:w="5840" w:type="dxa"/>
            <w:vAlign w:val="bottom"/>
            <w:gridSpan w:val="2"/>
          </w:tcPr>
          <w:p>
            <w:pPr>
              <w:ind w:left="140"/>
              <w:spacing w:after="0"/>
              <w:rPr>
                <w:sz w:val="20"/>
                <w:szCs w:val="20"/>
                <w:color w:val="auto"/>
              </w:rPr>
            </w:pPr>
            <w:r>
              <w:rPr>
                <w:rFonts w:ascii="Arial" w:cs="Arial" w:eastAsia="Arial" w:hAnsi="Arial"/>
                <w:sz w:val="15"/>
                <w:szCs w:val="15"/>
                <w:color w:val="auto"/>
              </w:rPr>
              <w:t>Noncompete agreements</w:t>
            </w:r>
          </w:p>
        </w:tc>
        <w:tc>
          <w:tcPr>
            <w:tcW w:w="1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b w:val="1"/>
                <w:bCs w:val="1"/>
                <w:color w:val="auto"/>
              </w:rPr>
              <w:t>23,178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(20,405)</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2,773</w:t>
            </w:r>
          </w:p>
        </w:tc>
        <w:tc>
          <w:tcPr>
            <w:tcW w:w="0" w:type="dxa"/>
            <w:vAlign w:val="bottom"/>
          </w:tcPr>
          <w:p>
            <w:pPr>
              <w:spacing w:after="0"/>
              <w:rPr>
                <w:sz w:val="1"/>
                <w:szCs w:val="1"/>
                <w:color w:val="auto"/>
              </w:rPr>
            </w:pPr>
          </w:p>
        </w:tc>
      </w:tr>
      <w:tr>
        <w:trPr>
          <w:trHeight w:val="206"/>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Purchased technology</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68,100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(56,899)</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11,201</w:t>
            </w:r>
          </w:p>
        </w:tc>
        <w:tc>
          <w:tcPr>
            <w:tcW w:w="0" w:type="dxa"/>
            <w:vAlign w:val="bottom"/>
          </w:tcPr>
          <w:p>
            <w:pPr>
              <w:spacing w:after="0"/>
              <w:rPr>
                <w:sz w:val="1"/>
                <w:szCs w:val="1"/>
                <w:color w:val="auto"/>
              </w:rPr>
            </w:pPr>
          </w:p>
        </w:tc>
      </w:tr>
      <w:tr>
        <w:trPr>
          <w:trHeight w:val="206"/>
        </w:trPr>
        <w:tc>
          <w:tcPr>
            <w:tcW w:w="5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Trade name</w:t>
            </w: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5,800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(3,625)</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2,175</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992,246</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(738,110)</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254,136</w:t>
            </w:r>
          </w:p>
        </w:tc>
        <w:tc>
          <w:tcPr>
            <w:tcW w:w="0" w:type="dxa"/>
            <w:vAlign w:val="bottom"/>
          </w:tcPr>
          <w:p>
            <w:pPr>
              <w:spacing w:after="0"/>
              <w:rPr>
                <w:sz w:val="1"/>
                <w:szCs w:val="1"/>
                <w:color w:val="auto"/>
              </w:rPr>
            </w:pPr>
          </w:p>
        </w:tc>
      </w:tr>
      <w:tr>
        <w:trPr>
          <w:trHeight w:val="185"/>
        </w:trPr>
        <w:tc>
          <w:tcPr>
            <w:tcW w:w="5840" w:type="dxa"/>
            <w:vAlign w:val="bottom"/>
            <w:gridSpan w:val="2"/>
          </w:tcPr>
          <w:p>
            <w:pPr>
              <w:ind w:left="20"/>
              <w:spacing w:after="0"/>
              <w:rPr>
                <w:sz w:val="20"/>
                <w:szCs w:val="20"/>
                <w:color w:val="auto"/>
              </w:rPr>
            </w:pPr>
            <w:r>
              <w:rPr>
                <w:rFonts w:ascii="Arial" w:cs="Arial" w:eastAsia="Arial" w:hAnsi="Arial"/>
                <w:sz w:val="15"/>
                <w:szCs w:val="15"/>
                <w:color w:val="auto"/>
              </w:rPr>
              <w:t>As of June 30, 2025:</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Reacquired franchise rights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415,700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(243,330)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172,370</w:t>
            </w:r>
          </w:p>
        </w:tc>
        <w:tc>
          <w:tcPr>
            <w:tcW w:w="0" w:type="dxa"/>
            <w:vAlign w:val="bottom"/>
          </w:tcPr>
          <w:p>
            <w:pPr>
              <w:spacing w:after="0"/>
              <w:rPr>
                <w:sz w:val="1"/>
                <w:szCs w:val="1"/>
                <w:color w:val="auto"/>
              </w:rPr>
            </w:pPr>
          </w:p>
        </w:tc>
      </w:tr>
      <w:tr>
        <w:trPr>
          <w:trHeight w:val="205"/>
        </w:trPr>
        <w:tc>
          <w:tcPr>
            <w:tcW w:w="5840" w:type="dxa"/>
            <w:vAlign w:val="bottom"/>
            <w:gridSpan w:val="2"/>
          </w:tcPr>
          <w:p>
            <w:pPr>
              <w:ind w:left="140"/>
              <w:spacing w:after="0"/>
              <w:rPr>
                <w:sz w:val="20"/>
                <w:szCs w:val="20"/>
                <w:color w:val="auto"/>
              </w:rPr>
            </w:pPr>
            <w:r>
              <w:rPr>
                <w:rFonts w:ascii="Arial" w:cs="Arial" w:eastAsia="Arial" w:hAnsi="Arial"/>
                <w:sz w:val="15"/>
                <w:szCs w:val="15"/>
                <w:color w:val="auto"/>
              </w:rPr>
              <w:t>Customer relationships</w:t>
            </w:r>
          </w:p>
        </w:tc>
        <w:tc>
          <w:tcPr>
            <w:tcW w:w="1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354,107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(287,067)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67,040</w:t>
            </w:r>
          </w:p>
        </w:tc>
        <w:tc>
          <w:tcPr>
            <w:tcW w:w="0" w:type="dxa"/>
            <w:vAlign w:val="bottom"/>
          </w:tcPr>
          <w:p>
            <w:pPr>
              <w:spacing w:after="0"/>
              <w:rPr>
                <w:sz w:val="1"/>
                <w:szCs w:val="1"/>
                <w:color w:val="auto"/>
              </w:rPr>
            </w:pPr>
          </w:p>
        </w:tc>
      </w:tr>
      <w:tr>
        <w:trPr>
          <w:trHeight w:val="207"/>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Internally-developed software</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119,959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(117,604)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2,355</w:t>
            </w:r>
          </w:p>
        </w:tc>
        <w:tc>
          <w:tcPr>
            <w:tcW w:w="0" w:type="dxa"/>
            <w:vAlign w:val="bottom"/>
          </w:tcPr>
          <w:p>
            <w:pPr>
              <w:spacing w:after="0"/>
              <w:rPr>
                <w:sz w:val="1"/>
                <w:szCs w:val="1"/>
                <w:color w:val="auto"/>
              </w:rPr>
            </w:pPr>
          </w:p>
        </w:tc>
      </w:tr>
      <w:tr>
        <w:trPr>
          <w:trHeight w:val="205"/>
        </w:trPr>
        <w:tc>
          <w:tcPr>
            <w:tcW w:w="5840" w:type="dxa"/>
            <w:vAlign w:val="bottom"/>
            <w:gridSpan w:val="2"/>
          </w:tcPr>
          <w:p>
            <w:pPr>
              <w:ind w:left="140"/>
              <w:spacing w:after="0"/>
              <w:rPr>
                <w:sz w:val="20"/>
                <w:szCs w:val="20"/>
                <w:color w:val="auto"/>
              </w:rPr>
            </w:pPr>
            <w:r>
              <w:rPr>
                <w:rFonts w:ascii="Arial" w:cs="Arial" w:eastAsia="Arial" w:hAnsi="Arial"/>
                <w:sz w:val="15"/>
                <w:szCs w:val="15"/>
                <w:color w:val="auto"/>
              </w:rPr>
              <w:t>Noncompete agreements</w:t>
            </w:r>
          </w:p>
        </w:tc>
        <w:tc>
          <w:tcPr>
            <w:tcW w:w="100" w:type="dxa"/>
            <w:vAlign w:val="bottom"/>
          </w:tcPr>
          <w:p>
            <w:pPr>
              <w:spacing w:after="0"/>
              <w:rPr>
                <w:sz w:val="17"/>
                <w:szCs w:val="17"/>
                <w:color w:val="auto"/>
              </w:rPr>
            </w:pPr>
          </w:p>
        </w:tc>
        <w:tc>
          <w:tcPr>
            <w:tcW w:w="1640" w:type="dxa"/>
            <w:vAlign w:val="bottom"/>
          </w:tcPr>
          <w:p>
            <w:pPr>
              <w:jc w:val="right"/>
              <w:ind w:right="3"/>
              <w:spacing w:after="0"/>
              <w:rPr>
                <w:sz w:val="20"/>
                <w:szCs w:val="20"/>
                <w:color w:val="auto"/>
              </w:rPr>
            </w:pPr>
            <w:r>
              <w:rPr>
                <w:rFonts w:ascii="Arial" w:cs="Arial" w:eastAsia="Arial" w:hAnsi="Arial"/>
                <w:sz w:val="15"/>
                <w:szCs w:val="15"/>
                <w:color w:val="auto"/>
              </w:rPr>
              <w:t>23,070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(20,188)</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2,882</w:t>
            </w:r>
          </w:p>
        </w:tc>
        <w:tc>
          <w:tcPr>
            <w:tcW w:w="0" w:type="dxa"/>
            <w:vAlign w:val="bottom"/>
          </w:tcPr>
          <w:p>
            <w:pPr>
              <w:spacing w:after="0"/>
              <w:rPr>
                <w:sz w:val="1"/>
                <w:szCs w:val="1"/>
                <w:color w:val="auto"/>
              </w:rPr>
            </w:pPr>
          </w:p>
        </w:tc>
      </w:tr>
      <w:tr>
        <w:trPr>
          <w:trHeight w:val="207"/>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Purchased technology</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68,100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(55,655)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12,445</w:t>
            </w:r>
          </w:p>
        </w:tc>
        <w:tc>
          <w:tcPr>
            <w:tcW w:w="0" w:type="dxa"/>
            <w:vAlign w:val="bottom"/>
          </w:tcPr>
          <w:p>
            <w:pPr>
              <w:spacing w:after="0"/>
              <w:rPr>
                <w:sz w:val="1"/>
                <w:szCs w:val="1"/>
                <w:color w:val="auto"/>
              </w:rPr>
            </w:pPr>
          </w:p>
        </w:tc>
      </w:tr>
      <w:tr>
        <w:trPr>
          <w:trHeight w:val="205"/>
        </w:trPr>
        <w:tc>
          <w:tcPr>
            <w:tcW w:w="5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Trade name</w:t>
            </w: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(3,480)</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2,320</w:t>
            </w:r>
          </w:p>
        </w:tc>
        <w:tc>
          <w:tcPr>
            <w:tcW w:w="0" w:type="dxa"/>
            <w:vAlign w:val="bottom"/>
          </w:tcPr>
          <w:p>
            <w:pPr>
              <w:spacing w:after="0"/>
              <w:rPr>
                <w:sz w:val="1"/>
                <w:szCs w:val="1"/>
                <w:color w:val="auto"/>
              </w:rPr>
            </w:pPr>
          </w:p>
        </w:tc>
      </w:tr>
      <w:tr>
        <w:trPr>
          <w:trHeight w:val="200"/>
        </w:trPr>
        <w:tc>
          <w:tcPr>
            <w:tcW w:w="5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986,736</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(727,324)</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259,412</w:t>
            </w:r>
          </w:p>
        </w:tc>
        <w:tc>
          <w:tcPr>
            <w:tcW w:w="0" w:type="dxa"/>
            <w:vAlign w:val="bottom"/>
          </w:tcPr>
          <w:p>
            <w:pPr>
              <w:spacing w:after="0"/>
              <w:rPr>
                <w:sz w:val="1"/>
                <w:szCs w:val="1"/>
                <w:color w:val="auto"/>
              </w:rPr>
            </w:pPr>
          </w:p>
        </w:tc>
      </w:tr>
      <w:tr>
        <w:trPr>
          <w:trHeight w:val="32"/>
        </w:trPr>
        <w:tc>
          <w:tcPr>
            <w:tcW w:w="5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We made payments to acquire businesses totaling $5.1 million and $5.9 million during the three months ended September 30, 2025 and 2024, respectively. The amounts and weighted-average lives of intangible assets acquired during the three months ended September 30, 2025, including amounts capitalized related to internally-developed software,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02"/>
        </w:trPr>
        <w:tc>
          <w:tcPr>
            <w:tcW w:w="5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Amount</w:t>
            </w:r>
          </w:p>
        </w:tc>
        <w:tc>
          <w:tcPr>
            <w:tcW w:w="80" w:type="dxa"/>
            <w:vAlign w:val="bottom"/>
          </w:tcPr>
          <w:p>
            <w:pPr>
              <w:spacing w:after="0"/>
              <w:rPr>
                <w:sz w:val="17"/>
                <w:szCs w:val="17"/>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Weighted-Average Life (in years)</w:t>
            </w:r>
          </w:p>
        </w:tc>
      </w:tr>
      <w:tr>
        <w:trPr>
          <w:trHeight w:val="200"/>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Customer relationships</w:t>
            </w:r>
          </w:p>
        </w:tc>
        <w:tc>
          <w:tcPr>
            <w:tcW w:w="1020" w:type="dxa"/>
            <w:vAlign w:val="bottom"/>
          </w:tcPr>
          <w:p>
            <w:pPr>
              <w:jc w:val="right"/>
              <w:ind w:right="823"/>
              <w:spacing w:after="0"/>
              <w:rPr>
                <w:sz w:val="20"/>
                <w:szCs w:val="20"/>
                <w:color w:val="auto"/>
              </w:rPr>
            </w:pPr>
            <w:r>
              <w:rPr>
                <w:rFonts w:ascii="Arial" w:cs="Arial" w:eastAsia="Arial" w:hAnsi="Arial"/>
                <w:sz w:val="15"/>
                <w:szCs w:val="15"/>
                <w:b w:val="1"/>
                <w:bCs w:val="1"/>
                <w:color w:val="auto"/>
              </w:rPr>
              <w:t>$</w:t>
            </w: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3,043</w:t>
            </w:r>
          </w:p>
        </w:tc>
        <w:tc>
          <w:tcPr>
            <w:tcW w:w="80" w:type="dxa"/>
            <w:vAlign w:val="bottom"/>
          </w:tcPr>
          <w:p>
            <w:pPr>
              <w:spacing w:after="0"/>
              <w:rPr>
                <w:sz w:val="17"/>
                <w:szCs w:val="17"/>
                <w:color w:val="auto"/>
              </w:rPr>
            </w:pPr>
          </w:p>
        </w:tc>
        <w:tc>
          <w:tcPr>
            <w:tcW w:w="3000" w:type="dxa"/>
            <w:vAlign w:val="bottom"/>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0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Reacquired franchise rights</w:t>
            </w:r>
          </w:p>
        </w:tc>
        <w:tc>
          <w:tcPr>
            <w:tcW w:w="10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2,117</w:t>
            </w:r>
          </w:p>
        </w:tc>
        <w:tc>
          <w:tcPr>
            <w:tcW w:w="3080" w:type="dxa"/>
            <w:vAlign w:val="bottom"/>
            <w:gridSpan w:val="2"/>
            <w:shd w:val="clear" w:color="auto" w:fill="CCEEFF"/>
          </w:tcPr>
          <w:p>
            <w:pPr>
              <w:jc w:val="right"/>
              <w:ind w:right="1386"/>
              <w:spacing w:after="0"/>
              <w:rPr>
                <w:sz w:val="20"/>
                <w:szCs w:val="20"/>
                <w:color w:val="auto"/>
              </w:rPr>
            </w:pPr>
            <w:r>
              <w:rPr>
                <w:rFonts w:ascii="Arial" w:cs="Arial" w:eastAsia="Arial" w:hAnsi="Arial"/>
                <w:sz w:val="15"/>
                <w:szCs w:val="15"/>
                <w:b w:val="1"/>
                <w:bCs w:val="1"/>
                <w:color w:val="auto"/>
              </w:rPr>
              <w:t>7</w:t>
            </w:r>
          </w:p>
        </w:tc>
      </w:tr>
      <w:tr>
        <w:trPr>
          <w:trHeight w:val="206"/>
        </w:trPr>
        <w:tc>
          <w:tcPr>
            <w:tcW w:w="5680" w:type="dxa"/>
            <w:vAlign w:val="bottom"/>
            <w:gridSpan w:val="2"/>
          </w:tcPr>
          <w:p>
            <w:pPr>
              <w:ind w:left="20"/>
              <w:spacing w:after="0"/>
              <w:rPr>
                <w:sz w:val="20"/>
                <w:szCs w:val="20"/>
                <w:color w:val="auto"/>
              </w:rPr>
            </w:pPr>
            <w:r>
              <w:rPr>
                <w:rFonts w:ascii="Arial" w:cs="Arial" w:eastAsia="Arial" w:hAnsi="Arial"/>
                <w:sz w:val="15"/>
                <w:szCs w:val="15"/>
                <w:color w:val="auto"/>
              </w:rPr>
              <w:t>Internally-developed software</w:t>
            </w:r>
          </w:p>
        </w:tc>
        <w:tc>
          <w:tcPr>
            <w:tcW w:w="10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556</w:t>
            </w:r>
          </w:p>
        </w:tc>
        <w:tc>
          <w:tcPr>
            <w:tcW w:w="3080" w:type="dxa"/>
            <w:vAlign w:val="bottom"/>
            <w:gridSpan w:val="2"/>
          </w:tcPr>
          <w:p>
            <w:pPr>
              <w:jc w:val="right"/>
              <w:ind w:right="1386"/>
              <w:spacing w:after="0"/>
              <w:rPr>
                <w:sz w:val="20"/>
                <w:szCs w:val="20"/>
                <w:color w:val="auto"/>
              </w:rPr>
            </w:pPr>
            <w:r>
              <w:rPr>
                <w:rFonts w:ascii="Arial" w:cs="Arial" w:eastAsia="Arial" w:hAnsi="Arial"/>
                <w:sz w:val="15"/>
                <w:szCs w:val="15"/>
                <w:b w:val="1"/>
                <w:bCs w:val="1"/>
                <w:color w:val="auto"/>
              </w:rPr>
              <w:t>3</w:t>
            </w:r>
          </w:p>
        </w:tc>
      </w:tr>
      <w:tr>
        <w:trPr>
          <w:trHeight w:val="20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Noncompete agreements</w:t>
            </w:r>
          </w:p>
        </w:tc>
        <w:tc>
          <w:tcPr>
            <w:tcW w:w="10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127</w:t>
            </w:r>
          </w:p>
        </w:tc>
        <w:tc>
          <w:tcPr>
            <w:tcW w:w="3080" w:type="dxa"/>
            <w:vAlign w:val="bottom"/>
            <w:gridSpan w:val="2"/>
            <w:shd w:val="clear" w:color="auto" w:fill="CCEEFF"/>
          </w:tcPr>
          <w:p>
            <w:pPr>
              <w:jc w:val="right"/>
              <w:ind w:right="1386"/>
              <w:spacing w:after="0"/>
              <w:rPr>
                <w:sz w:val="20"/>
                <w:szCs w:val="20"/>
                <w:color w:val="auto"/>
              </w:rPr>
            </w:pPr>
            <w:r>
              <w:rPr>
                <w:rFonts w:ascii="Arial" w:cs="Arial" w:eastAsia="Arial" w:hAnsi="Arial"/>
                <w:sz w:val="15"/>
                <w:szCs w:val="15"/>
                <w:b w:val="1"/>
                <w:bCs w:val="1"/>
                <w:color w:val="auto"/>
              </w:rPr>
              <w:t>5</w:t>
            </w:r>
          </w:p>
        </w:tc>
      </w:tr>
      <w:tr>
        <w:trPr>
          <w:trHeight w:val="236"/>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w:t>
            </w: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b w:val="1"/>
                <w:bCs w:val="1"/>
                <w:color w:val="auto"/>
              </w:rPr>
              <w:t>$</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5,843</w:t>
            </w:r>
          </w:p>
        </w:tc>
        <w:tc>
          <w:tcPr>
            <w:tcW w:w="3080" w:type="dxa"/>
            <w:vAlign w:val="bottom"/>
            <w:tcBorders>
              <w:bottom w:val="single" w:sz="8" w:color="CCEEFF"/>
            </w:tcBorders>
            <w:gridSpan w:val="2"/>
          </w:tcPr>
          <w:p>
            <w:pPr>
              <w:jc w:val="right"/>
              <w:ind w:right="1386"/>
              <w:spacing w:after="0"/>
              <w:rPr>
                <w:sz w:val="20"/>
                <w:szCs w:val="20"/>
                <w:color w:val="auto"/>
              </w:rPr>
            </w:pPr>
            <w:r>
              <w:rPr>
                <w:rFonts w:ascii="Arial" w:cs="Arial" w:eastAsia="Arial" w:hAnsi="Arial"/>
                <w:sz w:val="15"/>
                <w:szCs w:val="15"/>
                <w:b w:val="1"/>
                <w:bCs w:val="1"/>
                <w:color w:val="auto"/>
              </w:rPr>
              <w:t>6</w:t>
            </w:r>
          </w:p>
        </w:tc>
      </w:tr>
      <w:tr>
        <w:trPr>
          <w:trHeight w:val="20"/>
        </w:trPr>
        <w:tc>
          <w:tcPr>
            <w:tcW w:w="56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3000" w:type="dxa"/>
            <w:vAlign w:val="bottom"/>
            <w:tcBorders>
              <w:top w:val="single" w:sz="8" w:color="CCEEFF"/>
            </w:tcBorders>
            <w:shd w:val="clear" w:color="auto" w:fill="000000"/>
          </w:tcPr>
          <w:p>
            <w:pPr>
              <w:spacing w:after="0" w:line="20" w:lineRule="exact"/>
              <w:rPr>
                <w:sz w:val="1"/>
                <w:szCs w:val="1"/>
                <w:color w:val="auto"/>
              </w:rPr>
            </w:pPr>
          </w:p>
        </w:tc>
      </w:tr>
    </w:tbl>
    <w:p>
      <w:pPr>
        <w:spacing w:after="0" w:line="177"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Amortization of intangible assets for the three months ended September 30, 2025 was $11.1 million compared to $12.9 million for the three months ended September 30, 2024. Estimated amortization of intangible assets for fiscal years ending June 30, 2026, 2027, 2028, 2029, and 2030 is $42.6 million, $36.1 million, $27.8 million, $19.1 million and $9.4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588645</wp:posOffset>
            </wp:positionV>
            <wp:extent cx="212725" cy="122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hanging="266"/>
        <w:spacing w:after="0"/>
        <w:tabs>
          <w:tab w:leader="none" w:pos="36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6: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long-term debt are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2025</w:t>
            </w:r>
          </w:p>
        </w:tc>
      </w:tr>
      <w:tr>
        <w:trPr>
          <w:trHeight w:val="199"/>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Senior Notes, 5.250%, due October 2025</w:t>
            </w:r>
          </w:p>
        </w:tc>
        <w:tc>
          <w:tcPr>
            <w:tcW w:w="300" w:type="dxa"/>
            <w:vAlign w:val="bottom"/>
          </w:tcPr>
          <w:p>
            <w:pPr>
              <w:jc w:val="right"/>
              <w:ind w:right="103"/>
              <w:spacing w:after="0"/>
              <w:rPr>
                <w:sz w:val="20"/>
                <w:szCs w:val="20"/>
                <w:color w:val="auto"/>
              </w:rPr>
            </w:pPr>
            <w:r>
              <w:rPr>
                <w:rFonts w:ascii="Arial" w:cs="Arial" w:eastAsia="Arial" w:hAnsi="Arial"/>
                <w:sz w:val="15"/>
                <w:szCs w:val="15"/>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350,000</w:t>
            </w: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Notes, 2.500%, due July 2028</w:t>
            </w: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500,000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500,000</w:t>
            </w:r>
          </w:p>
        </w:tc>
      </w:tr>
      <w:tr>
        <w:trPr>
          <w:trHeight w:val="206"/>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Senior Notes, 3.875%, due August 2030</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650,000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650,000</w:t>
            </w: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Senior Notes, 5.375%, due September 2032</w:t>
            </w: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350,000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6"/>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Committed line of credit borrowings</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245,000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Debt issuance costs and discounts</w:t>
            </w:r>
          </w:p>
        </w:tc>
        <w:tc>
          <w:tcPr>
            <w:tcW w:w="3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(10,038)</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(6,802)</w:t>
            </w:r>
          </w:p>
        </w:tc>
      </w:tr>
      <w:tr>
        <w:trPr>
          <w:trHeight w:val="199"/>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Total long-term debt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1,734,962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1,493,198</w:t>
            </w: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Current portion</w:t>
            </w:r>
          </w:p>
        </w:tc>
        <w:tc>
          <w:tcPr>
            <w:tcW w:w="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(349,893)</w:t>
            </w:r>
          </w:p>
        </w:tc>
      </w:tr>
      <w:tr>
        <w:trPr>
          <w:trHeight w:val="199"/>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Long-term portion</w:t>
            </w:r>
          </w:p>
        </w:tc>
        <w:tc>
          <w:tcPr>
            <w:tcW w:w="30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1,734,962</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1,143,305</w:t>
            </w:r>
          </w:p>
        </w:tc>
      </w:tr>
      <w:tr>
        <w:trPr>
          <w:trHeight w:val="19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Estimated fair value of long-term debt</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1,698,000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1,437,000</w:t>
            </w:r>
          </w:p>
        </w:tc>
      </w:tr>
      <w:tr>
        <w:trPr>
          <w:trHeight w:val="52"/>
        </w:trPr>
        <w:tc>
          <w:tcPr>
            <w:tcW w:w="7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bl>
    <w:p>
      <w:pPr>
        <w:spacing w:after="0" w:line="17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On August 26, 2025, we issued $350.0 million of 5.375% Senior Notes due September 15, 2032 (2032 Senior Notes). The 2032 Senior Notes are not redeemable by the bondholders prior to maturity, although we have the right to redeem some or all of these notes at any time, at specified redemption prices. The net proceeds from the 2032 Senior Notes will be used for general corporate purposes, which includes, among other uses, the redemption of the $350.0 million in principal outstanding of our 5.250% notes due October 2025 (2025 Senior Notes). We redeemed our 2025 Senior Notes at 100% of the principal amount, plus accrued and unpaid interest, on September 19, 2025.</w:t>
      </w:r>
    </w:p>
    <w:p>
      <w:pPr>
        <w:spacing w:after="0" w:line="66"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b w:val="1"/>
          <w:bCs w:val="1"/>
          <w:color w:val="auto"/>
        </w:rPr>
        <w:t xml:space="preserve">UNSECURED COMMITTED LINE OF CREDIT – </w:t>
      </w:r>
      <w:r>
        <w:rPr>
          <w:rFonts w:ascii="Arial" w:cs="Arial" w:eastAsia="Arial" w:hAnsi="Arial"/>
          <w:sz w:val="17"/>
          <w:szCs w:val="17"/>
          <w:color w:val="auto"/>
        </w:rPr>
        <w:t>On July 11, 2025, we entered into a Fifth Amended and Restated Credit and Guarantee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(2025 CLOC), which amended and restated our Fourth Amended and Restated Credit and Guarantee Agreement, extended the scheduled maturity date to July 11, 2030, maintained the aggregate principal amount of $1.5 billion, and revised the interest rate table. All other material terms remain substantially unchanged from our previous CLOC.</w:t>
      </w:r>
    </w:p>
    <w:p>
      <w:pPr>
        <w:spacing w:after="0" w:line="64" w:lineRule="exact"/>
        <w:rPr>
          <w:sz w:val="20"/>
          <w:szCs w:val="20"/>
          <w:color w:val="auto"/>
        </w:rPr>
      </w:pPr>
    </w:p>
    <w:p>
      <w:pPr>
        <w:jc w:val="both"/>
        <w:ind w:firstLine="232"/>
        <w:spacing w:after="0" w:line="261" w:lineRule="auto"/>
        <w:rPr>
          <w:sz w:val="20"/>
          <w:szCs w:val="20"/>
          <w:color w:val="auto"/>
        </w:rPr>
      </w:pPr>
      <w:r>
        <w:rPr>
          <w:rFonts w:ascii="Arial" w:cs="Arial" w:eastAsia="Arial" w:hAnsi="Arial"/>
          <w:sz w:val="17"/>
          <w:szCs w:val="17"/>
          <w:color w:val="auto"/>
        </w:rPr>
        <w:t>The 2025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2025 CLOC will mature on July 11, 2030, unless extended pursuant to the terms of the 2025 CLOC, at which time all outstanding amounts thereunder will be due and payable. Our 2025 CLOC includes an annual facility fee, which will vary depending on our then current credit ratings.</w:t>
      </w:r>
    </w:p>
    <w:p>
      <w:pPr>
        <w:spacing w:after="0" w:line="278"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The 2025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2025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2025 CLOC includes provisions for an equity cure which could potentially allow us to independently cure certain defaults. Proceeds under the 2025 CLOC may be used for working capital needs or for other general corporate purposes. We were in compliance with these requirements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596900</wp:posOffset>
            </wp:positionV>
            <wp:extent cx="220980" cy="122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380"/>
        <w:spacing w:after="0"/>
        <w:tabs>
          <w:tab w:leader="none" w:pos="109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sz w:val="20"/>
          <w:szCs w:val="20"/>
          <w:color w:val="auto"/>
        </w:rPr>
        <w:tab/>
      </w:r>
      <w:r>
        <w:rPr>
          <w:rFonts w:ascii="Arial" w:cs="Arial" w:eastAsia="Arial" w:hAnsi="Arial"/>
          <w:sz w:val="11"/>
          <w:szCs w:val="11"/>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We had an outstanding balance of $245.0 million under our 2025 CLOC and amounts available to borrow were not limited by the debt-to-EBITDA covenant as of September 30, 2025.</w:t>
      </w:r>
    </w:p>
    <w:p>
      <w:pPr>
        <w:spacing w:after="0" w:line="38"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7: INCOME TAXES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file a consolidated federal income tax return in the U.S. with the Internal Revenue Service (IRS) and file tax returns in various state, local, and foreign jurisdictions.</w:t>
      </w:r>
    </w:p>
    <w:p>
      <w:pPr>
        <w:spacing w:after="0" w:line="43"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color w:val="auto"/>
        </w:rPr>
        <w:t>On July 4,2025, H.R. 1 was signed into law. The legislation did not have a material impact on our tax benefit for the three months ended September 30, 2025, and we do not expect it to materially change our effective income tax rate for the fiscal year ending June 30, 2026.</w:t>
      </w:r>
    </w:p>
    <w:p>
      <w:pPr>
        <w:spacing w:after="0" w:line="43"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color w:val="auto"/>
        </w:rPr>
        <w:t>Our effective tax rate for continuing operations, including the effects of discrete tax items, was 23.6% and 26.2% for the three months ended September 30, 2025 and 2024, respectively.</w:t>
      </w:r>
    </w:p>
    <w:p>
      <w:pPr>
        <w:spacing w:after="0" w:line="43"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Consistent with prior years, our pretax loss for the three months ended September 30, 2025 is expected to be offset by income in our third and fourth quarters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three months ended September 30, 2025 reflects management’s estimate of the annual effective tax rate applied to year-to-date loss from continued operations adjusted for the tax impact of discrete items for the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8: COMMITMENTS AND CONTINGENCIES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U.S. and Canadian businesses offer our 100% accuracy guarantee. Assisted tax returns are covered by our 100% accuracy guarantee, whereby we will reimburse a client for penalties and interest attributable to an H&amp;R Block error on a return. Similarly, DIY tax returns are covered by our 100% accuracy guarantee, whereby we will reimburse a client (up to a maximum of $10,000 in the U.S.) if our software makes an arithmetic error that results in payment of penalties and/or interest to the respective taxing authority that a client would otherwise not have been required to pay. Our liability related to estimated losses under the 100% accuracy guarantee was $10.4 million and $11.4 million as of September 30, 2025 and June 30, 2025, respectively. The short-term and long-term portions of this liability are included in deferred revenue and other liabilities in the consolidated balance sheets.</w:t>
      </w:r>
    </w:p>
    <w:p>
      <w:pPr>
        <w:spacing w:after="0" w:line="70"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$30.6 million and $29.6 million as of September 30, 2025 and June 30, 2025 respectively, with amounts recorded in deferred revenue and other liabilities. Should actual results differ from our estimates, future payments made will differ from the above estimate and any differences will be recorded in results from continuing operations.</w:t>
      </w:r>
    </w:p>
    <w:p>
      <w:pPr>
        <w:spacing w:after="0" w:line="68"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We have contractual commitments to fund certain franchises with approved short-term lines of credit for the purpose of meeting their seasonal working capital needs. Our total obligation under these lines of credit was $13.2 million at September 30, 2025, and net of amounts drawn and outstanding, our remaining commitment to fund totaled $8.1 million.</w:t>
      </w:r>
    </w:p>
    <w:p>
      <w:pPr>
        <w:spacing w:after="0" w:line="54"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9: LITIGATION AND OTHER RELATED CONTINGENCIES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a defendant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In addition, jurisdictions may permit plaintiffs to allege monetary damages in amounts well exceeding reasonably possible verdicts in the jurisdiction for similar matters. We believe that the monetary relief which may be specified in a lawsuit or claim bears little relevance to its merits or disposition value due to this variability in pleadings and our experience in handling and resolving numerous claims over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605155</wp:posOffset>
            </wp:positionV>
            <wp:extent cx="212725" cy="122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hanging="266"/>
        <w:spacing w:after="0"/>
        <w:tabs>
          <w:tab w:leader="none" w:pos="36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and applicable law.</w:t>
      </w:r>
    </w:p>
    <w:p>
      <w:pPr>
        <w:spacing w:after="0" w:line="65" w:lineRule="exact"/>
        <w:rPr>
          <w:sz w:val="20"/>
          <w:szCs w:val="20"/>
          <w:color w:val="auto"/>
        </w:rPr>
      </w:pPr>
    </w:p>
    <w:p>
      <w:pPr>
        <w:jc w:val="both"/>
        <w:ind w:firstLine="193"/>
        <w:spacing w:after="0" w:line="290" w:lineRule="auto"/>
        <w:rPr>
          <w:sz w:val="20"/>
          <w:szCs w:val="20"/>
          <w:color w:val="auto"/>
        </w:rPr>
      </w:pPr>
      <w:r>
        <w:rPr>
          <w:rFonts w:ascii="Arial" w:cs="Arial" w:eastAsia="Arial" w:hAnsi="Arial"/>
          <w:sz w:val="17"/>
          <w:szCs w:val="17"/>
          <w:color w:val="auto"/>
        </w:rPr>
        <w:t>In addition to litigation and arbitration matters, we are also subject to other loss contingencies arising out of our business activities, including as described below.</w:t>
      </w:r>
    </w:p>
    <w:p>
      <w:pPr>
        <w:spacing w:after="0" w:line="43"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65" w:lineRule="exact"/>
        <w:rPr>
          <w:sz w:val="20"/>
          <w:szCs w:val="20"/>
          <w:color w:val="auto"/>
        </w:rPr>
      </w:pPr>
    </w:p>
    <w:p>
      <w:pPr>
        <w:jc w:val="both"/>
        <w:ind w:firstLine="193"/>
        <w:spacing w:after="0" w:line="260" w:lineRule="auto"/>
        <w:rPr>
          <w:sz w:val="20"/>
          <w:szCs w:val="20"/>
          <w:color w:val="auto"/>
        </w:rPr>
      </w:pPr>
      <w:r>
        <w:rPr>
          <w:rFonts w:ascii="Arial" w:cs="Arial" w:eastAsia="Arial" w:hAnsi="Arial"/>
          <w:sz w:val="17"/>
          <w:szCs w:val="17"/>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September 30, 2025.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Our accrued liabilities were $6.8 million and $6.2 million as of September 30, 2025 and June 30, 2025, respectively.</w:t>
      </w:r>
    </w:p>
    <w:p>
      <w:pPr>
        <w:spacing w:after="0" w:line="70"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65"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spacing w:after="0" w:line="68"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September 30, 2025, we believe the estimate of the aggregate range of reasonably possible losses in excess of amounts accrued, where the range of loss can be estimated, is not material.</w:t>
      </w:r>
    </w:p>
    <w:p>
      <w:pPr>
        <w:spacing w:after="0" w:line="65" w:lineRule="exact"/>
        <w:rPr>
          <w:sz w:val="20"/>
          <w:szCs w:val="20"/>
          <w:color w:val="auto"/>
        </w:rPr>
      </w:pPr>
    </w:p>
    <w:p>
      <w:pPr>
        <w:jc w:val="both"/>
        <w:ind w:firstLine="193"/>
        <w:spacing w:after="0" w:line="265" w:lineRule="auto"/>
        <w:rPr>
          <w:sz w:val="20"/>
          <w:szCs w:val="20"/>
          <w:color w:val="auto"/>
        </w:rPr>
      </w:pPr>
      <w:r>
        <w:rPr>
          <w:rFonts w:ascii="Arial" w:cs="Arial" w:eastAsia="Arial" w:hAnsi="Arial"/>
          <w:sz w:val="17"/>
          <w:szCs w:val="17"/>
          <w:color w:val="auto"/>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65"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593725</wp:posOffset>
            </wp:positionV>
            <wp:extent cx="220980" cy="122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We have received and are responding to certain governmental inquiries, class actions and mass arbitrations relating to the IRS Free File Program and other aspects of our DIY tax preparation services, including the use of pixels. An accrual related to these matters is included in our loss contingency accrual.</w:t>
      </w:r>
    </w:p>
    <w:p>
      <w:pPr>
        <w:spacing w:after="0" w:line="60"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We are from time to time a party to litigation, arbitration and other loss contingencies not discussed herein arising out of our business operations. These matters may include actions by state attorneys general, other state regulators, federal regulators, individual plaintiffs, and cases in which plaintiffs seek to represent others who may be similarly situated.</w:t>
      </w:r>
    </w:p>
    <w:p>
      <w:pPr>
        <w:spacing w:after="0" w:line="60"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54" w:lineRule="exact"/>
        <w:rPr>
          <w:sz w:val="20"/>
          <w:szCs w:val="20"/>
          <w:color w:val="auto"/>
        </w:rPr>
      </w:pPr>
    </w:p>
    <w:p>
      <w:pPr>
        <w:spacing w:after="0"/>
        <w:rPr>
          <w:sz w:val="20"/>
          <w:szCs w:val="20"/>
          <w:color w:val="auto"/>
        </w:rPr>
      </w:pPr>
      <w:r>
        <w:rPr>
          <w:rFonts w:ascii="Arial" w:cs="Arial" w:eastAsia="Arial" w:hAnsi="Arial"/>
          <w:sz w:val="24"/>
          <w:szCs w:val="24"/>
          <w:b w:val="1"/>
          <w:bCs w:val="1"/>
          <w:color w:val="14AA40"/>
        </w:rPr>
        <w:t>NOTE 10: SEGMENT INFORMATION</w:t>
      </w:r>
    </w:p>
    <w:p>
      <w:pPr>
        <w:spacing w:after="0" w:line="117" w:lineRule="exact"/>
        <w:rPr>
          <w:sz w:val="20"/>
          <w:szCs w:val="20"/>
          <w:color w:val="auto"/>
        </w:rPr>
      </w:pPr>
    </w:p>
    <w:p>
      <w:pPr>
        <w:jc w:val="both"/>
        <w:ind w:firstLine="232"/>
        <w:spacing w:after="0" w:line="251" w:lineRule="auto"/>
        <w:rPr>
          <w:sz w:val="20"/>
          <w:szCs w:val="20"/>
          <w:color w:val="auto"/>
        </w:rPr>
      </w:pPr>
      <w:r>
        <w:rPr>
          <w:rFonts w:ascii="Arial" w:cs="Arial" w:eastAsia="Arial" w:hAnsi="Arial"/>
          <w:sz w:val="17"/>
          <w:szCs w:val="17"/>
          <w:color w:val="auto"/>
        </w:rPr>
        <w:t>We provide assisted and DIY tax preparation solutions through multiple channels (including in-person, online and mobile applications, virtual, and desktop software) and distribute H&amp;R Block-branded services and products, including those of our bank partners, to the general public primarily in the U.S., Canada and Australia. Tax returns are prepared by H&amp;R Block tax professionals in one of our company-owned or franchise offices, virtually or via an online review, or they are prepared and filed by our clients through our DIY tax solutions. We also offer small business solutions through our company-owned and franchise offices (including in-person, online and virtual) and online through Wave. We report a single segment that includes all of our continuing operations. The majority of our revenues are from our U.S. tax services business.</w:t>
      </w:r>
    </w:p>
    <w:p>
      <w:pPr>
        <w:spacing w:after="0" w:line="63" w:lineRule="exact"/>
        <w:rPr>
          <w:sz w:val="20"/>
          <w:szCs w:val="20"/>
          <w:color w:val="auto"/>
        </w:rPr>
      </w:pPr>
    </w:p>
    <w:p>
      <w:pPr>
        <w:jc w:val="both"/>
        <w:ind w:firstLine="193"/>
        <w:spacing w:after="0" w:line="262" w:lineRule="auto"/>
        <w:rPr>
          <w:sz w:val="20"/>
          <w:szCs w:val="20"/>
          <w:color w:val="auto"/>
        </w:rPr>
      </w:pPr>
      <w:r>
        <w:rPr>
          <w:rFonts w:ascii="Arial" w:cs="Arial" w:eastAsia="Arial" w:hAnsi="Arial"/>
          <w:sz w:val="17"/>
          <w:szCs w:val="17"/>
          <w:color w:val="auto"/>
        </w:rPr>
        <w:t>The Company's Chief Operating Decision Maker (CODM) is our chief executive officer, who regularly reviews consolidated financial information to evaluate financial performance and allocate resources. Specifically, the CODM uses revenues, operating expenses, net income and EBITDA at a consolidated level, as key financial metrics in deciding how to reinvest to grow the business. These financial metrics are used by the CODM to make operating decisions and identify growth opportunities. The measure of segment assets is total consolidated assets as presented on the consolidated balance sheet.</w:t>
      </w:r>
    </w:p>
    <w:p>
      <w:pPr>
        <w:spacing w:after="0" w:line="68" w:lineRule="exact"/>
        <w:rPr>
          <w:sz w:val="20"/>
          <w:szCs w:val="20"/>
          <w:color w:val="auto"/>
        </w:rPr>
      </w:pPr>
    </w:p>
    <w:p>
      <w:pPr>
        <w:jc w:val="both"/>
        <w:ind w:firstLine="193"/>
        <w:spacing w:after="0" w:line="271" w:lineRule="auto"/>
        <w:rPr>
          <w:sz w:val="20"/>
          <w:szCs w:val="20"/>
          <w:color w:val="auto"/>
        </w:rPr>
      </w:pPr>
      <w:r>
        <w:rPr>
          <w:rFonts w:ascii="Arial" w:cs="Arial" w:eastAsia="Arial" w:hAnsi="Arial"/>
          <w:sz w:val="17"/>
          <w:szCs w:val="17"/>
          <w:color w:val="auto"/>
        </w:rPr>
        <w:t>The following table presents the significant revenue and expense categories included in the segment's net income from continuing operations as regularly provided to the CODM on a consolidated basis and then reconciled to net income for the three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596900</wp:posOffset>
            </wp:positionV>
            <wp:extent cx="212725" cy="122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hanging="266"/>
        <w:spacing w:after="0"/>
        <w:tabs>
          <w:tab w:leader="none" w:pos="36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00" w:type="dxa"/>
        <w:tblCellMar>
          <w:top w:w="0" w:type="dxa"/>
          <w:left w:w="0" w:type="dxa"/>
          <w:bottom w:w="0" w:type="dxa"/>
          <w:right w:w="0" w:type="dxa"/>
        </w:tblCellMar>
      </w:tblPr>
      <w:tr>
        <w:trPr>
          <w:trHeight w:val="219"/>
        </w:trPr>
        <w:tc>
          <w:tcPr>
            <w:tcW w:w="72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Consolidated – Financial Results</w:t>
            </w:r>
          </w:p>
        </w:tc>
        <w:tc>
          <w:tcPr>
            <w:tcW w:w="62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199"/>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September 30,</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r>
      <w:tr>
        <w:trPr>
          <w:trHeight w:val="198"/>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U.S. tax preparation and related services:</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240" w:type="dxa"/>
            <w:vAlign w:val="bottom"/>
            <w:gridSpan w:val="2"/>
          </w:tcPr>
          <w:p>
            <w:pPr>
              <w:ind w:left="240"/>
              <w:spacing w:after="0"/>
              <w:rPr>
                <w:sz w:val="20"/>
                <w:szCs w:val="20"/>
                <w:color w:val="auto"/>
              </w:rPr>
            </w:pPr>
            <w:r>
              <w:rPr>
                <w:rFonts w:ascii="Arial" w:cs="Arial" w:eastAsia="Arial" w:hAnsi="Arial"/>
                <w:sz w:val="15"/>
                <w:szCs w:val="15"/>
                <w:color w:val="auto"/>
              </w:rPr>
              <w:t>Assisted tax preparation</w:t>
            </w:r>
          </w:p>
        </w:tc>
        <w:tc>
          <w:tcPr>
            <w:tcW w:w="620" w:type="dxa"/>
            <w:vAlign w:val="bottom"/>
          </w:tcPr>
          <w:p>
            <w:pPr>
              <w:jc w:val="right"/>
              <w:ind w:right="44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48,644</w:t>
            </w:r>
          </w:p>
        </w:tc>
        <w:tc>
          <w:tcPr>
            <w:tcW w:w="80" w:type="dxa"/>
            <w:vAlign w:val="bottom"/>
          </w:tcPr>
          <w:p>
            <w:pPr>
              <w:spacing w:after="0"/>
              <w:rPr>
                <w:sz w:val="17"/>
                <w:szCs w:val="17"/>
                <w:color w:val="auto"/>
              </w:rPr>
            </w:pPr>
          </w:p>
        </w:tc>
        <w:tc>
          <w:tcPr>
            <w:tcW w:w="62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42,963</w:t>
            </w:r>
          </w:p>
        </w:tc>
      </w:tr>
      <w:tr>
        <w:trPr>
          <w:trHeight w:val="206"/>
        </w:trPr>
        <w:tc>
          <w:tcPr>
            <w:tcW w:w="72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Royalties</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5,849</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5,852</w:t>
            </w:r>
          </w:p>
        </w:tc>
      </w:tr>
      <w:tr>
        <w:trPr>
          <w:trHeight w:val="206"/>
        </w:trPr>
        <w:tc>
          <w:tcPr>
            <w:tcW w:w="7240" w:type="dxa"/>
            <w:vAlign w:val="bottom"/>
            <w:gridSpan w:val="2"/>
          </w:tcPr>
          <w:p>
            <w:pPr>
              <w:ind w:left="220"/>
              <w:spacing w:after="0"/>
              <w:rPr>
                <w:sz w:val="20"/>
                <w:szCs w:val="20"/>
                <w:color w:val="auto"/>
              </w:rPr>
            </w:pPr>
            <w:r>
              <w:rPr>
                <w:rFonts w:ascii="Arial" w:cs="Arial" w:eastAsia="Arial" w:hAnsi="Arial"/>
                <w:sz w:val="15"/>
                <w:szCs w:val="15"/>
                <w:color w:val="auto"/>
              </w:rPr>
              <w:t>DIY tax preparation</w:t>
            </w: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3,745</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3,236</w:t>
            </w:r>
          </w:p>
        </w:tc>
      </w:tr>
      <w:tr>
        <w:trPr>
          <w:trHeight w:val="206"/>
        </w:trPr>
        <w:tc>
          <w:tcPr>
            <w:tcW w:w="72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Refund Transfers</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843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w:t>
            </w:r>
          </w:p>
        </w:tc>
      </w:tr>
      <w:tr>
        <w:trPr>
          <w:trHeight w:val="206"/>
        </w:trPr>
        <w:tc>
          <w:tcPr>
            <w:tcW w:w="7240" w:type="dxa"/>
            <w:vAlign w:val="bottom"/>
            <w:gridSpan w:val="2"/>
          </w:tcPr>
          <w:p>
            <w:pPr>
              <w:ind w:left="220"/>
              <w:spacing w:after="0"/>
              <w:rPr>
                <w:sz w:val="20"/>
                <w:szCs w:val="20"/>
                <w:color w:val="auto"/>
              </w:rPr>
            </w:pPr>
            <w:r>
              <w:rPr>
                <w:rFonts w:ascii="Arial" w:cs="Arial" w:eastAsia="Arial" w:hAnsi="Arial"/>
                <w:sz w:val="15"/>
                <w:szCs w:val="15"/>
                <w:color w:val="auto"/>
              </w:rPr>
              <w:t>Peace of Mind® Extended Service Plan</w:t>
            </w: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23,509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23,097</w:t>
            </w:r>
          </w:p>
        </w:tc>
      </w:tr>
      <w:tr>
        <w:trPr>
          <w:trHeight w:val="206"/>
        </w:trPr>
        <w:tc>
          <w:tcPr>
            <w:tcW w:w="72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Tax Identity Shield®</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4,122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3,909</w:t>
            </w:r>
          </w:p>
        </w:tc>
      </w:tr>
      <w:tr>
        <w:trPr>
          <w:trHeight w:val="206"/>
        </w:trPr>
        <w:tc>
          <w:tcPr>
            <w:tcW w:w="7240" w:type="dxa"/>
            <w:vAlign w:val="bottom"/>
            <w:gridSpan w:val="2"/>
          </w:tcPr>
          <w:p>
            <w:pPr>
              <w:ind w:left="240"/>
              <w:spacing w:after="0" w:line="207"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7,852</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8,826</w:t>
            </w:r>
          </w:p>
        </w:tc>
      </w:tr>
      <w:tr>
        <w:trPr>
          <w:trHeight w:val="206"/>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Interest and fee income on Emerald Advance®</w:t>
            </w:r>
          </w:p>
        </w:tc>
        <w:tc>
          <w:tcPr>
            <w:tcW w:w="6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7240" w:type="dxa"/>
            <w:vAlign w:val="bottom"/>
            <w:gridSpan w:val="2"/>
          </w:tcPr>
          <w:p>
            <w:pPr>
              <w:ind w:left="240"/>
              <w:spacing w:after="0"/>
              <w:rPr>
                <w:sz w:val="20"/>
                <w:szCs w:val="20"/>
                <w:color w:val="auto"/>
              </w:rPr>
            </w:pPr>
            <w:r>
              <w:rPr>
                <w:rFonts w:ascii="Arial" w:cs="Arial" w:eastAsia="Arial" w:hAnsi="Arial"/>
                <w:sz w:val="15"/>
                <w:szCs w:val="15"/>
                <w:color w:val="auto"/>
              </w:rPr>
              <w:t>International</w:t>
            </w: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65,661</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64,855</w:t>
            </w:r>
          </w:p>
        </w:tc>
      </w:tr>
      <w:tr>
        <w:trPr>
          <w:trHeight w:val="206"/>
        </w:trPr>
        <w:tc>
          <w:tcPr>
            <w:tcW w:w="724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Wave</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29,850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26,403</w:t>
            </w:r>
          </w:p>
        </w:tc>
      </w:tr>
      <w:tr>
        <w:trPr>
          <w:trHeight w:val="206"/>
        </w:trPr>
        <w:tc>
          <w:tcPr>
            <w:tcW w:w="724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Other</w:t>
            </w: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13,476</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13,809</w:t>
            </w:r>
          </w:p>
        </w:tc>
      </w:tr>
      <w:tr>
        <w:trPr>
          <w:trHeight w:val="199"/>
        </w:trPr>
        <w:tc>
          <w:tcPr>
            <w:tcW w:w="724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revenues</w:t>
            </w: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203,551</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193,810</w:t>
            </w:r>
          </w:p>
        </w:tc>
      </w:tr>
      <w:tr>
        <w:trPr>
          <w:trHeight w:val="185"/>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Compensation and benefits:</w:t>
            </w: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7"/>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Field wages</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69,715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68,094</w:t>
            </w:r>
          </w:p>
        </w:tc>
      </w:tr>
      <w:tr>
        <w:trPr>
          <w:trHeight w:val="206"/>
        </w:trPr>
        <w:tc>
          <w:tcPr>
            <w:tcW w:w="7240" w:type="dxa"/>
            <w:vAlign w:val="bottom"/>
            <w:gridSpan w:val="2"/>
          </w:tcPr>
          <w:p>
            <w:pPr>
              <w:ind w:left="120"/>
              <w:spacing w:after="0"/>
              <w:rPr>
                <w:sz w:val="20"/>
                <w:szCs w:val="20"/>
                <w:color w:val="auto"/>
              </w:rPr>
            </w:pPr>
            <w:r>
              <w:rPr>
                <w:rFonts w:ascii="Arial" w:cs="Arial" w:eastAsia="Arial" w:hAnsi="Arial"/>
                <w:sz w:val="15"/>
                <w:szCs w:val="15"/>
                <w:color w:val="auto"/>
              </w:rPr>
              <w:t>Other wages</w:t>
            </w: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79,279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77,335</w:t>
            </w:r>
          </w:p>
        </w:tc>
      </w:tr>
      <w:tr>
        <w:trPr>
          <w:trHeight w:val="206"/>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Benefits and other compensation</w:t>
            </w:r>
          </w:p>
        </w:tc>
        <w:tc>
          <w:tcPr>
            <w:tcW w:w="6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36,662</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38,754</w:t>
            </w:r>
          </w:p>
        </w:tc>
      </w:tr>
      <w:tr>
        <w:trPr>
          <w:trHeight w:val="199"/>
        </w:trPr>
        <w:tc>
          <w:tcPr>
            <w:tcW w:w="7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185,656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184,183</w:t>
            </w:r>
          </w:p>
        </w:tc>
      </w:tr>
      <w:tr>
        <w:trPr>
          <w:trHeight w:val="20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Occupancy</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102,796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101,318</w:t>
            </w:r>
          </w:p>
        </w:tc>
      </w:tr>
      <w:tr>
        <w:trPr>
          <w:trHeight w:val="206"/>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Marketing and advertising</w:t>
            </w: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8,342</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9,972</w:t>
            </w:r>
          </w:p>
        </w:tc>
      </w:tr>
      <w:tr>
        <w:trPr>
          <w:trHeight w:val="20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28,922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28,831</w:t>
            </w:r>
          </w:p>
        </w:tc>
      </w:tr>
      <w:tr>
        <w:trPr>
          <w:trHeight w:val="206"/>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Bad debt</w:t>
            </w: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2,205</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2,730</w:t>
            </w:r>
          </w:p>
        </w:tc>
      </w:tr>
      <w:tr>
        <w:trPr>
          <w:trHeight w:val="20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6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82,661</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95,107</w:t>
            </w:r>
          </w:p>
        </w:tc>
      </w:tr>
      <w:tr>
        <w:trPr>
          <w:trHeight w:val="199"/>
        </w:trPr>
        <w:tc>
          <w:tcPr>
            <w:tcW w:w="7240" w:type="dxa"/>
            <w:vAlign w:val="bottom"/>
            <w:tcBorders>
              <w:bottom w:val="single" w:sz="8" w:color="CCEEFF"/>
            </w:tcBorders>
            <w:gridSpan w:val="2"/>
          </w:tcPr>
          <w:p>
            <w:pPr>
              <w:ind w:left="320"/>
              <w:spacing w:after="0"/>
              <w:rPr>
                <w:sz w:val="20"/>
                <w:szCs w:val="20"/>
                <w:color w:val="auto"/>
              </w:rPr>
            </w:pPr>
            <w:r>
              <w:rPr>
                <w:rFonts w:ascii="Arial" w:cs="Arial" w:eastAsia="Arial" w:hAnsi="Arial"/>
                <w:sz w:val="15"/>
                <w:szCs w:val="15"/>
                <w:color w:val="auto"/>
              </w:rPr>
              <w:t>Total operating expenses</w:t>
            </w: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410,582</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422,141</w:t>
            </w:r>
          </w:p>
        </w:tc>
      </w:tr>
      <w:tr>
        <w:trPr>
          <w:trHeight w:val="19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8,102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11,917</w:t>
            </w:r>
          </w:p>
        </w:tc>
      </w:tr>
      <w:tr>
        <w:trPr>
          <w:trHeight w:val="206"/>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Interest expense on borrowings</w:t>
            </w: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(17,402)</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(15,847)</w:t>
            </w:r>
          </w:p>
        </w:tc>
      </w:tr>
      <w:tr>
        <w:trPr>
          <w:trHeight w:val="19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 before income taxes</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(216,331)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(232,261)</w:t>
            </w:r>
          </w:p>
        </w:tc>
      </w:tr>
      <w:tr>
        <w:trPr>
          <w:trHeight w:val="206"/>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Income tax benefit</w:t>
            </w: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(50,963)</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(60,840)</w:t>
            </w:r>
          </w:p>
        </w:tc>
      </w:tr>
      <w:tr>
        <w:trPr>
          <w:trHeight w:val="19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Segment net income from continuing operations</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(165,368)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(171,421)</w:t>
            </w:r>
          </w:p>
        </w:tc>
      </w:tr>
      <w:tr>
        <w:trPr>
          <w:trHeight w:val="245"/>
        </w:trPr>
        <w:tc>
          <w:tcPr>
            <w:tcW w:w="7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0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segment profit:</w:t>
            </w: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5"/>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Reconciling items:</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2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Net loss from discontinued operations</w:t>
            </w: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(451)</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(1,155)</w:t>
            </w:r>
          </w:p>
        </w:tc>
      </w:tr>
      <w:tr>
        <w:trPr>
          <w:trHeight w:val="199"/>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Net loss</w:t>
            </w:r>
          </w:p>
        </w:tc>
        <w:tc>
          <w:tcPr>
            <w:tcW w:w="6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(165,819)</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1718945</wp:posOffset>
            </wp:positionV>
            <wp:extent cx="220980" cy="122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380"/>
        <w:spacing w:after="0"/>
        <w:rPr>
          <w:sz w:val="20"/>
          <w:szCs w:val="20"/>
          <w:color w:val="auto"/>
        </w:rPr>
      </w:pPr>
      <w:r>
        <w:rPr>
          <w:rFonts w:ascii="Arial" w:cs="Arial" w:eastAsia="Arial" w:hAnsi="Arial"/>
          <w:sz w:val="13"/>
          <w:szCs w:val="13"/>
          <w:b w:val="1"/>
          <w:bCs w:val="1"/>
          <w:color w:val="auto"/>
        </w:rPr>
        <w:t xml:space="preserve">H&amp;R Block, Inc. </w:t>
      </w:r>
      <w:r>
        <w:rPr>
          <w:rFonts w:ascii="Arial" w:cs="Arial" w:eastAsia="Arial" w:hAnsi="Arial"/>
          <w:sz w:val="13"/>
          <w:szCs w:val="13"/>
          <w:color w:val="auto"/>
        </w:rPr>
        <w:t>|Q1 FY2026 Form 10-Q</w:t>
      </w:r>
      <w:r>
        <w:rPr>
          <w:rFonts w:ascii="Arial" w:cs="Arial" w:eastAsia="Arial" w:hAnsi="Arial"/>
          <w:sz w:val="13"/>
          <w:szCs w:val="13"/>
          <w:b w:val="1"/>
          <w:bCs w:val="1"/>
          <w:color w:val="auto"/>
        </w:rPr>
        <w:t xml:space="preserve">  </w:t>
      </w:r>
      <w:r>
        <w:rPr>
          <w:rFonts w:ascii="Arial" w:cs="Arial" w:eastAsia="Arial" w:hAnsi="Arial"/>
          <w:sz w:val="13"/>
          <w:szCs w:val="13"/>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sectPr>
      </w:pPr>
    </w:p>
    <w:bookmarkStart w:id="17" w:name="page18"/>
    <w:bookmarkEnd w:id="1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1080" w:hanging="1082"/>
        <w:spacing w:after="0" w:line="295" w:lineRule="auto"/>
        <w:tabs>
          <w:tab w:leader="none" w:pos="1060" w:val="left"/>
        </w:tabs>
        <w:rPr>
          <w:sz w:val="20"/>
          <w:szCs w:val="20"/>
          <w:color w:val="auto"/>
        </w:rPr>
      </w:pPr>
      <w:r>
        <w:rPr>
          <w:rFonts w:ascii="Arial" w:cs="Arial" w:eastAsia="Arial" w:hAnsi="Arial"/>
          <w:sz w:val="24"/>
          <w:szCs w:val="24"/>
          <w:b w:val="1"/>
          <w:bCs w:val="1"/>
          <w:color w:val="14AA40"/>
        </w:rPr>
        <w:t>ITEM 2.</w:t>
        <w:tab/>
        <w:t>MANAGEMENT'S DISCUSSION AND ANALYSIS OF FINANCIAL CONDITION AND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16" w:lineRule="exact"/>
        <w:rPr>
          <w:sz w:val="20"/>
          <w:szCs w:val="20"/>
          <w:color w:val="auto"/>
        </w:rPr>
      </w:pPr>
    </w:p>
    <w:p>
      <w:pPr>
        <w:jc w:val="both"/>
        <w:ind w:firstLine="232"/>
        <w:spacing w:after="0" w:line="251" w:lineRule="auto"/>
        <w:rPr>
          <w:sz w:val="20"/>
          <w:szCs w:val="20"/>
          <w:color w:val="auto"/>
        </w:rPr>
      </w:pPr>
      <w:r>
        <w:rPr>
          <w:rFonts w:ascii="Arial" w:cs="Arial" w:eastAsia="Arial" w:hAnsi="Arial"/>
          <w:sz w:val="17"/>
          <w:szCs w:val="17"/>
          <w:color w:val="auto"/>
        </w:rPr>
        <w:t>On July 11, 2025, we entered into a Fifth Amended and Restated Credit and Guarantee Agreement (2025 CLOC), which amended and restated our Fourth Amended and Restated Credit and Guarantee Agreement, extended the scheduled maturity date to July 11, 2030, maintained the aggregate principal amount of $1.5 billion, and revised the interest rate table. All other material terms remain substantially unchanged from the Fourth Amended and Restated Credit and Guarantee Agreement. See our Current Report on Form 8-K filed on July 15, 2025 for additional information.</w:t>
      </w:r>
    </w:p>
    <w:p>
      <w:pPr>
        <w:spacing w:after="0" w:line="265" w:lineRule="exact"/>
        <w:rPr>
          <w:sz w:val="20"/>
          <w:szCs w:val="20"/>
          <w:color w:val="auto"/>
        </w:rPr>
      </w:pPr>
    </w:p>
    <w:p>
      <w:pPr>
        <w:jc w:val="both"/>
        <w:ind w:firstLine="155"/>
        <w:spacing w:after="0" w:line="254" w:lineRule="auto"/>
        <w:rPr>
          <w:sz w:val="20"/>
          <w:szCs w:val="20"/>
          <w:color w:val="auto"/>
        </w:rPr>
      </w:pPr>
      <w:r>
        <w:rPr>
          <w:rFonts w:ascii="Arial" w:cs="Arial" w:eastAsia="Arial" w:hAnsi="Arial"/>
          <w:sz w:val="17"/>
          <w:szCs w:val="17"/>
          <w:color w:val="auto"/>
        </w:rPr>
        <w:t>On August 7, 2025, Jeffrey J. Jones II notified the Board of Directors of the Company of his intention to retire as President and Chief Executive Officer of the Company, effective as of December 31, 2025. Mr. Jones will also retire from the Board of Directors, effective on December 31, 2025. On August 8, 2025, the Board appointed Curtis A. Campbell, currently the Company's President, Global Consumer Tax and Chief Product Officer, to succeed Mr. Jones as President and Chief Executive Officer, effective immediately upon Mr. Jones’ retirement. See our Current Report on Form 8-K filed on August 11, 2025 for more information.</w:t>
      </w:r>
    </w:p>
    <w:p>
      <w:pPr>
        <w:spacing w:after="0" w:line="61"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On August 13, 2025, Kellie J. Logerwell notified H&amp;R Block, Inc. (the “Company”) of her intention to retire as the Company’s Vice President and Chief Accounting Officer, effective as of October 24, 2025. Ms. Logerwell was succeeded as principal accounting officer by April M. Wasleski, who most-recently served as the Company’s Director of Accounting and whose appointment as Vice President and Chief Accounting Officer became effective October 24, 2025. See our Current Report on Form 8-K filed on August 15, 2025 for more information.</w:t>
      </w:r>
    </w:p>
    <w:p>
      <w:pPr>
        <w:spacing w:after="0" w:line="65"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On August 26, 2025, we issued $350.0 million of 5.375% Senior Notes due September 15, 2032 (2032 Senior Notes). The 2032 Senior Notes are not redeemable by the bondholders prior to maturity, although we have the right to redeem some or all of these notes at any time, at specified redemption prices. The net proceeds from the 2032 Senior Notes will be used for general corporate purposes, which includes, among other uses, the redemption of the $350.0 million in principal outstanding of our 5.250% notes due October 2025 (2025 Senior Notes). We redeemed our 2025 Senior Notes at 100% of the principal amount, plus accrued and unpaid interest, on September 19,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subsidiaries provide assisted and do-it-yourself (DIY) tax preparation solutions through multiple channels (including in-person, online and mobile applications, virtual, and desktop software) and distribute H&amp;R Block-branded products and services, including those of our bank partners, to the general public primarily in the United States (U.S.), Canada and Australia. Tax returns are prepared by H&amp;R Block tax professionals in one of our company-owned or franchise offices, virtually or via an online review, or they are prepared and filed by our clients through our DIY tax solutions. We also offer small business solutions through our company-owned and franchise offices (including in-person, online and virtual) and online through Wave. We report a single segment that includes all of our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595630</wp:posOffset>
            </wp:positionV>
            <wp:extent cx="212725" cy="122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 w:hanging="266"/>
        <w:spacing w:after="0"/>
        <w:tabs>
          <w:tab w:leader="none" w:pos="360" w:val="left"/>
        </w:tabs>
        <w:numPr>
          <w:ilvl w:val="0"/>
          <w:numId w:val="12"/>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Consolidated – Financial Results</w:t>
            </w: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19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September 30,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8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8"/>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Revenues: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7"/>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U.S. tax preparation and related services:</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6"/>
        </w:trPr>
        <w:tc>
          <w:tcPr>
            <w:tcW w:w="4780" w:type="dxa"/>
            <w:vAlign w:val="bottom"/>
            <w:gridSpan w:val="2"/>
          </w:tcPr>
          <w:p>
            <w:pPr>
              <w:ind w:left="240"/>
              <w:spacing w:after="0"/>
              <w:rPr>
                <w:sz w:val="20"/>
                <w:szCs w:val="20"/>
                <w:color w:val="auto"/>
              </w:rPr>
            </w:pPr>
            <w:r>
              <w:rPr>
                <w:rFonts w:ascii="Arial" w:cs="Arial" w:eastAsia="Arial" w:hAnsi="Arial"/>
                <w:sz w:val="15"/>
                <w:szCs w:val="15"/>
                <w:color w:val="auto"/>
              </w:rPr>
              <w:t>Assisted tax preparation</w:t>
            </w:r>
          </w:p>
        </w:tc>
        <w:tc>
          <w:tcPr>
            <w:tcW w:w="460" w:type="dxa"/>
            <w:vAlign w:val="bottom"/>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48,644</w:t>
            </w:r>
          </w:p>
        </w:tc>
        <w:tc>
          <w:tcPr>
            <w:tcW w:w="8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42,963</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5,681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13.2 %</w:t>
            </w:r>
          </w:p>
        </w:tc>
      </w:tr>
      <w:tr>
        <w:trPr>
          <w:trHeight w:val="206"/>
        </w:trPr>
        <w:tc>
          <w:tcPr>
            <w:tcW w:w="47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Royalties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5,849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06"/>
        </w:trPr>
        <w:tc>
          <w:tcPr>
            <w:tcW w:w="4780" w:type="dxa"/>
            <w:vAlign w:val="bottom"/>
            <w:gridSpan w:val="2"/>
          </w:tcPr>
          <w:p>
            <w:pPr>
              <w:ind w:left="220"/>
              <w:spacing w:after="0"/>
              <w:rPr>
                <w:sz w:val="20"/>
                <w:szCs w:val="20"/>
                <w:color w:val="auto"/>
              </w:rPr>
            </w:pPr>
            <w:r>
              <w:rPr>
                <w:rFonts w:ascii="Arial" w:cs="Arial" w:eastAsia="Arial" w:hAnsi="Arial"/>
                <w:sz w:val="15"/>
                <w:szCs w:val="15"/>
                <w:color w:val="auto"/>
              </w:rPr>
              <w:t>DIY tax preparation</w:t>
            </w: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3,745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3,236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509</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15.7 %</w:t>
            </w:r>
          </w:p>
        </w:tc>
      </w:tr>
      <w:tr>
        <w:trPr>
          <w:trHeight w:val="206"/>
        </w:trPr>
        <w:tc>
          <w:tcPr>
            <w:tcW w:w="47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Refund Transfers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843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06"/>
        </w:trPr>
        <w:tc>
          <w:tcPr>
            <w:tcW w:w="4780" w:type="dxa"/>
            <w:vAlign w:val="bottom"/>
            <w:gridSpan w:val="2"/>
          </w:tcPr>
          <w:p>
            <w:pPr>
              <w:ind w:left="220"/>
              <w:spacing w:after="0"/>
              <w:rPr>
                <w:sz w:val="20"/>
                <w:szCs w:val="20"/>
                <w:color w:val="auto"/>
              </w:rPr>
            </w:pPr>
            <w:r>
              <w:rPr>
                <w:rFonts w:ascii="Arial" w:cs="Arial" w:eastAsia="Arial" w:hAnsi="Arial"/>
                <w:sz w:val="15"/>
                <w:szCs w:val="15"/>
                <w:color w:val="auto"/>
              </w:rPr>
              <w:t>Peace of Mind® Extended Service Plan</w:t>
            </w: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23,509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23,097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412</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1.8 %</w:t>
            </w:r>
          </w:p>
        </w:tc>
      </w:tr>
      <w:tr>
        <w:trPr>
          <w:trHeight w:val="206"/>
        </w:trPr>
        <w:tc>
          <w:tcPr>
            <w:tcW w:w="478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Tax Identity Shield®</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4,122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5.4 %</w:t>
            </w:r>
          </w:p>
        </w:tc>
      </w:tr>
      <w:tr>
        <w:trPr>
          <w:trHeight w:val="206"/>
        </w:trPr>
        <w:tc>
          <w:tcPr>
            <w:tcW w:w="4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13,476</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13,809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w:t>
            </w:r>
          </w:p>
        </w:tc>
      </w:tr>
      <w:tr>
        <w:trPr>
          <w:trHeight w:val="199"/>
        </w:trPr>
        <w:tc>
          <w:tcPr>
            <w:tcW w:w="47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U.S. tax preparation and related services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100,188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93,726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6,462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6.9 %</w:t>
            </w:r>
          </w:p>
        </w:tc>
      </w:tr>
      <w:tr>
        <w:trPr>
          <w:trHeight w:val="205"/>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Financial services: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7"/>
        </w:trPr>
        <w:tc>
          <w:tcPr>
            <w:tcW w:w="4780" w:type="dxa"/>
            <w:vAlign w:val="bottom"/>
            <w:gridSpan w:val="2"/>
            <w:shd w:val="clear" w:color="auto" w:fill="CCEEFF"/>
          </w:tcPr>
          <w:p>
            <w:pPr>
              <w:ind w:left="240"/>
              <w:spacing w:after="0" w:line="207" w:lineRule="exact"/>
              <w:rPr>
                <w:sz w:val="20"/>
                <w:szCs w:val="20"/>
                <w:color w:val="auto"/>
              </w:rPr>
            </w:pPr>
            <w:r>
              <w:rPr>
                <w:rFonts w:ascii="Arial" w:cs="Arial" w:eastAsia="Arial" w:hAnsi="Arial"/>
                <w:sz w:val="15"/>
                <w:szCs w:val="15"/>
                <w:color w:val="auto"/>
              </w:rPr>
              <w:t>Emerald Card® and Spruce</w:t>
            </w:r>
            <w:r>
              <w:rPr>
                <w:rFonts w:ascii="Arial" w:cs="Arial" w:eastAsia="Arial" w:hAnsi="Arial"/>
                <w:sz w:val="20"/>
                <w:szCs w:val="20"/>
                <w:color w:val="auto"/>
                <w:vertAlign w:val="superscript"/>
              </w:rPr>
              <w:t>SM</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7,852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(11.0)%</w:t>
            </w:r>
          </w:p>
        </w:tc>
      </w:tr>
      <w:tr>
        <w:trPr>
          <w:trHeight w:val="206"/>
        </w:trPr>
        <w:tc>
          <w:tcPr>
            <w:tcW w:w="4780" w:type="dxa"/>
            <w:vAlign w:val="bottom"/>
            <w:gridSpan w:val="2"/>
          </w:tcPr>
          <w:p>
            <w:pPr>
              <w:ind w:left="220"/>
              <w:spacing w:after="0"/>
              <w:rPr>
                <w:sz w:val="20"/>
                <w:szCs w:val="20"/>
                <w:color w:val="auto"/>
              </w:rPr>
            </w:pPr>
            <w:r>
              <w:rPr>
                <w:rFonts w:ascii="Arial" w:cs="Arial" w:eastAsia="Arial" w:hAnsi="Arial"/>
                <w:sz w:val="15"/>
                <w:szCs w:val="15"/>
                <w:color w:val="auto"/>
              </w:rPr>
              <w:t>Interest and fee income on Emerald Advance®</w:t>
            </w:r>
          </w:p>
        </w:tc>
        <w:tc>
          <w:tcPr>
            <w:tcW w:w="4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478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Total financial services</w:t>
            </w: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7,852</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8,826</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(974)</w:t>
            </w:r>
          </w:p>
        </w:tc>
        <w:tc>
          <w:tcPr>
            <w:tcW w:w="17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(11.0)%</w:t>
            </w:r>
          </w:p>
        </w:tc>
      </w:tr>
      <w:tr>
        <w:trPr>
          <w:trHeight w:val="20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International</w:t>
            </w: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65,661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64,855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806</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1.2 %</w:t>
            </w:r>
          </w:p>
        </w:tc>
      </w:tr>
      <w:tr>
        <w:trPr>
          <w:trHeight w:val="20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Wave</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29,850</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26,403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3,447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13.1 %</w:t>
            </w:r>
          </w:p>
        </w:tc>
      </w:tr>
      <w:tr>
        <w:trPr>
          <w:trHeight w:val="199"/>
        </w:trPr>
        <w:tc>
          <w:tcPr>
            <w:tcW w:w="4780" w:type="dxa"/>
            <w:vAlign w:val="bottom"/>
            <w:tcBorders>
              <w:bottom w:val="single" w:sz="8" w:color="CCEEFF"/>
            </w:tcBorders>
            <w:gridSpan w:val="2"/>
          </w:tcPr>
          <w:p>
            <w:pPr>
              <w:ind w:left="420"/>
              <w:spacing w:after="0"/>
              <w:rPr>
                <w:sz w:val="20"/>
                <w:szCs w:val="20"/>
                <w:color w:val="auto"/>
              </w:rPr>
            </w:pPr>
            <w:r>
              <w:rPr>
                <w:rFonts w:ascii="Arial" w:cs="Arial" w:eastAsia="Arial" w:hAnsi="Arial"/>
                <w:sz w:val="15"/>
                <w:szCs w:val="15"/>
                <w:color w:val="auto"/>
              </w:rPr>
              <w:t>Total revenues</w:t>
            </w: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203,551</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193,810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9,741</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5.0 %</w:t>
            </w:r>
          </w:p>
        </w:tc>
      </w:tr>
      <w:tr>
        <w:trPr>
          <w:trHeight w:val="18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Compensation and benefits: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Field wages</w:t>
            </w: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69,715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68,094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(1,621)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(2.4)%</w:t>
            </w:r>
          </w:p>
        </w:tc>
      </w:tr>
      <w:tr>
        <w:trPr>
          <w:trHeight w:val="20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wages</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79,279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77,335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206"/>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Benefits and other compensation</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36,662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38,754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2,092</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5.4 %</w:t>
            </w:r>
          </w:p>
        </w:tc>
      </w:tr>
      <w:tr>
        <w:trPr>
          <w:trHeight w:val="199"/>
        </w:trPr>
        <w:tc>
          <w:tcPr>
            <w:tcW w:w="4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185,656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184,183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w:t>
            </w:r>
          </w:p>
        </w:tc>
      </w:tr>
      <w:tr>
        <w:trPr>
          <w:trHeight w:val="206"/>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Occupancy</w:t>
            </w: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102,796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101,318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(1,478)</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(1.5)%</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Marketing and advertising</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8,342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1,630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16.3 %</w:t>
            </w:r>
          </w:p>
        </w:tc>
      </w:tr>
      <w:tr>
        <w:trPr>
          <w:trHeight w:val="206"/>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Depreciation and amortization</w:t>
            </w: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28,922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28,831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(91)</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(0.3)%</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Bad debt</w:t>
            </w: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2,205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19.2 %</w:t>
            </w:r>
          </w:p>
        </w:tc>
      </w:tr>
      <w:tr>
        <w:trPr>
          <w:trHeight w:val="206"/>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82,661</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95,107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12,446</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13.1 %</w:t>
            </w:r>
          </w:p>
        </w:tc>
      </w:tr>
      <w:tr>
        <w:trPr>
          <w:trHeight w:val="199"/>
        </w:trPr>
        <w:tc>
          <w:tcPr>
            <w:tcW w:w="478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operating expenses</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410,582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422,141</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11,559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2.7 %</w:t>
            </w:r>
          </w:p>
        </w:tc>
      </w:tr>
      <w:tr>
        <w:trPr>
          <w:trHeight w:val="199"/>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b w:val="1"/>
                <w:bCs w:val="1"/>
                <w:color w:val="auto"/>
              </w:rPr>
              <w:t>8,102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11,917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(3,815)</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(32.0)%</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on borrowings</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(17,402)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(15,847)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199"/>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Pretax loss</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(216,331)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(232,261)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15,930</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6.9 %</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tax benefit</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(50,963)</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(60,840)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(9,877)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(16.2)%</w:t>
            </w:r>
          </w:p>
        </w:tc>
      </w:tr>
      <w:tr>
        <w:trPr>
          <w:trHeight w:val="199"/>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Net loss from continuing operations</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(165,368)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(171,421)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6,053</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3.5 %</w:t>
            </w:r>
          </w:p>
        </w:tc>
      </w:tr>
      <w:tr>
        <w:trPr>
          <w:trHeight w:val="20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 from discontinued operations</w:t>
            </w: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(451)</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(1,155)</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704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61.0 %</w:t>
            </w:r>
          </w:p>
        </w:tc>
      </w:tr>
      <w:tr>
        <w:trPr>
          <w:trHeight w:val="199"/>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w:t>
            </w: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(165,819)</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(172,576)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6,757</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3.9 %</w:t>
            </w:r>
          </w:p>
        </w:tc>
      </w:tr>
      <w:tr>
        <w:trPr>
          <w:trHeight w:val="186"/>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6"/>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Continuing operations</w:t>
            </w:r>
          </w:p>
        </w:tc>
        <w:tc>
          <w:tcPr>
            <w:tcW w:w="460" w:type="dxa"/>
            <w:vAlign w:val="bottom"/>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(1.26)</w:t>
            </w:r>
          </w:p>
        </w:tc>
        <w:tc>
          <w:tcPr>
            <w:tcW w:w="8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(0.03)</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(2.4)%</w:t>
            </w:r>
          </w:p>
        </w:tc>
      </w:tr>
      <w:tr>
        <w:trPr>
          <w:trHeight w:val="20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Discontinued operations</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0.01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199"/>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Consolidated</w:t>
            </w:r>
          </w:p>
        </w:tc>
        <w:tc>
          <w:tcPr>
            <w:tcW w:w="4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(1.26)</w:t>
            </w:r>
          </w:p>
        </w:tc>
        <w:tc>
          <w:tcPr>
            <w:tcW w:w="8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(1.6)%</w:t>
            </w:r>
          </w:p>
        </w:tc>
      </w:tr>
      <w:tr>
        <w:trPr>
          <w:trHeight w:val="199"/>
        </w:trPr>
        <w:tc>
          <w:tcPr>
            <w:tcW w:w="4780" w:type="dxa"/>
            <w:vAlign w:val="bottom"/>
            <w:gridSpan w:val="2"/>
            <w:shd w:val="clear" w:color="auto" w:fill="CCEEFF"/>
          </w:tcPr>
          <w:p>
            <w:pPr>
              <w:ind w:left="20"/>
              <w:spacing w:after="0" w:line="199" w:lineRule="exact"/>
              <w:rPr>
                <w:sz w:val="20"/>
                <w:szCs w:val="20"/>
                <w:color w:val="auto"/>
              </w:rPr>
            </w:pPr>
            <w:r>
              <w:rPr>
                <w:rFonts w:ascii="Arial" w:cs="Arial" w:eastAsia="Arial" w:hAnsi="Arial"/>
                <w:sz w:val="15"/>
                <w:szCs w:val="15"/>
                <w:color w:val="auto"/>
              </w:rPr>
              <w:t>Adjusted diluted EPS</w:t>
            </w:r>
            <w:r>
              <w:rPr>
                <w:rFonts w:ascii="Arial" w:cs="Arial" w:eastAsia="Arial" w:hAnsi="Arial"/>
                <w:sz w:val="20"/>
                <w:szCs w:val="20"/>
                <w:color w:val="auto"/>
                <w:vertAlign w:val="superscript"/>
              </w:rPr>
              <w:t>(1)</w:t>
            </w: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r>
      <w:tr>
        <w:trPr>
          <w:trHeight w:val="238"/>
        </w:trPr>
        <w:tc>
          <w:tcPr>
            <w:tcW w:w="4780" w:type="dxa"/>
            <w:vAlign w:val="bottom"/>
            <w:tcBorders>
              <w:bottom w:val="single" w:sz="8" w:color="CCEEFF"/>
            </w:tcBorders>
            <w:gridSpan w:val="2"/>
          </w:tcPr>
          <w:p>
            <w:pPr>
              <w:ind w:left="20"/>
              <w:spacing w:after="0" w:line="207" w:lineRule="exact"/>
              <w:rPr>
                <w:sz w:val="20"/>
                <w:szCs w:val="20"/>
                <w:color w:val="auto"/>
              </w:rPr>
            </w:pPr>
            <w:r>
              <w:rPr>
                <w:rFonts w:ascii="Arial" w:cs="Arial" w:eastAsia="Arial" w:hAnsi="Arial"/>
                <w:sz w:val="15"/>
                <w:szCs w:val="15"/>
                <w:color w:val="auto"/>
              </w:rPr>
              <w:t xml:space="preserve">EBITDA </w:t>
            </w:r>
            <w:r>
              <w:rPr>
                <w:rFonts w:ascii="Arial" w:cs="Arial" w:eastAsia="Arial" w:hAnsi="Arial"/>
                <w:sz w:val="20"/>
                <w:szCs w:val="20"/>
                <w:color w:val="auto"/>
                <w:vertAlign w:val="superscript"/>
              </w:rPr>
              <w:t>(1)</w:t>
            </w:r>
          </w:p>
        </w:tc>
        <w:tc>
          <w:tcPr>
            <w:tcW w:w="460" w:type="dxa"/>
            <w:vAlign w:val="bottom"/>
            <w:tcBorders>
              <w:bottom w:val="single" w:sz="8" w:color="CCEEFF"/>
            </w:tcBorders>
          </w:tcPr>
          <w:p>
            <w:pPr>
              <w:jc w:val="right"/>
              <w:ind w:right="283"/>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(170,007)</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jc w:val="right"/>
              <w:ind w:right="30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(187,583)</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color w:val="auto"/>
              </w:rPr>
              <w:t>17,576</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9.4 %</w:t>
            </w:r>
          </w:p>
        </w:tc>
      </w:tr>
      <w:tr>
        <w:trPr>
          <w:trHeight w:val="20"/>
        </w:trPr>
        <w:tc>
          <w:tcPr>
            <w:tcW w:w="4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56" w:lineRule="exact"/>
        <w:rPr>
          <w:sz w:val="20"/>
          <w:szCs w:val="20"/>
          <w:color w:val="auto"/>
        </w:rPr>
      </w:pPr>
    </w:p>
    <w:p>
      <w:pPr>
        <w:ind w:left="260" w:hanging="257"/>
        <w:spacing w:after="0"/>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All non-GAAP measures are results from continuing operations. See "</w:t>
      </w:r>
      <w:r>
        <w:rPr>
          <w:rFonts w:ascii="Arial" w:cs="Arial" w:eastAsia="Arial" w:hAnsi="Arial"/>
          <w:sz w:val="14"/>
          <w:szCs w:val="14"/>
          <w:u w:val="single" w:color="auto"/>
          <w:color w:val="0000FF"/>
        </w:rPr>
        <w:t>Non-GAAP Financial Information</w:t>
      </w:r>
      <w:r>
        <w:rPr>
          <w:rFonts w:ascii="Arial" w:cs="Arial" w:eastAsia="Arial" w:hAnsi="Arial"/>
          <w:sz w:val="14"/>
          <w:szCs w:val="14"/>
          <w:color w:val="auto"/>
        </w:rPr>
        <w:t>" at the end of this item for a reconciliation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602615</wp:posOffset>
            </wp:positionV>
            <wp:extent cx="220980" cy="122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2025 compared to September 30, 2024</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Revenues increased $9.7 million, or 5.0%, from the prior year. U.S. assisted tax preparation revenues increased $5.7 million, or 13.2%, due to an increase in net average charge and company-owned tax return volumes in the current year.</w:t>
      </w:r>
    </w:p>
    <w:p>
      <w:pPr>
        <w:spacing w:after="0" w:line="43"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Wave revenues increased $3.4 million, or 13.1%, due to higher accounting, invoicing, and receipts subscriptions and small business payment processing volumes.</w:t>
      </w:r>
    </w:p>
    <w:p>
      <w:pPr>
        <w:spacing w:after="0" w:line="43"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Total operating expenses decreased $11.6 million, or 2.7%, from the prior year. Field wages increased $1.6 million, or 2.4%, due to higher preseason and tax professional wages in the current year. Other wages increased $1.9 million, or 2.5% due to higher corporate wages due to salary increases. Benefits and other compensation decreased $2.1 million, or 5.4% primarily due to lower stock-based compensation expense. Occupancy expense increased $ 1.5 million, or 1.5%, primarily due to higher lease expenses. Marketing and advertising expense decreased $1.6 million, or 16.3%, due to higher vendor refunds for expired customer incentives and lower online advertising.</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 operating expenses decreased $12.4 million, or 13.1%. The components of other expenses are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September 30,</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Change</w:t>
            </w:r>
          </w:p>
        </w:tc>
      </w:tr>
      <w:tr>
        <w:trPr>
          <w:trHeight w:val="199"/>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Consulting and outsourced services</w:t>
            </w:r>
          </w:p>
        </w:tc>
        <w:tc>
          <w:tcPr>
            <w:tcW w:w="440" w:type="dxa"/>
            <w:vAlign w:val="bottom"/>
          </w:tcPr>
          <w:p>
            <w:pPr>
              <w:jc w:val="right"/>
              <w:ind w:right="26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13,157</w:t>
            </w:r>
          </w:p>
        </w:tc>
        <w:tc>
          <w:tcPr>
            <w:tcW w:w="10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15,444</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2,287</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14.8 %</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Bank partner fees</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381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Client claims and refunds</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5,445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5,944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499</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8.4 %</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Employee and travel expenses</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5,673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7.3 %</w:t>
            </w:r>
          </w:p>
        </w:tc>
      </w:tr>
      <w:tr>
        <w:trPr>
          <w:trHeight w:val="206"/>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Technology-related expenses</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26,349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24,501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(1,848)</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(7.5)%</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Credit card/bank charges</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19,377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206"/>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Insurance</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2,680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3,544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Arial" w:cs="Arial" w:eastAsia="Arial" w:hAnsi="Arial"/>
                <w:sz w:val="15"/>
                <w:szCs w:val="15"/>
                <w:color w:val="auto"/>
              </w:rPr>
              <w:t>864</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24.4 %</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Legal fees and settlements</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3,462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76.1 %</w:t>
            </w:r>
          </w:p>
        </w:tc>
      </w:tr>
      <w:tr>
        <w:trPr>
          <w:trHeight w:val="206"/>
        </w:trPr>
        <w:tc>
          <w:tcPr>
            <w:tcW w:w="5560" w:type="dxa"/>
            <w:vAlign w:val="bottom"/>
            <w:gridSpan w:val="2"/>
          </w:tcPr>
          <w:p>
            <w:pPr>
              <w:ind w:left="20"/>
              <w:spacing w:after="0"/>
              <w:rPr>
                <w:sz w:val="20"/>
                <w:szCs w:val="20"/>
                <w:color w:val="auto"/>
              </w:rPr>
            </w:pPr>
            <w:r>
              <w:rPr>
                <w:rFonts w:ascii="Arial" w:cs="Arial" w:eastAsia="Arial" w:hAnsi="Arial"/>
                <w:sz w:val="15"/>
                <w:szCs w:val="15"/>
                <w:color w:val="auto"/>
              </w:rPr>
              <w:t>Supplies</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3,099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(192)</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(6.6)%</w:t>
            </w:r>
          </w:p>
        </w:tc>
      </w:tr>
      <w:tr>
        <w:trPr>
          <w:trHeight w:val="20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3,753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3,992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239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6.0 %</w:t>
            </w:r>
          </w:p>
        </w:tc>
      </w:tr>
      <w:tr>
        <w:trPr>
          <w:trHeight w:val="236"/>
        </w:trPr>
        <w:tc>
          <w:tcPr>
            <w:tcW w:w="5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82,661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95,107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12,446</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13.1 %</w:t>
            </w:r>
          </w:p>
        </w:tc>
      </w:tr>
      <w:tr>
        <w:trPr>
          <w:trHeight w:val="20"/>
        </w:trPr>
        <w:tc>
          <w:tcPr>
            <w:tcW w:w="54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440" w:type="dxa"/>
            <w:vAlign w:val="bottom"/>
            <w:tcBorders>
              <w:top w:val="single" w:sz="8" w:color="CCEEFF"/>
            </w:tcBorders>
            <w:shd w:val="clear" w:color="auto" w:fill="000000"/>
          </w:tcPr>
          <w:p>
            <w:pPr>
              <w:spacing w:after="0" w:line="20" w:lineRule="exact"/>
              <w:rPr>
                <w:sz w:val="1"/>
                <w:szCs w:val="1"/>
                <w:color w:val="auto"/>
              </w:rPr>
            </w:pPr>
          </w:p>
        </w:tc>
      </w:tr>
    </w:tbl>
    <w:p>
      <w:pPr>
        <w:spacing w:after="0" w:line="177"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Consulting and outsourced services expense decreased $2.3 million, or 14.8%, due to lower call center expenses. Technology-related expenses increased by $1.8 million, or 7.5%, due to higher cloud-related technology spend. Legal expenses decreased $11.0 million primarily due to lower outside legal counsel spend in the current year.</w:t>
      </w:r>
    </w:p>
    <w:p>
      <w:pPr>
        <w:spacing w:after="0" w:line="60"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We recorded an income tax benefit of $51.0 million in the current year compared to $60.8 million in the prior year. The effective tax rate for the three months ended September 30, 2025, and 2024 was 23.6% and 26.2%,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These comments should be read in conjunction with the consolidated balance sheets and consolidated statements of cash flows included in </w:t>
      </w:r>
      <w:r>
        <w:rPr>
          <w:rFonts w:ascii="Arial" w:cs="Arial" w:eastAsia="Arial" w:hAnsi="Arial"/>
          <w:sz w:val="17"/>
          <w:szCs w:val="17"/>
          <w:u w:val="single" w:color="auto"/>
          <w:color w:val="0000FF"/>
        </w:rPr>
        <w:t>Part 1,</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Item 1</w:t>
      </w:r>
      <w:r>
        <w:rPr>
          <w:rFonts w:ascii="Arial" w:cs="Arial" w:eastAsia="Arial" w:hAnsi="Arial"/>
          <w:sz w:val="17"/>
          <w:szCs w:val="17"/>
          <w:color w:val="000000"/>
        </w:rPr>
        <w: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CAPITAL RESOURCES AND LIQUIDITY </w:t>
      </w:r>
      <w:r>
        <w:rPr>
          <w:rFonts w:ascii="Arial" w:cs="Arial" w:eastAsia="Arial" w:hAnsi="Arial"/>
          <w:sz w:val="17"/>
          <w:szCs w:val="17"/>
          <w:color w:val="auto"/>
        </w:rPr>
        <w:t>–</w:t>
      </w:r>
    </w:p>
    <w:p>
      <w:pPr>
        <w:spacing w:after="0" w:line="114"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 Our primary sources of capital and liquidity include cash from operations (including changes in working capital), draws on our</w:t>
      </w:r>
      <w:r>
        <w:rPr>
          <w:rFonts w:ascii="Arial" w:cs="Arial" w:eastAsia="Arial" w:hAnsi="Arial"/>
          <w:sz w:val="17"/>
          <w:szCs w:val="17"/>
          <w:b w:val="1"/>
          <w:bCs w:val="1"/>
          <w:color w:val="auto"/>
        </w:rPr>
        <w:t xml:space="preserve"> </w:t>
      </w:r>
      <w:r>
        <w:rPr>
          <w:rFonts w:ascii="Arial" w:cs="Arial" w:eastAsia="Arial" w:hAnsi="Arial"/>
          <w:sz w:val="17"/>
          <w:szCs w:val="17"/>
          <w:color w:val="auto"/>
        </w:rPr>
        <w:t>unsecured committed line of credit (CLOC), and issuances of debt. We use our sources of liquidity primarily to fund working capital, service and repay debt, pay dividends, repurchase shares of our common stock, and acquire businesses.</w:t>
      </w:r>
    </w:p>
    <w:p>
      <w:pPr>
        <w:spacing w:after="0" w:line="59"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588645</wp:posOffset>
            </wp:positionV>
            <wp:extent cx="212725" cy="1225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hanging="266"/>
        <w:spacing w:after="0"/>
        <w:tabs>
          <w:tab w:leader="none" w:pos="360" w:val="left"/>
        </w:tabs>
        <w:numPr>
          <w:ilvl w:val="0"/>
          <w:numId w:val="14"/>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January. We typically have relied on available cash balances from the prior tax season and borrowings to meet liquidity needs.</w:t>
      </w:r>
    </w:p>
    <w:p>
      <w:pPr>
        <w:spacing w:after="0" w:line="11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Given the likely availability of a number of liquidity options discussed herein, we believe that, in the absence of any unexpected developments, our existing sources of capital as of September 30, 2025 are sufficient to meet our operating, investing and financing needs.</w:t>
      </w:r>
    </w:p>
    <w:p>
      <w:pPr>
        <w:spacing w:after="0" w:line="41"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DISCUSSION OF CONSOLIDATED STATEMENTS OF CASH FLOWS </w:t>
      </w:r>
      <w:r>
        <w:rPr>
          <w:rFonts w:ascii="Arial" w:cs="Arial" w:eastAsia="Arial" w:hAnsi="Arial"/>
          <w:sz w:val="17"/>
          <w:szCs w:val="17"/>
          <w:color w:val="auto"/>
        </w:rPr>
        <w:t>– The following table summarizes our statements of cash flows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three months ended September 30, 2025 and 2024. See </w:t>
      </w:r>
      <w:r>
        <w:rPr>
          <w:rFonts w:ascii="Arial" w:cs="Arial" w:eastAsia="Arial" w:hAnsi="Arial"/>
          <w:sz w:val="17"/>
          <w:szCs w:val="17"/>
          <w:u w:val="single" w:color="auto"/>
          <w:color w:val="0000FF"/>
        </w:rPr>
        <w:t>Item 1</w:t>
      </w:r>
      <w:r>
        <w:rPr>
          <w:rFonts w:ascii="Arial" w:cs="Arial" w:eastAsia="Arial" w:hAnsi="Arial"/>
          <w:sz w:val="17"/>
          <w:szCs w:val="17"/>
          <w:color w:val="auto"/>
        </w:rPr>
        <w:t xml:space="preserve"> for the complete consolidated statements of cash flows for these periods.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Three months ended September 30,</w:t>
            </w:r>
          </w:p>
        </w:tc>
        <w:tc>
          <w:tcPr>
            <w:tcW w:w="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r>
      <w:tr>
        <w:trPr>
          <w:trHeight w:val="198"/>
        </w:trPr>
        <w:tc>
          <w:tcPr>
            <w:tcW w:w="7280" w:type="dxa"/>
            <w:vAlign w:val="bottom"/>
            <w:gridSpan w:val="2"/>
          </w:tcPr>
          <w:p>
            <w:pPr>
              <w:ind w:left="20"/>
              <w:spacing w:after="0"/>
              <w:rPr>
                <w:sz w:val="20"/>
                <w:szCs w:val="20"/>
                <w:color w:val="auto"/>
              </w:rPr>
            </w:pPr>
            <w:r>
              <w:rPr>
                <w:rFonts w:ascii="Arial" w:cs="Arial" w:eastAsia="Arial" w:hAnsi="Arial"/>
                <w:sz w:val="15"/>
                <w:szCs w:val="15"/>
                <w:color w:val="auto"/>
              </w:rPr>
              <w:t>Net cash provided by (used in):</w:t>
            </w: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activities</w:t>
            </w:r>
          </w:p>
        </w:tc>
        <w:tc>
          <w:tcPr>
            <w:tcW w:w="680" w:type="dxa"/>
            <w:vAlign w:val="bottom"/>
            <w:shd w:val="clear" w:color="auto" w:fill="CCEEFF"/>
          </w:tcPr>
          <w:p>
            <w:pPr>
              <w:jc w:val="right"/>
              <w:ind w:right="483"/>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(356,838)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(328,581)</w:t>
            </w:r>
          </w:p>
        </w:tc>
      </w:tr>
      <w:tr>
        <w:trPr>
          <w:trHeight w:val="206"/>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Investing activities</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(20,926)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(26,394)</w:t>
            </w:r>
          </w:p>
        </w:tc>
      </w:tr>
      <w:tr>
        <w:trPr>
          <w:trHeight w:val="206"/>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Financing activities</w:t>
            </w: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(225,025)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(284,450)</w:t>
            </w:r>
          </w:p>
        </w:tc>
      </w:tr>
      <w:tr>
        <w:trPr>
          <w:trHeight w:val="206"/>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Effects of exchange rates on cash</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(2,949)</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3,249</w:t>
            </w:r>
          </w:p>
        </w:tc>
      </w:tr>
      <w:tr>
        <w:trPr>
          <w:trHeight w:val="19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decrease in cash and cash equivalents, including restricted balances</w:t>
            </w:r>
          </w:p>
        </w:tc>
        <w:tc>
          <w:tcPr>
            <w:tcW w:w="68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(605,738)</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(636,176)</w:t>
            </w:r>
          </w:p>
        </w:tc>
      </w:tr>
      <w:tr>
        <w:trPr>
          <w:trHeight w:val="32"/>
        </w:trPr>
        <w:tc>
          <w:tcPr>
            <w:tcW w:w="7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62"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Cash used in operations totaled $356.8 million for the three months ended September 30, 2025 compared to $328.6</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the prior year period. The increase is primarily due to changes in accrued income taxes and other current liabilities, partially offset by a lower net loss.</w:t>
      </w:r>
    </w:p>
    <w:p>
      <w:pPr>
        <w:spacing w:after="0" w:line="57"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in investing activities totaled $20.9 million for the three months ended September 30, 2025 compared to $26.4</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the prior year period. The decrease is primarily due to lower capital expenditures.</w:t>
      </w:r>
    </w:p>
    <w:p>
      <w:pPr>
        <w:spacing w:after="0" w:line="40"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used in financing activities totaled $225.0 million for the three months ended September 30, 2025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$284.5 million in the prior year period. The change is primarily due to proceeds from line of credit borrowings partially offset by higher repurchases of common stock.</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CASH REQUIREMENTS </w:t>
      </w:r>
      <w:r>
        <w:rPr>
          <w:rFonts w:ascii="Arial" w:cs="Arial" w:eastAsia="Arial" w:hAnsi="Arial"/>
          <w:sz w:val="17"/>
          <w:szCs w:val="17"/>
          <w:color w:val="auto"/>
        </w:rPr>
        <w:t>–</w:t>
      </w:r>
    </w:p>
    <w:p>
      <w:pPr>
        <w:spacing w:after="0" w:line="114"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Dividends and Share Repurchases. </w:t>
      </w:r>
      <w:r>
        <w:rPr>
          <w:rFonts w:ascii="Arial" w:cs="Arial" w:eastAsia="Arial" w:hAnsi="Arial"/>
          <w:sz w:val="17"/>
          <w:szCs w:val="17"/>
          <w:color w:val="auto"/>
        </w:rPr>
        <w:t>Returning capital to shareholders in the form of dividends and the repurchase of outstanding shares is,</w:t>
      </w:r>
      <w:r>
        <w:rPr>
          <w:rFonts w:ascii="Arial" w:cs="Arial" w:eastAsia="Arial" w:hAnsi="Arial"/>
          <w:sz w:val="17"/>
          <w:szCs w:val="17"/>
          <w:b w:val="1"/>
          <w:bCs w:val="1"/>
          <w:color w:val="auto"/>
        </w:rPr>
        <w:t xml:space="preserve"> </w:t>
      </w:r>
      <w:r>
        <w:rPr>
          <w:rFonts w:ascii="Arial" w:cs="Arial" w:eastAsia="Arial" w:hAnsi="Arial"/>
          <w:sz w:val="17"/>
          <w:szCs w:val="17"/>
          <w:color w:val="auto"/>
        </w:rPr>
        <w:t>and has historically been, a significant component of our capital allocation plan.</w:t>
      </w:r>
    </w:p>
    <w:p>
      <w:pPr>
        <w:spacing w:after="0" w:line="42"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We have consistently paid quarterly dividends. Dividends paid totaled $50.2 million and $44.7 million for the three months ended September 30, 2025 and 2024, respectively. Although we have historically paid dividends and plan to continue to do so, there can be no assurances that circumstances will not change in the future that could affect our ability or decisions to pay dividends.</w:t>
      </w:r>
    </w:p>
    <w:p>
      <w:pPr>
        <w:spacing w:after="0" w:line="60"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During the three months ended September 30, 2025, we repurchased $400.1 million of our common stock at an average price of $50.90 per share, excluding excise taxes in connection with such repurchases. In the prior year period, we repurchased $209.6 million of our common stock at an average price of $63.51 per share, excluding excise taxes in connection with such repurchases. Our current share repurchase program has remaining authorization of $700.0 million and does not have an expiration date.</w:t>
      </w:r>
    </w:p>
    <w:p>
      <w:pPr>
        <w:spacing w:after="0" w:line="65"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63" w:lineRule="exact"/>
        <w:rPr>
          <w:sz w:val="20"/>
          <w:szCs w:val="20"/>
          <w:color w:val="auto"/>
        </w:rPr>
      </w:pPr>
    </w:p>
    <w:p>
      <w:pPr>
        <w:jc w:val="both"/>
        <w:ind w:firstLine="260"/>
        <w:spacing w:after="0" w:line="266" w:lineRule="auto"/>
        <w:rPr>
          <w:sz w:val="20"/>
          <w:szCs w:val="20"/>
          <w:color w:val="auto"/>
        </w:rPr>
      </w:pPr>
      <w:r>
        <w:rPr>
          <w:rFonts w:ascii="Arial" w:cs="Arial" w:eastAsia="Arial" w:hAnsi="Arial"/>
          <w:sz w:val="17"/>
          <w:szCs w:val="17"/>
          <w:b w:val="1"/>
          <w:bCs w:val="1"/>
          <w:color w:val="auto"/>
        </w:rPr>
        <w:t xml:space="preserve">Capital Investment. </w:t>
      </w:r>
      <w:r>
        <w:rPr>
          <w:rFonts w:ascii="Arial" w:cs="Arial" w:eastAsia="Arial" w:hAnsi="Arial"/>
          <w:sz w:val="17"/>
          <w:szCs w:val="17"/>
          <w:color w:val="auto"/>
        </w:rPr>
        <w:t>Capital expenditures totaled $13.2 million and $18.7 million for the three months ended September 30, 2025 and 2024,</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599440</wp:posOffset>
            </wp:positionV>
            <wp:extent cx="220980" cy="122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totaling $5.1 million and $5.9 million during the three months ended September 30, 2025 and 2024, respectively. See </w:t>
      </w:r>
      <w:r>
        <w:rPr>
          <w:rFonts w:ascii="Arial" w:cs="Arial" w:eastAsia="Arial" w:hAnsi="Arial"/>
          <w:sz w:val="17"/>
          <w:szCs w:val="17"/>
          <w:u w:val="single" w:color="auto"/>
          <w:color w:val="0000FF"/>
        </w:rPr>
        <w:t>Item 1, note 5</w:t>
      </w:r>
      <w:r>
        <w:rPr>
          <w:rFonts w:ascii="Arial" w:cs="Arial" w:eastAsia="Arial" w:hAnsi="Arial"/>
          <w:sz w:val="17"/>
          <w:szCs w:val="17"/>
          <w:color w:val="auto"/>
        </w:rPr>
        <w:t xml:space="preserve"> for additional information on our acquisitions.</w:t>
      </w:r>
    </w:p>
    <w:p>
      <w:pPr>
        <w:spacing w:after="0" w:line="41"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7"/>
          <w:szCs w:val="17"/>
          <w:b w:val="1"/>
          <w:bCs w:val="1"/>
          <w:color w:val="auto"/>
        </w:rPr>
        <w:t xml:space="preserve">FINANCING RESOURCES </w:t>
      </w:r>
      <w:r>
        <w:rPr>
          <w:rFonts w:ascii="Arial" w:cs="Arial" w:eastAsia="Arial" w:hAnsi="Arial"/>
          <w:sz w:val="17"/>
          <w:szCs w:val="17"/>
          <w:color w:val="auto"/>
        </w:rPr>
        <w:t>– The 2025 CLOC has capacity up to $1.5 billion and is scheduled to expire in July 2030. Proceeds under the 2025</w:t>
      </w:r>
      <w:r>
        <w:rPr>
          <w:rFonts w:ascii="Arial" w:cs="Arial" w:eastAsia="Arial" w:hAnsi="Arial"/>
          <w:sz w:val="17"/>
          <w:szCs w:val="17"/>
          <w:b w:val="1"/>
          <w:bCs w:val="1"/>
          <w:color w:val="auto"/>
        </w:rPr>
        <w:t xml:space="preserve"> </w:t>
      </w:r>
      <w:r>
        <w:rPr>
          <w:rFonts w:ascii="Arial" w:cs="Arial" w:eastAsia="Arial" w:hAnsi="Arial"/>
          <w:sz w:val="17"/>
          <w:szCs w:val="17"/>
          <w:color w:val="auto"/>
        </w:rPr>
        <w:t>CLOC may be used for working capital needs or for other general corporate purposes. We had an outstanding balance of $245.0 million under our 2025 CLOC and amounts available to borrow were not limited by the debt-to-EBITDA covenant as of September 30, 2025.</w:t>
      </w:r>
    </w:p>
    <w:p>
      <w:pPr>
        <w:spacing w:after="0" w:line="59"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On August 26, 2025, we issued the 2032 Senior Notes. We intend to use the net proceeds from the 2032 Senior Notes for general corporate purposes, which may include, among other uses, redeeming the 2025 Senior Notes. We redeemed our 2025 Senior Notes at 100% of the principal amount, plus accrued and unpaid interest, on September 19, 2025.</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ratings for debt issued by Block Financial LLC (Block Financial) as of September 30, 2025 and June 30,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Borders>
              <w:top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5"/>
          </w:tcPr>
          <w:p>
            <w:pPr>
              <w:ind w:left="1180"/>
              <w:spacing w:after="0"/>
              <w:rPr>
                <w:sz w:val="20"/>
                <w:szCs w:val="20"/>
                <w:color w:val="auto"/>
              </w:rPr>
            </w:pPr>
            <w:r>
              <w:rPr>
                <w:rFonts w:ascii="Arial" w:cs="Arial" w:eastAsia="Arial" w:hAnsi="Arial"/>
                <w:sz w:val="15"/>
                <w:szCs w:val="15"/>
                <w:b w:val="1"/>
                <w:bCs w:val="1"/>
                <w:color w:val="auto"/>
              </w:rPr>
              <w:t>September 30, 2025</w:t>
            </w: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5"/>
                <w:szCs w:val="15"/>
                <w:color w:val="auto"/>
              </w:rPr>
              <w:t>June 30, 2025</w:t>
            </w:r>
          </w:p>
        </w:tc>
        <w:tc>
          <w:tcPr>
            <w:tcW w:w="1220" w:type="dxa"/>
            <w:vAlign w:val="bottom"/>
            <w:tcBorders>
              <w:top w:val="single" w:sz="8" w:color="auto"/>
              <w:bottom w:val="single" w:sz="8" w:color="auto"/>
            </w:tcBorders>
          </w:tcPr>
          <w:p>
            <w:pPr>
              <w:spacing w:after="0"/>
              <w:rPr>
                <w:sz w:val="19"/>
                <w:szCs w:val="19"/>
                <w:color w:val="auto"/>
              </w:rPr>
            </w:pPr>
          </w:p>
        </w:tc>
      </w:tr>
      <w:tr>
        <w:trPr>
          <w:trHeight w:val="198"/>
        </w:trPr>
        <w:tc>
          <w:tcPr>
            <w:tcW w:w="3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Short-term</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Long-term</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Outlook</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Short-term</w:t>
            </w: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Long-term</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Outlook</w:t>
            </w:r>
          </w:p>
        </w:tc>
      </w:tr>
      <w:tr>
        <w:trPr>
          <w:trHeight w:val="200"/>
        </w:trPr>
        <w:tc>
          <w:tcPr>
            <w:tcW w:w="3480" w:type="dxa"/>
            <w:vAlign w:val="bottom"/>
            <w:gridSpan w:val="2"/>
          </w:tcPr>
          <w:p>
            <w:pPr>
              <w:ind w:left="20"/>
              <w:spacing w:after="0"/>
              <w:rPr>
                <w:sz w:val="20"/>
                <w:szCs w:val="20"/>
                <w:color w:val="auto"/>
              </w:rPr>
            </w:pPr>
            <w:r>
              <w:rPr>
                <w:rFonts w:ascii="Arial" w:cs="Arial" w:eastAsia="Arial" w:hAnsi="Arial"/>
                <w:sz w:val="15"/>
                <w:szCs w:val="15"/>
                <w:color w:val="auto"/>
              </w:rPr>
              <w:t>Moody's</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P-3</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Baa3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Stable</w:t>
            </w:r>
          </w:p>
        </w:tc>
        <w:tc>
          <w:tcPr>
            <w:tcW w:w="1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P-3</w:t>
            </w:r>
          </w:p>
        </w:tc>
        <w:tc>
          <w:tcPr>
            <w:tcW w:w="1320" w:type="dxa"/>
            <w:vAlign w:val="bottom"/>
            <w:gridSpan w:val="2"/>
          </w:tcPr>
          <w:p>
            <w:pPr>
              <w:jc w:val="right"/>
              <w:ind w:right="100"/>
              <w:spacing w:after="0"/>
              <w:rPr>
                <w:sz w:val="20"/>
                <w:szCs w:val="20"/>
                <w:color w:val="auto"/>
              </w:rPr>
            </w:pPr>
            <w:r>
              <w:rPr>
                <w:rFonts w:ascii="Arial" w:cs="Arial" w:eastAsia="Arial" w:hAnsi="Arial"/>
                <w:sz w:val="15"/>
                <w:szCs w:val="15"/>
                <w:color w:val="auto"/>
              </w:rPr>
              <w:t>Baa3</w:t>
            </w:r>
          </w:p>
        </w:tc>
        <w:tc>
          <w:tcPr>
            <w:tcW w:w="1220" w:type="dxa"/>
            <w:vAlign w:val="bottom"/>
          </w:tcPr>
          <w:p>
            <w:pPr>
              <w:jc w:val="right"/>
              <w:spacing w:after="0"/>
              <w:rPr>
                <w:sz w:val="20"/>
                <w:szCs w:val="20"/>
                <w:color w:val="auto"/>
              </w:rPr>
            </w:pPr>
            <w:r>
              <w:rPr>
                <w:rFonts w:ascii="Arial" w:cs="Arial" w:eastAsia="Arial" w:hAnsi="Arial"/>
                <w:sz w:val="15"/>
                <w:szCs w:val="15"/>
                <w:color w:val="auto"/>
              </w:rPr>
              <w:t>Stable</w:t>
            </w:r>
          </w:p>
        </w:tc>
      </w:tr>
      <w:tr>
        <w:trPr>
          <w:trHeight w:val="206"/>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S&amp;P</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A-2</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BBB</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Stable</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A-2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BBB</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Stable</w:t>
            </w:r>
          </w:p>
        </w:tc>
      </w:tr>
      <w:tr>
        <w:trPr>
          <w:trHeight w:val="52"/>
        </w:trPr>
        <w:tc>
          <w:tcPr>
            <w:tcW w:w="3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16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Other than described above, there have been no material changes in our borrowings from those reported as of June 30, 2025 in our Annual Report on Form 10-K.</w:t>
      </w:r>
    </w:p>
    <w:p>
      <w:pPr>
        <w:spacing w:after="0" w:line="41"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CASH AND OTHER ASSETS </w:t>
      </w:r>
      <w:r>
        <w:rPr>
          <w:rFonts w:ascii="Arial" w:cs="Arial" w:eastAsia="Arial" w:hAnsi="Arial"/>
          <w:sz w:val="17"/>
          <w:szCs w:val="17"/>
          <w:color w:val="auto"/>
        </w:rPr>
        <w:t>– As of September 30, 2025, we held cash and cash equivalents, excluding restricted amounts, of $376.4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$213.1 million held by our foreign subsidiaries.</w:t>
      </w:r>
    </w:p>
    <w:p>
      <w:pPr>
        <w:spacing w:after="0" w:line="40"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Foreign Operations. </w:t>
      </w:r>
      <w:r>
        <w:rPr>
          <w:rFonts w:ascii="Arial" w:cs="Arial" w:eastAsia="Arial" w:hAnsi="Arial"/>
          <w:sz w:val="17"/>
          <w:szCs w:val="17"/>
          <w:color w:val="auto"/>
        </w:rPr>
        <w:t>Seasonal borrowing needs of our Canadian operations are typically funded by our U.S. operations. To mitigate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risk, we sometimes enter into foreign exchange forward contracts. There were no forward contracts outstanding as of September 30, 2025.</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do not currently intend to repatriate non-borrowed funds held by our foreign subsidiaries in a manner that would trigger a tax liability.</w:t>
      </w:r>
    </w:p>
    <w:p>
      <w:pPr>
        <w:spacing w:after="0" w:line="11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The impact of changes in foreign exchange rates during the period on our international cash balances resulted in a decrease of $2.9 million during the three months ended September 30, 2025 and in an increase of $3.2 million during the three months ended September 30, 2024.</w:t>
      </w:r>
    </w:p>
    <w:p>
      <w:pPr>
        <w:spacing w:after="0" w:line="41"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7"/>
          <w:szCs w:val="17"/>
          <w:b w:val="1"/>
          <w:bCs w:val="1"/>
          <w:color w:val="auto"/>
        </w:rPr>
        <w:t xml:space="preserve">CONTRACTUAL OBLIGATIONS AND COMMERCIAL COMMITMENTS </w:t>
      </w:r>
      <w:r>
        <w:rPr>
          <w:rFonts w:ascii="Arial" w:cs="Arial" w:eastAsia="Arial" w:hAnsi="Arial"/>
          <w:sz w:val="17"/>
          <w:szCs w:val="17"/>
          <w:color w:val="auto"/>
        </w:rPr>
        <w:t>– Except as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Recent Developments</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the 2025</w:t>
      </w:r>
      <w:r>
        <w:rPr>
          <w:rFonts w:ascii="Arial" w:cs="Arial" w:eastAsia="Arial" w:hAnsi="Arial"/>
          <w:sz w:val="17"/>
          <w:szCs w:val="17"/>
          <w:b w:val="1"/>
          <w:bCs w:val="1"/>
          <w:color w:val="auto"/>
        </w:rPr>
        <w:t xml:space="preserve"> </w:t>
      </w:r>
      <w:r>
        <w:rPr>
          <w:rFonts w:ascii="Arial" w:cs="Arial" w:eastAsia="Arial" w:hAnsi="Arial"/>
          <w:sz w:val="17"/>
          <w:szCs w:val="17"/>
          <w:color w:val="auto"/>
        </w:rPr>
        <w:t>CLOC, the 2032 Senior Notes issuance and the 2025 Senior Notes redemption, there have been no other material changes in our contractual obligations and commercial commitments from those reported in our June 30, 2025 Annual Report on Form 10-K.</w:t>
      </w:r>
    </w:p>
    <w:p>
      <w:pPr>
        <w:spacing w:after="0" w:line="57"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7"/>
          <w:szCs w:val="17"/>
          <w:b w:val="1"/>
          <w:bCs w:val="1"/>
          <w:color w:val="auto"/>
        </w:rPr>
        <w:t xml:space="preserve">SUMMARIZED GUARANTOR FINANCIAL STATEMENTS </w:t>
      </w:r>
      <w:r>
        <w:rPr>
          <w:rFonts w:ascii="Arial" w:cs="Arial" w:eastAsia="Arial" w:hAnsi="Arial"/>
          <w:sz w:val="17"/>
          <w:szCs w:val="17"/>
          <w:color w:val="auto"/>
        </w:rPr>
        <w:t>– Block Financial is a 100% owned subsidiary of H&amp;R Block, Inc. Block Financial is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Issuer and H&amp;R Block, Inc. is the full and unconditional Guarantor of our Senior Notes, CLOC and other indebtedness issued from time to time.</w:t>
      </w:r>
    </w:p>
    <w:p>
      <w:pPr>
        <w:spacing w:after="0" w:line="42"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SUMMARIZED BALANCE SHEET - GUARANTOR AND ISSUER</w:t>
            </w:r>
          </w:p>
        </w:tc>
        <w:tc>
          <w:tcPr>
            <w:tcW w:w="3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99"/>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As of</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2025</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2025</w:t>
            </w:r>
          </w:p>
        </w:tc>
      </w:tr>
      <w:tr>
        <w:trPr>
          <w:trHeight w:val="199"/>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Current assets</w:t>
            </w:r>
          </w:p>
        </w:tc>
        <w:tc>
          <w:tcPr>
            <w:tcW w:w="320" w:type="dxa"/>
            <w:vAlign w:val="bottom"/>
          </w:tcPr>
          <w:p>
            <w:pPr>
              <w:jc w:val="right"/>
              <w:ind w:right="143"/>
              <w:spacing w:after="0"/>
              <w:rPr>
                <w:sz w:val="20"/>
                <w:szCs w:val="20"/>
                <w:color w:val="auto"/>
              </w:rPr>
            </w:pPr>
            <w:r>
              <w:rPr>
                <w:rFonts w:ascii="Arial" w:cs="Arial" w:eastAsia="Arial" w:hAnsi="Arial"/>
                <w:sz w:val="15"/>
                <w:szCs w:val="15"/>
                <w:b w:val="1"/>
                <w:bCs w:val="1"/>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40,457</w:t>
            </w:r>
          </w:p>
        </w:tc>
        <w:tc>
          <w:tcPr>
            <w:tcW w:w="100" w:type="dxa"/>
            <w:vAlign w:val="bottom"/>
          </w:tcPr>
          <w:p>
            <w:pPr>
              <w:spacing w:after="0"/>
              <w:rPr>
                <w:sz w:val="17"/>
                <w:szCs w:val="17"/>
                <w:color w:val="auto"/>
              </w:rPr>
            </w:pPr>
          </w:p>
        </w:tc>
        <w:tc>
          <w:tcPr>
            <w:tcW w:w="560" w:type="dxa"/>
            <w:vAlign w:val="bottom"/>
          </w:tcPr>
          <w:p>
            <w:pPr>
              <w:jc w:val="right"/>
              <w:ind w:right="38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38,254</w:t>
            </w:r>
          </w:p>
        </w:tc>
      </w:tr>
      <w:tr>
        <w:trPr>
          <w:trHeight w:val="20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 assets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2,066,122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1,836,847</w:t>
            </w:r>
          </w:p>
        </w:tc>
      </w:tr>
      <w:tr>
        <w:trPr>
          <w:trHeight w:val="20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Current liabilities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75,409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432,139</w:t>
            </w:r>
          </w:p>
        </w:tc>
      </w:tr>
      <w:tr>
        <w:trPr>
          <w:trHeight w:val="20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Noncurrent liabilities</w:t>
            </w: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1,741,597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1,148,806</w:t>
            </w:r>
          </w:p>
        </w:tc>
      </w:tr>
      <w:tr>
        <w:trPr>
          <w:trHeight w:val="52"/>
        </w:trPr>
        <w:tc>
          <w:tcPr>
            <w:tcW w:w="7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662940</wp:posOffset>
            </wp:positionV>
            <wp:extent cx="212725" cy="1225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266"/>
        <w:spacing w:after="0"/>
        <w:tabs>
          <w:tab w:leader="none" w:pos="36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SUMMARIZED STATEMENTS OF OPERATIONS - GUARANTOR AND ISSUER</w:t>
            </w:r>
          </w:p>
        </w:tc>
        <w:tc>
          <w:tcPr>
            <w:tcW w:w="28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48"/>
        </w:trPr>
        <w:tc>
          <w:tcPr>
            <w:tcW w:w="7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tcPr>
          <w:p>
            <w:pPr>
              <w:jc w:val="right"/>
              <w:ind w:right="120"/>
              <w:spacing w:after="0" w:line="148" w:lineRule="exact"/>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2"/>
                <w:szCs w:val="12"/>
                <w:color w:val="auto"/>
              </w:rPr>
            </w:pPr>
          </w:p>
        </w:tc>
        <w:tc>
          <w:tcPr>
            <w:tcW w:w="1720" w:type="dxa"/>
            <w:vAlign w:val="bottom"/>
          </w:tcPr>
          <w:p>
            <w:pPr>
              <w:jc w:val="right"/>
              <w:spacing w:after="0" w:line="148" w:lineRule="exact"/>
              <w:rPr>
                <w:sz w:val="20"/>
                <w:szCs w:val="20"/>
                <w:color w:val="auto"/>
              </w:rPr>
            </w:pPr>
            <w:r>
              <w:rPr>
                <w:rFonts w:ascii="Arial" w:cs="Arial" w:eastAsia="Arial" w:hAnsi="Arial"/>
                <w:sz w:val="15"/>
                <w:szCs w:val="15"/>
                <w:color w:val="auto"/>
              </w:rPr>
              <w:t>Twelve months ended</w:t>
            </w:r>
          </w:p>
        </w:tc>
      </w:tr>
      <w:tr>
        <w:trPr>
          <w:trHeight w:val="206"/>
        </w:trPr>
        <w:tc>
          <w:tcPr>
            <w:tcW w:w="7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June 30, 2025</w:t>
            </w:r>
          </w:p>
        </w:tc>
      </w:tr>
      <w:tr>
        <w:trPr>
          <w:trHeight w:val="199"/>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Total revenues</w:t>
            </w:r>
          </w:p>
        </w:tc>
        <w:tc>
          <w:tcPr>
            <w:tcW w:w="28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b w:val="1"/>
                <w:bCs w:val="1"/>
                <w:color w:val="auto"/>
              </w:rPr>
              <w:t>8,766</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126,240</w:t>
            </w:r>
          </w:p>
        </w:tc>
      </w:tr>
      <w:tr>
        <w:trPr>
          <w:trHeight w:val="20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 before income taxes</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58,596</w:t>
            </w:r>
          </w:p>
        </w:tc>
      </w:tr>
      <w:tr>
        <w:trPr>
          <w:trHeight w:val="206"/>
        </w:trPr>
        <w:tc>
          <w:tcPr>
            <w:tcW w:w="7140" w:type="dxa"/>
            <w:vAlign w:val="bottom"/>
            <w:gridSpan w:val="2"/>
          </w:tcPr>
          <w:p>
            <w:pPr>
              <w:ind w:left="20"/>
              <w:spacing w:after="0"/>
              <w:rPr>
                <w:sz w:val="20"/>
                <w:szCs w:val="20"/>
                <w:color w:val="auto"/>
              </w:rPr>
            </w:pPr>
            <w:r>
              <w:rPr>
                <w:rFonts w:ascii="Arial" w:cs="Arial" w:eastAsia="Arial" w:hAnsi="Arial"/>
                <w:sz w:val="15"/>
                <w:szCs w:val="15"/>
                <w:color w:val="auto"/>
              </w:rPr>
              <w:t>Net income from continuing operations</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b w:val="1"/>
                <w:bCs w:val="1"/>
                <w:color w:val="auto"/>
              </w:rPr>
              <w:t>6,672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45,120</w:t>
            </w:r>
          </w:p>
        </w:tc>
      </w:tr>
      <w:tr>
        <w:trPr>
          <w:trHeight w:val="206"/>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6,221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41,443</w:t>
            </w:r>
          </w:p>
        </w:tc>
      </w:tr>
      <w:tr>
        <w:trPr>
          <w:trHeight w:val="52"/>
        </w:trPr>
        <w:tc>
          <w:tcPr>
            <w:tcW w:w="7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bl>
    <w:p>
      <w:pPr>
        <w:spacing w:after="0" w:line="177"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7"/>
          <w:szCs w:val="17"/>
          <w:color w:val="auto"/>
        </w:rPr>
        <w:t>The table above reflects $2.0 billion and $1.8 billion of non-current intercompany receivables due to the Issuer from non-guarantor subsidiaries as of September 30, 2025 and June 30, 2025,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ENVIRONMENT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regulatory environment from what was reported in our June 30, 2025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INFORMATION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Non-GAAP financial measures should not be considered as a substitute for, or superior to, measures of financial performance prepared in accordance with U.S. generally accepted accounting principles (GAAP). Because these measures are not measures of financial performance under GAAP and are susceptible to varying calculations, they may not be comparable to similarly titled measures for other companies.</w:t>
      </w:r>
    </w:p>
    <w:p>
      <w:pPr>
        <w:spacing w:after="0" w:line="60"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spacing w:after="0" w:line="65"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reconciliation of net loss to EBITDA from continuing operations, which is a non-GAAP financial measure:</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2"/>
        </w:trPr>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5"/>
                <w:szCs w:val="15"/>
                <w:color w:val="auto"/>
              </w:rPr>
              <w:t>Three months ended September 30,</w:t>
            </w:r>
          </w:p>
        </w:tc>
      </w:tr>
      <w:tr>
        <w:trPr>
          <w:trHeight w:val="200"/>
        </w:trPr>
        <w:tc>
          <w:tcPr>
            <w:tcW w:w="73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r>
      <w:tr>
        <w:trPr>
          <w:trHeight w:val="199"/>
        </w:trPr>
        <w:tc>
          <w:tcPr>
            <w:tcW w:w="7480" w:type="dxa"/>
            <w:vAlign w:val="bottom"/>
            <w:gridSpan w:val="2"/>
          </w:tcPr>
          <w:p>
            <w:pPr>
              <w:ind w:left="20"/>
              <w:spacing w:after="0"/>
              <w:rPr>
                <w:sz w:val="20"/>
                <w:szCs w:val="20"/>
                <w:color w:val="auto"/>
              </w:rPr>
            </w:pPr>
            <w:r>
              <w:rPr>
                <w:rFonts w:ascii="Arial" w:cs="Arial" w:eastAsia="Arial" w:hAnsi="Arial"/>
                <w:sz w:val="15"/>
                <w:szCs w:val="15"/>
                <w:color w:val="auto"/>
              </w:rPr>
              <w:t>Net loss - as reported</w:t>
            </w: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(165,819)</w:t>
            </w:r>
          </w:p>
        </w:tc>
        <w:tc>
          <w:tcPr>
            <w:tcW w:w="100" w:type="dxa"/>
            <w:vAlign w:val="bottom"/>
          </w:tcPr>
          <w:p>
            <w:pPr>
              <w:spacing w:after="0"/>
              <w:rPr>
                <w:sz w:val="17"/>
                <w:szCs w:val="17"/>
                <w:color w:val="auto"/>
              </w:rPr>
            </w:pPr>
          </w:p>
        </w:tc>
        <w:tc>
          <w:tcPr>
            <w:tcW w:w="600" w:type="dxa"/>
            <w:vAlign w:val="bottom"/>
          </w:tcPr>
          <w:p>
            <w:pPr>
              <w:jc w:val="right"/>
              <w:ind w:right="42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(172,576)</w:t>
            </w:r>
          </w:p>
        </w:tc>
      </w:tr>
      <w:tr>
        <w:trPr>
          <w:trHeight w:val="20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Discontinued operations, net</w:t>
            </w:r>
          </w:p>
        </w:tc>
        <w:tc>
          <w:tcPr>
            <w:tcW w:w="3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451</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1,155</w:t>
            </w:r>
          </w:p>
        </w:tc>
      </w:tr>
      <w:tr>
        <w:trPr>
          <w:trHeight w:val="199"/>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 from continuing operations - as reported</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(165,368)</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(171,421)</w:t>
            </w:r>
          </w:p>
        </w:tc>
      </w:tr>
      <w:tr>
        <w:trPr>
          <w:trHeight w:val="18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Add back:</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6"/>
        </w:trPr>
        <w:tc>
          <w:tcPr>
            <w:tcW w:w="7480" w:type="dxa"/>
            <w:vAlign w:val="bottom"/>
            <w:gridSpan w:val="2"/>
          </w:tcPr>
          <w:p>
            <w:pPr>
              <w:ind w:left="140"/>
              <w:spacing w:after="0"/>
              <w:rPr>
                <w:sz w:val="20"/>
                <w:szCs w:val="20"/>
                <w:color w:val="auto"/>
              </w:rPr>
            </w:pPr>
            <w:r>
              <w:rPr>
                <w:rFonts w:ascii="Arial" w:cs="Arial" w:eastAsia="Arial" w:hAnsi="Arial"/>
                <w:sz w:val="15"/>
                <w:szCs w:val="15"/>
                <w:color w:val="auto"/>
              </w:rPr>
              <w:t>Income tax benefit</w:t>
            </w:r>
          </w:p>
        </w:tc>
        <w:tc>
          <w:tcPr>
            <w:tcW w:w="3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(50,963)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(60,840)</w:t>
            </w:r>
          </w:p>
        </w:tc>
      </w:tr>
      <w:tr>
        <w:trPr>
          <w:trHeight w:val="206"/>
        </w:trPr>
        <w:tc>
          <w:tcPr>
            <w:tcW w:w="74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Interest expense</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17,402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15,847</w:t>
            </w:r>
          </w:p>
        </w:tc>
      </w:tr>
      <w:tr>
        <w:trPr>
          <w:trHeight w:val="206"/>
        </w:trPr>
        <w:tc>
          <w:tcPr>
            <w:tcW w:w="7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Depreciation and amortization</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28,922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28,831</w:t>
            </w:r>
          </w:p>
        </w:tc>
      </w:tr>
      <w:tr>
        <w:trPr>
          <w:trHeight w:val="199"/>
        </w:trPr>
        <w:tc>
          <w:tcPr>
            <w:tcW w:w="7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(4,639)</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(16,162)</w:t>
            </w:r>
          </w:p>
        </w:tc>
      </w:tr>
      <w:tr>
        <w:trPr>
          <w:trHeight w:val="236"/>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EBITDA from continuing operations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(170,007)</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(187,583)</w:t>
            </w:r>
          </w:p>
        </w:tc>
      </w:tr>
      <w:tr>
        <w:trPr>
          <w:trHeight w:val="20"/>
        </w:trPr>
        <w:tc>
          <w:tcPr>
            <w:tcW w:w="73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662940</wp:posOffset>
            </wp:positionV>
            <wp:extent cx="220980" cy="1225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reconciliation of our results from continuing operations to our adjusted results from continuing operations, which is a non-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GAAP financial measure:</w:t>
      </w:r>
    </w:p>
    <w:p>
      <w:pPr>
        <w:spacing w:after="0" w:line="146" w:lineRule="exact"/>
        <w:rPr>
          <w:sz w:val="20"/>
          <w:szCs w:val="20"/>
          <w:color w:val="auto"/>
        </w:rPr>
      </w:pPr>
    </w:p>
    <w:p>
      <w:pPr>
        <w:ind w:left="9020"/>
        <w:spacing w:after="0"/>
        <w:rPr>
          <w:sz w:val="20"/>
          <w:szCs w:val="20"/>
          <w:color w:val="auto"/>
        </w:rPr>
      </w:pPr>
      <w:r>
        <w:rPr>
          <w:rFonts w:ascii="Arial" w:cs="Arial" w:eastAsia="Arial" w:hAnsi="Arial"/>
          <w:sz w:val="13"/>
          <w:szCs w:val="13"/>
          <w:color w:val="auto"/>
        </w:rPr>
        <w:t>(in 000s,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3360" w:type="dxa"/>
            <w:vAlign w:val="bottom"/>
            <w:tcBorders>
              <w:top w:val="single" w:sz="8" w:color="auto"/>
              <w:bottom w:val="single" w:sz="8" w:color="auto"/>
            </w:tcBorders>
            <w:gridSpan w:val="4"/>
          </w:tcPr>
          <w:p>
            <w:pPr>
              <w:jc w:val="right"/>
              <w:ind w:right="543"/>
              <w:spacing w:after="0"/>
              <w:rPr>
                <w:sz w:val="20"/>
                <w:szCs w:val="20"/>
                <w:color w:val="auto"/>
              </w:rPr>
            </w:pPr>
            <w:r>
              <w:rPr>
                <w:rFonts w:ascii="Arial" w:cs="Arial" w:eastAsia="Arial" w:hAnsi="Arial"/>
                <w:sz w:val="15"/>
                <w:szCs w:val="15"/>
                <w:color w:val="auto"/>
              </w:rPr>
              <w:t>Three months ended September 30,</w:t>
            </w:r>
          </w:p>
        </w:tc>
      </w:tr>
      <w:tr>
        <w:trPr>
          <w:trHeight w:val="200"/>
        </w:trPr>
        <w:tc>
          <w:tcPr>
            <w:tcW w:w="73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w:t>
            </w:r>
          </w:p>
        </w:tc>
      </w:tr>
      <w:tr>
        <w:trPr>
          <w:trHeight w:val="199"/>
        </w:trPr>
        <w:tc>
          <w:tcPr>
            <w:tcW w:w="7520" w:type="dxa"/>
            <w:vAlign w:val="bottom"/>
            <w:gridSpan w:val="2"/>
          </w:tcPr>
          <w:p>
            <w:pPr>
              <w:ind w:left="20"/>
              <w:spacing w:after="0"/>
              <w:rPr>
                <w:sz w:val="20"/>
                <w:szCs w:val="20"/>
                <w:color w:val="auto"/>
              </w:rPr>
            </w:pPr>
            <w:r>
              <w:rPr>
                <w:rFonts w:ascii="Arial" w:cs="Arial" w:eastAsia="Arial" w:hAnsi="Arial"/>
                <w:sz w:val="15"/>
                <w:szCs w:val="15"/>
                <w:color w:val="auto"/>
              </w:rPr>
              <w:t>Net loss from continuing operations - as reported</w:t>
            </w:r>
          </w:p>
        </w:tc>
        <w:tc>
          <w:tcPr>
            <w:tcW w:w="360" w:type="dxa"/>
            <w:vAlign w:val="bottom"/>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(165,368)</w:t>
            </w:r>
          </w:p>
        </w:tc>
        <w:tc>
          <w:tcPr>
            <w:tcW w:w="80" w:type="dxa"/>
            <w:vAlign w:val="bottom"/>
          </w:tcPr>
          <w:p>
            <w:pPr>
              <w:spacing w:after="0"/>
              <w:rPr>
                <w:sz w:val="17"/>
                <w:szCs w:val="17"/>
                <w:color w:val="auto"/>
              </w:rPr>
            </w:pPr>
          </w:p>
        </w:tc>
        <w:tc>
          <w:tcPr>
            <w:tcW w:w="62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(171,421)</w:t>
            </w:r>
          </w:p>
        </w:tc>
      </w:tr>
      <w:tr>
        <w:trPr>
          <w:trHeight w:val="20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6"/>
        </w:trPr>
        <w:tc>
          <w:tcPr>
            <w:tcW w:w="7520" w:type="dxa"/>
            <w:vAlign w:val="bottom"/>
            <w:gridSpan w:val="2"/>
          </w:tcPr>
          <w:p>
            <w:pPr>
              <w:ind w:left="140"/>
              <w:spacing w:after="0"/>
              <w:rPr>
                <w:sz w:val="20"/>
                <w:szCs w:val="20"/>
                <w:color w:val="auto"/>
              </w:rPr>
            </w:pPr>
            <w:r>
              <w:rPr>
                <w:rFonts w:ascii="Arial" w:cs="Arial" w:eastAsia="Arial" w:hAnsi="Arial"/>
                <w:sz w:val="15"/>
                <w:szCs w:val="15"/>
                <w:color w:val="auto"/>
              </w:rPr>
              <w:t>Amortization of intangibles related to acquisitions (pretax)</w:t>
            </w:r>
          </w:p>
        </w:tc>
        <w:tc>
          <w:tcPr>
            <w:tcW w:w="36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b w:val="1"/>
                <w:bCs w:val="1"/>
                <w:color w:val="auto"/>
              </w:rPr>
              <w:t>10,979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11,128</w:t>
            </w:r>
          </w:p>
        </w:tc>
      </w:tr>
      <w:tr>
        <w:trPr>
          <w:trHeight w:val="206"/>
        </w:trPr>
        <w:tc>
          <w:tcPr>
            <w:tcW w:w="7520" w:type="dxa"/>
            <w:vAlign w:val="bottom"/>
            <w:gridSpan w:val="2"/>
            <w:shd w:val="clear" w:color="auto" w:fill="CCEEFF"/>
          </w:tcPr>
          <w:p>
            <w:pPr>
              <w:ind w:left="140"/>
              <w:spacing w:after="0" w:line="207" w:lineRule="exact"/>
              <w:rPr>
                <w:sz w:val="20"/>
                <w:szCs w:val="20"/>
                <w:color w:val="auto"/>
              </w:rPr>
            </w:pPr>
            <w:r>
              <w:rPr>
                <w:rFonts w:ascii="Arial" w:cs="Arial" w:eastAsia="Arial" w:hAnsi="Arial"/>
                <w:sz w:val="15"/>
                <w:szCs w:val="15"/>
                <w:color w:val="auto"/>
              </w:rPr>
              <w:t xml:space="preserve">Tax effect of adjustments </w:t>
            </w:r>
            <w:r>
              <w:rPr>
                <w:rFonts w:ascii="Arial" w:cs="Arial" w:eastAsia="Arial" w:hAnsi="Arial"/>
                <w:sz w:val="20"/>
                <w:szCs w:val="20"/>
                <w:color w:val="auto"/>
                <w:vertAlign w:val="superscript"/>
              </w:rPr>
              <w:t>(1)</w:t>
            </w:r>
          </w:p>
        </w:tc>
        <w:tc>
          <w:tcPr>
            <w:tcW w:w="3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(2,792)</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(2,645)</w:t>
            </w:r>
          </w:p>
        </w:tc>
      </w:tr>
      <w:tr>
        <w:trPr>
          <w:trHeight w:val="199"/>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Adjusted net loss from continuing operations</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(157,181)</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(162,938)</w:t>
            </w:r>
          </w:p>
        </w:tc>
      </w:tr>
      <w:tr>
        <w:trPr>
          <w:trHeight w:val="19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Diluted loss per share from continuing operations - as reported</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r>
      <w:tr>
        <w:trPr>
          <w:trHeight w:val="206"/>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Adjustments, net of tax</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0.06</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0.06</w:t>
            </w:r>
          </w:p>
        </w:tc>
      </w:tr>
      <w:tr>
        <w:trPr>
          <w:trHeight w:val="19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Adjusted diluted loss per share from continuing operations</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(1.20)</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w:t>
            </w:r>
          </w:p>
        </w:tc>
      </w:tr>
      <w:tr>
        <w:trPr>
          <w:trHeight w:val="32"/>
        </w:trPr>
        <w:tc>
          <w:tcPr>
            <w:tcW w:w="7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Tax effect of adjustments is the difference between the tax provision calculated on a GAAP basis and on an adjusted non-GAAP basis.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external events beyond the Company's control, such as outbreaks of infectious disease, severe weather events, natural or manmade disasters, or changes in the regulatory environment in which we operate.</w:t>
      </w:r>
    </w:p>
    <w:p>
      <w:pPr>
        <w:spacing w:after="0" w:line="79" w:lineRule="exact"/>
        <w:rPr>
          <w:sz w:val="20"/>
          <w:szCs w:val="20"/>
          <w:color w:val="auto"/>
        </w:rPr>
      </w:pPr>
    </w:p>
    <w:p>
      <w:pPr>
        <w:jc w:val="both"/>
        <w:ind w:firstLine="232"/>
        <w:spacing w:after="0" w:line="265" w:lineRule="auto"/>
        <w:rPr>
          <w:sz w:val="20"/>
          <w:szCs w:val="20"/>
          <w:color w:val="auto"/>
        </w:rPr>
      </w:pPr>
      <w:r>
        <w:rPr>
          <w:rFonts w:ascii="Arial" w:cs="Arial" w:eastAsia="Arial" w:hAnsi="Arial"/>
          <w:sz w:val="17"/>
          <w:szCs w:val="17"/>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65"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spacing w:after="0" w:line="70"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7"/>
          <w:szCs w:val="17"/>
          <w:color w:val="auto"/>
        </w:rPr>
        <w:t>Details about risks, uncertainties and assumptions that could affect various aspects of our business are included throughout our Annual Report on Form 10-K for the fiscal year ended June 30, 2025 and are also described from time to time in other filings with the SEC. Investors should carefully consider all of these risks, and should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596900</wp:posOffset>
            </wp:positionV>
            <wp:extent cx="212725" cy="122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0" w:hanging="266"/>
        <w:spacing w:after="0"/>
        <w:tabs>
          <w:tab w:leader="none" w:pos="360" w:val="left"/>
        </w:tabs>
        <w:numPr>
          <w:ilvl w:val="0"/>
          <w:numId w:val="16"/>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particular attention to Item 1A, "Risk Factors," and Item 7 under "Critical Accounting Estimates" of our Annual Report on Form 10-K for the fiscal year ended June 30, 2025.</w:t>
      </w:r>
    </w:p>
    <w:p>
      <w:pPr>
        <w:spacing w:after="0" w:line="38"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3.</w:t>
      </w:r>
      <w:r>
        <w:rPr>
          <w:sz w:val="20"/>
          <w:szCs w:val="20"/>
          <w:color w:val="auto"/>
        </w:rPr>
        <w:tab/>
      </w:r>
      <w:r>
        <w:rPr>
          <w:rFonts w:ascii="Arial" w:cs="Arial" w:eastAsia="Arial" w:hAnsi="Arial"/>
          <w:sz w:val="23"/>
          <w:szCs w:val="23"/>
          <w:b w:val="1"/>
          <w:bCs w:val="1"/>
          <w:color w:val="14AA40"/>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market risks from those reported in our June 30, 2025 Annual Report on Form 10-K.</w:t>
      </w:r>
    </w:p>
    <w:p>
      <w:pPr>
        <w:spacing w:after="0" w:line="108"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4.</w:t>
        <w:tab/>
        <w:t>CONTROLS AND PROCEDURES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 As of the end of the period covered by this Form 10-Q, management,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6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 There were no changes during the three months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2025 that materially affected, or are reasonably likely to materially affect, our internal control over financial reporting.</w:t>
      </w:r>
    </w:p>
    <w:p>
      <w:pPr>
        <w:spacing w:after="0" w:line="36" w:lineRule="exact"/>
        <w:rPr>
          <w:sz w:val="20"/>
          <w:szCs w:val="20"/>
          <w:color w:val="auto"/>
        </w:rPr>
      </w:pPr>
    </w:p>
    <w:p>
      <w:pPr>
        <w:spacing w:after="0"/>
        <w:tabs>
          <w:tab w:leader="none" w:pos="1080" w:val="left"/>
        </w:tabs>
        <w:rPr>
          <w:sz w:val="20"/>
          <w:szCs w:val="20"/>
          <w:color w:val="auto"/>
        </w:rPr>
      </w:pPr>
      <w:r>
        <w:rPr>
          <w:rFonts w:ascii="Arial" w:cs="Arial" w:eastAsia="Arial" w:hAnsi="Arial"/>
          <w:sz w:val="24"/>
          <w:szCs w:val="24"/>
          <w:b w:val="1"/>
          <w:bCs w:val="1"/>
          <w:color w:val="14AA40"/>
        </w:rPr>
        <w:t>PART II</w:t>
      </w:r>
      <w:r>
        <w:rPr>
          <w:sz w:val="20"/>
          <w:szCs w:val="20"/>
          <w:color w:val="auto"/>
        </w:rPr>
        <w:tab/>
      </w:r>
      <w:r>
        <w:rPr>
          <w:rFonts w:ascii="Arial" w:cs="Arial" w:eastAsia="Arial" w:hAnsi="Arial"/>
          <w:sz w:val="23"/>
          <w:szCs w:val="23"/>
          <w:b w:val="1"/>
          <w:bCs w:val="1"/>
          <w:color w:val="14AA40"/>
        </w:rPr>
        <w:t>OTHER INFORMATION</w:t>
      </w:r>
    </w:p>
    <w:p>
      <w:pPr>
        <w:spacing w:after="0" w:line="111" w:lineRule="exact"/>
        <w:rPr>
          <w:sz w:val="20"/>
          <w:szCs w:val="20"/>
          <w:color w:val="auto"/>
        </w:rPr>
      </w:pPr>
    </w:p>
    <w:p>
      <w:pPr>
        <w:spacing w:after="0"/>
        <w:tabs>
          <w:tab w:leader="none" w:pos="1160" w:val="left"/>
        </w:tabs>
        <w:rPr>
          <w:sz w:val="20"/>
          <w:szCs w:val="20"/>
          <w:color w:val="auto"/>
        </w:rPr>
      </w:pPr>
      <w:r>
        <w:rPr>
          <w:rFonts w:ascii="Arial" w:cs="Arial" w:eastAsia="Arial" w:hAnsi="Arial"/>
          <w:sz w:val="24"/>
          <w:szCs w:val="24"/>
          <w:b w:val="1"/>
          <w:bCs w:val="1"/>
          <w:color w:val="14AA40"/>
        </w:rPr>
        <w:t>ITEM 1.</w:t>
        <w:tab/>
        <w:t>LEGAL PROCEEDINGS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description of our material pending legal proceedings, see discussion in </w:t>
      </w:r>
      <w:r>
        <w:rPr>
          <w:rFonts w:ascii="Arial" w:cs="Arial" w:eastAsia="Arial" w:hAnsi="Arial"/>
          <w:sz w:val="17"/>
          <w:szCs w:val="17"/>
          <w:u w:val="single" w:color="auto"/>
          <w:color w:val="0000FF"/>
        </w:rPr>
        <w:t>Part I, Item 1, note 9</w:t>
      </w:r>
      <w:r>
        <w:rPr>
          <w:rFonts w:ascii="Arial" w:cs="Arial" w:eastAsia="Arial" w:hAnsi="Arial"/>
          <w:sz w:val="17"/>
          <w:szCs w:val="17"/>
          <w:color w:val="auto"/>
        </w:rPr>
        <w:t xml:space="preserve"> to the consolidated financial statements.</w:t>
      </w:r>
    </w:p>
    <w:p>
      <w:pPr>
        <w:spacing w:after="0" w:line="108" w:lineRule="exact"/>
        <w:rPr>
          <w:sz w:val="20"/>
          <w:szCs w:val="20"/>
          <w:color w:val="auto"/>
        </w:rPr>
      </w:pPr>
    </w:p>
    <w:p>
      <w:pPr>
        <w:spacing w:after="0"/>
        <w:tabs>
          <w:tab w:leader="none" w:pos="1260" w:val="left"/>
        </w:tabs>
        <w:rPr>
          <w:sz w:val="20"/>
          <w:szCs w:val="20"/>
          <w:color w:val="auto"/>
        </w:rPr>
      </w:pPr>
      <w:r>
        <w:rPr>
          <w:rFonts w:ascii="Arial" w:cs="Arial" w:eastAsia="Arial" w:hAnsi="Arial"/>
          <w:sz w:val="24"/>
          <w:szCs w:val="24"/>
          <w:b w:val="1"/>
          <w:bCs w:val="1"/>
          <w:color w:val="14AA40"/>
        </w:rPr>
        <w:t>ITEM 1A.</w:t>
      </w:r>
      <w:r>
        <w:rPr>
          <w:sz w:val="20"/>
          <w:szCs w:val="20"/>
          <w:color w:val="auto"/>
        </w:rPr>
        <w:tab/>
      </w:r>
      <w:r>
        <w:rPr>
          <w:rFonts w:ascii="Arial" w:cs="Arial" w:eastAsia="Arial" w:hAnsi="Arial"/>
          <w:sz w:val="23"/>
          <w:szCs w:val="23"/>
          <w:b w:val="1"/>
          <w:bCs w:val="1"/>
          <w:color w:val="14AA40"/>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risk factors from those reported in our June 30, 2025 Annual Report on Form 10-K.</w:t>
      </w:r>
    </w:p>
    <w:p>
      <w:pPr>
        <w:spacing w:after="0" w:line="108"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2.</w:t>
        <w:tab/>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purchases of H&amp;R Block common stock during the three months ended September 30, 2025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 except per share amounts)</w:t>
            </w:r>
          </w:p>
        </w:tc>
        <w:tc>
          <w:tcPr>
            <w:tcW w:w="0" w:type="dxa"/>
            <w:vAlign w:val="bottom"/>
          </w:tcPr>
          <w:p>
            <w:pPr>
              <w:spacing w:after="0"/>
              <w:rPr>
                <w:sz w:val="1"/>
                <w:szCs w:val="1"/>
                <w:color w:val="auto"/>
              </w:rPr>
            </w:pPr>
          </w:p>
        </w:tc>
      </w:tr>
      <w:tr>
        <w:trPr>
          <w:trHeight w:val="204"/>
        </w:trPr>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5"/>
                <w:szCs w:val="15"/>
                <w:color w:val="auto"/>
              </w:rPr>
              <w:t>Average</w:t>
            </w:r>
          </w:p>
        </w:tc>
        <w:tc>
          <w:tcPr>
            <w:tcW w:w="2460" w:type="dxa"/>
            <w:vAlign w:val="bottom"/>
          </w:tcPr>
          <w:p>
            <w:pPr>
              <w:jc w:val="right"/>
              <w:spacing w:after="0"/>
              <w:rPr>
                <w:sz w:val="20"/>
                <w:szCs w:val="20"/>
                <w:color w:val="auto"/>
              </w:rPr>
            </w:pPr>
            <w:r>
              <w:rPr>
                <w:rFonts w:ascii="Arial" w:cs="Arial" w:eastAsia="Arial" w:hAnsi="Arial"/>
                <w:sz w:val="15"/>
                <w:szCs w:val="15"/>
                <w:color w:val="auto"/>
              </w:rPr>
              <w:t>Total Number of Shares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Arial" w:cs="Arial" w:eastAsia="Arial" w:hAnsi="Arial"/>
                <w:sz w:val="15"/>
                <w:szCs w:val="15"/>
                <w:color w:val="auto"/>
              </w:rPr>
              <w:t>Maximum Dollar Value of</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5"/>
                <w:szCs w:val="15"/>
                <w:color w:val="auto"/>
              </w:rPr>
              <w:t>Total Number of</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460" w:type="dxa"/>
            <w:vAlign w:val="bottom"/>
          </w:tcPr>
          <w:p>
            <w:pPr>
              <w:jc w:val="right"/>
              <w:spacing w:after="0" w:line="155" w:lineRule="exact"/>
              <w:rPr>
                <w:sz w:val="20"/>
                <w:szCs w:val="20"/>
                <w:color w:val="auto"/>
              </w:rPr>
            </w:pPr>
            <w:r>
              <w:rPr>
                <w:rFonts w:ascii="Arial" w:cs="Arial" w:eastAsia="Arial" w:hAnsi="Arial"/>
                <w:sz w:val="15"/>
                <w:szCs w:val="15"/>
                <w:color w:val="auto"/>
              </w:rPr>
              <w:t>Purchased as Part of</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jc w:val="right"/>
              <w:spacing w:after="0" w:line="155" w:lineRule="exact"/>
              <w:rPr>
                <w:sz w:val="20"/>
                <w:szCs w:val="20"/>
                <w:color w:val="auto"/>
              </w:rPr>
            </w:pPr>
            <w:r>
              <w:rPr>
                <w:rFonts w:ascii="Arial" w:cs="Arial" w:eastAsia="Arial" w:hAnsi="Arial"/>
                <w:sz w:val="15"/>
                <w:szCs w:val="15"/>
                <w:color w:val="auto"/>
              </w:rPr>
              <w:t>Shares that May Yet Be</w:t>
            </w: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5"/>
                <w:szCs w:val="15"/>
                <w:color w:val="auto"/>
              </w:rPr>
              <w:t>Price Paid</w:t>
            </w:r>
          </w:p>
        </w:tc>
        <w:tc>
          <w:tcPr>
            <w:tcW w:w="2460" w:type="dxa"/>
            <w:vAlign w:val="bottom"/>
          </w:tcPr>
          <w:p>
            <w:pPr>
              <w:jc w:val="right"/>
              <w:spacing w:after="0" w:line="155" w:lineRule="exact"/>
              <w:rPr>
                <w:sz w:val="20"/>
                <w:szCs w:val="20"/>
                <w:color w:val="auto"/>
              </w:rPr>
            </w:pPr>
            <w:r>
              <w:rPr>
                <w:rFonts w:ascii="Arial" w:cs="Arial" w:eastAsia="Arial" w:hAnsi="Arial"/>
                <w:sz w:val="15"/>
                <w:szCs w:val="15"/>
                <w:color w:val="auto"/>
              </w:rPr>
              <w:t>Publicly Announced Plans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jc w:val="right"/>
              <w:spacing w:after="0" w:line="155" w:lineRule="exact"/>
              <w:rPr>
                <w:sz w:val="20"/>
                <w:szCs w:val="20"/>
                <w:color w:val="auto"/>
              </w:rPr>
            </w:pPr>
            <w:r>
              <w:rPr>
                <w:rFonts w:ascii="Arial" w:cs="Arial" w:eastAsia="Arial" w:hAnsi="Arial"/>
                <w:sz w:val="15"/>
                <w:szCs w:val="15"/>
                <w:color w:val="auto"/>
              </w:rPr>
              <w:t>Purchased Under the Plans</w:t>
            </w:r>
          </w:p>
        </w:tc>
        <w:tc>
          <w:tcPr>
            <w:tcW w:w="0" w:type="dxa"/>
            <w:vAlign w:val="bottom"/>
          </w:tcPr>
          <w:p>
            <w:pPr>
              <w:spacing w:after="0"/>
              <w:rPr>
                <w:sz w:val="1"/>
                <w:szCs w:val="1"/>
                <w:color w:val="auto"/>
              </w:rPr>
            </w:pPr>
          </w:p>
        </w:tc>
      </w:tr>
      <w:tr>
        <w:trPr>
          <w:trHeight w:val="206"/>
        </w:trPr>
        <w:tc>
          <w:tcPr>
            <w:tcW w:w="2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5"/>
                <w:szCs w:val="15"/>
                <w:color w:val="auto"/>
              </w:rPr>
              <w:t xml:space="preserve">Shares Purchased </w:t>
            </w:r>
            <w:r>
              <w:rPr>
                <w:rFonts w:ascii="Arial" w:cs="Arial" w:eastAsia="Arial" w:hAnsi="Arial"/>
                <w:sz w:val="20"/>
                <w:szCs w:val="20"/>
                <w:color w:val="auto"/>
                <w:vertAlign w:val="superscript"/>
              </w:rPr>
              <w:t>(1)</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per Share</w:t>
            </w:r>
          </w:p>
        </w:tc>
        <w:tc>
          <w:tcPr>
            <w:tcW w:w="80" w:type="dxa"/>
            <w:vAlign w:val="bottom"/>
          </w:tcPr>
          <w:p>
            <w:pPr>
              <w:spacing w:after="0"/>
              <w:rPr>
                <w:sz w:val="17"/>
                <w:szCs w:val="17"/>
                <w:color w:val="auto"/>
              </w:rPr>
            </w:pPr>
          </w:p>
        </w:tc>
        <w:tc>
          <w:tcPr>
            <w:tcW w:w="24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0"/>
                <w:szCs w:val="20"/>
                <w:color w:val="auto"/>
                <w:vertAlign w:val="superscript"/>
              </w:rPr>
              <w:t>(2)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199"/>
        </w:trPr>
        <w:tc>
          <w:tcPr>
            <w:tcW w:w="2780" w:type="dxa"/>
            <w:vAlign w:val="bottom"/>
            <w:gridSpan w:val="2"/>
          </w:tcPr>
          <w:p>
            <w:pPr>
              <w:ind w:left="20"/>
              <w:spacing w:after="0"/>
              <w:rPr>
                <w:sz w:val="20"/>
                <w:szCs w:val="20"/>
                <w:color w:val="auto"/>
              </w:rPr>
            </w:pPr>
            <w:r>
              <w:rPr>
                <w:rFonts w:ascii="Arial" w:cs="Arial" w:eastAsia="Arial" w:hAnsi="Arial"/>
                <w:sz w:val="15"/>
                <w:szCs w:val="15"/>
                <w:color w:val="auto"/>
              </w:rPr>
              <w:t>July 1 - July 31</w:t>
            </w:r>
          </w:p>
        </w:tc>
        <w:tc>
          <w:tcPr>
            <w:tcW w:w="192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860" w:type="dxa"/>
            <w:vAlign w:val="bottom"/>
          </w:tcPr>
          <w:p>
            <w:pPr>
              <w:jc w:val="right"/>
              <w:ind w:right="3"/>
              <w:spacing w:after="0"/>
              <w:rPr>
                <w:sz w:val="20"/>
                <w:szCs w:val="20"/>
                <w:color w:val="auto"/>
              </w:rPr>
            </w:pPr>
            <w:r>
              <w:rPr>
                <w:rFonts w:ascii="Arial" w:cs="Arial" w:eastAsia="Arial" w:hAnsi="Arial"/>
                <w:sz w:val="15"/>
                <w:szCs w:val="15"/>
                <w:b w:val="1"/>
                <w:bCs w:val="1"/>
                <w:color w:val="auto"/>
              </w:rPr>
              <w:t>56.02</w:t>
            </w:r>
          </w:p>
        </w:tc>
        <w:tc>
          <w:tcPr>
            <w:tcW w:w="80" w:type="dxa"/>
            <w:vAlign w:val="bottom"/>
          </w:tcPr>
          <w:p>
            <w:pPr>
              <w:spacing w:after="0"/>
              <w:rPr>
                <w:sz w:val="17"/>
                <w:szCs w:val="17"/>
                <w:color w:val="auto"/>
              </w:rPr>
            </w:pPr>
          </w:p>
        </w:tc>
        <w:tc>
          <w:tcPr>
            <w:tcW w:w="246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b w:val="1"/>
                <w:bCs w:val="1"/>
                <w:color w:val="auto"/>
                <w:w w:val="95"/>
              </w:rPr>
              <w:t>$</w:t>
            </w: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1,100,000</w:t>
            </w:r>
          </w:p>
        </w:tc>
        <w:tc>
          <w:tcPr>
            <w:tcW w:w="0" w:type="dxa"/>
            <w:vAlign w:val="bottom"/>
          </w:tcPr>
          <w:p>
            <w:pPr>
              <w:spacing w:after="0"/>
              <w:rPr>
                <w:sz w:val="1"/>
                <w:szCs w:val="1"/>
                <w:color w:val="auto"/>
              </w:rPr>
            </w:pPr>
          </w:p>
        </w:tc>
      </w:tr>
      <w:tr>
        <w:trPr>
          <w:trHeight w:val="20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August 1 - August 31</w:t>
            </w:r>
          </w:p>
        </w:tc>
        <w:tc>
          <w:tcPr>
            <w:tcW w:w="19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4,278</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50.82</w:t>
            </w:r>
          </w:p>
        </w:tc>
        <w:tc>
          <w:tcPr>
            <w:tcW w:w="80" w:type="dxa"/>
            <w:vAlign w:val="bottom"/>
            <w:shd w:val="clear" w:color="auto" w:fill="CCEEFF"/>
          </w:tcPr>
          <w:p>
            <w:pPr>
              <w:spacing w:after="0"/>
              <w:rPr>
                <w:sz w:val="17"/>
                <w:szCs w:val="17"/>
                <w:color w:val="auto"/>
              </w:rPr>
            </w:pPr>
          </w:p>
        </w:tc>
        <w:tc>
          <w:tcPr>
            <w:tcW w:w="24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4,034</w:t>
            </w:r>
          </w:p>
        </w:tc>
        <w:tc>
          <w:tcPr>
            <w:tcW w:w="38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894,919</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September 1 - September 30</w:t>
            </w:r>
          </w:p>
        </w:tc>
        <w:tc>
          <w:tcPr>
            <w:tcW w:w="19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3,827</w:t>
            </w:r>
          </w:p>
        </w:tc>
        <w:tc>
          <w:tcPr>
            <w:tcW w:w="340" w:type="dxa"/>
            <w:vAlign w:val="bottom"/>
            <w:tcBorders>
              <w:bottom w:val="single" w:sz="8" w:color="CCEEFF"/>
            </w:tcBorders>
            <w:gridSpan w:val="2"/>
          </w:tcPr>
          <w:p>
            <w:pPr>
              <w:jc w:val="right"/>
              <w:ind w:right="83"/>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CCEEFF"/>
            </w:tcBorders>
          </w:tcPr>
          <w:p>
            <w:pPr>
              <w:jc w:val="right"/>
              <w:ind w:right="3"/>
              <w:spacing w:after="0"/>
              <w:rPr>
                <w:sz w:val="20"/>
                <w:szCs w:val="20"/>
                <w:color w:val="auto"/>
              </w:rPr>
            </w:pPr>
            <w:r>
              <w:rPr>
                <w:rFonts w:ascii="Arial" w:cs="Arial" w:eastAsia="Arial" w:hAnsi="Arial"/>
                <w:sz w:val="15"/>
                <w:szCs w:val="15"/>
                <w:b w:val="1"/>
                <w:bCs w:val="1"/>
                <w:color w:val="auto"/>
              </w:rPr>
              <w:t>50.95</w:t>
            </w:r>
          </w:p>
        </w:tc>
        <w:tc>
          <w:tcPr>
            <w:tcW w:w="80" w:type="dxa"/>
            <w:vAlign w:val="bottom"/>
            <w:tcBorders>
              <w:bottom w:val="single" w:sz="8" w:color="CCEEFF"/>
            </w:tcBorders>
          </w:tcPr>
          <w:p>
            <w:pPr>
              <w:spacing w:after="0"/>
              <w:rPr>
                <w:sz w:val="17"/>
                <w:szCs w:val="17"/>
                <w:color w:val="auto"/>
              </w:rPr>
            </w:pPr>
          </w:p>
        </w:tc>
        <w:tc>
          <w:tcPr>
            <w:tcW w:w="2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3,827</w:t>
            </w:r>
          </w:p>
        </w:tc>
        <w:tc>
          <w:tcPr>
            <w:tcW w:w="380" w:type="dxa"/>
            <w:vAlign w:val="bottom"/>
            <w:tcBorders>
              <w:bottom w:val="single" w:sz="8" w:color="CCEEFF"/>
            </w:tcBorders>
            <w:gridSpan w:val="2"/>
          </w:tcPr>
          <w:p>
            <w:pPr>
              <w:jc w:val="right"/>
              <w:ind w:right="123"/>
              <w:spacing w:after="0"/>
              <w:rPr>
                <w:sz w:val="20"/>
                <w:szCs w:val="20"/>
                <w:color w:val="auto"/>
              </w:rPr>
            </w:pPr>
            <w:r>
              <w:rPr>
                <w:rFonts w:ascii="Arial" w:cs="Arial" w:eastAsia="Arial" w:hAnsi="Arial"/>
                <w:sz w:val="15"/>
                <w:szCs w:val="15"/>
                <w:b w:val="1"/>
                <w:bCs w:val="1"/>
                <w:color w:val="auto"/>
              </w:rPr>
              <w:t>$</w:t>
            </w:r>
          </w:p>
        </w:tc>
        <w:tc>
          <w:tcPr>
            <w:tcW w:w="242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rPr>
              <w:t>700,000</w:t>
            </w:r>
          </w:p>
        </w:tc>
        <w:tc>
          <w:tcPr>
            <w:tcW w:w="0" w:type="dxa"/>
            <w:vAlign w:val="bottom"/>
          </w:tcPr>
          <w:p>
            <w:pPr>
              <w:spacing w:after="0"/>
              <w:rPr>
                <w:sz w:val="1"/>
                <w:szCs w:val="1"/>
                <w:color w:val="auto"/>
              </w:rPr>
            </w:pPr>
          </w:p>
        </w:tc>
      </w:tr>
      <w:tr>
        <w:trPr>
          <w:trHeight w:val="199"/>
        </w:trPr>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8,105</w:t>
            </w:r>
          </w:p>
        </w:tc>
        <w:tc>
          <w:tcPr>
            <w:tcW w:w="3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50.88</w:t>
            </w:r>
          </w:p>
        </w:tc>
        <w:tc>
          <w:tcPr>
            <w:tcW w:w="80" w:type="dxa"/>
            <w:vAlign w:val="bottom"/>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7,861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0" w:hanging="157"/>
        <w:spacing w:after="0" w:line="218" w:lineRule="auto"/>
        <w:tabs>
          <w:tab w:leader="none" w:pos="166"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We purchased approximately 244 thousand shares in connection with funding employee income tax withholding obligations arising upon the lapse of restrictions on restricted share units.</w:t>
      </w:r>
    </w:p>
    <w:p>
      <w:pPr>
        <w:ind w:left="160" w:hanging="157"/>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4"/>
          <w:szCs w:val="14"/>
          <w:color w:val="auto"/>
        </w:rPr>
        <w:t>On August 15, 2024, we announced that our Board of Directors approved a $1.5 billion share repurchase program. The repurchase program does not have an expiration date.</w:t>
      </w:r>
    </w:p>
    <w:p>
      <w:pPr>
        <w:spacing w:after="0" w:line="83"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3.</w:t>
      </w:r>
      <w:r>
        <w:rPr>
          <w:sz w:val="20"/>
          <w:szCs w:val="20"/>
          <w:color w:val="auto"/>
        </w:rPr>
        <w:tab/>
      </w:r>
      <w:r>
        <w:rPr>
          <w:rFonts w:ascii="Arial" w:cs="Arial" w:eastAsia="Arial" w:hAnsi="Arial"/>
          <w:sz w:val="23"/>
          <w:szCs w:val="23"/>
          <w:b w:val="1"/>
          <w:bCs w:val="1"/>
          <w:color w:val="14AA40"/>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8"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4.</w:t>
        <w:tab/>
        <w:t>MINE SAFETY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623570</wp:posOffset>
            </wp:positionV>
            <wp:extent cx="220980" cy="1225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5.</w:t>
      </w:r>
      <w:r>
        <w:rPr>
          <w:sz w:val="20"/>
          <w:szCs w:val="20"/>
          <w:color w:val="auto"/>
        </w:rPr>
        <w:tab/>
      </w:r>
      <w:r>
        <w:rPr>
          <w:rFonts w:ascii="Arial" w:cs="Arial" w:eastAsia="Arial" w:hAnsi="Arial"/>
          <w:sz w:val="23"/>
          <w:szCs w:val="23"/>
          <w:b w:val="1"/>
          <w:bCs w:val="1"/>
          <w:color w:val="14AA40"/>
        </w:rPr>
        <w:t>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and Section 16 Officer Trading Arrangements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During the three months ended September 30, 2025, no director or Section 16 officer adopted or terminated a "Rule 10b5-1 trading arrangement" or "non-Rule 10b5-1 trading arrangement," as each term is defined in Item 408(a) of Regulation S-K.</w:t>
      </w:r>
    </w:p>
    <w:p>
      <w:pPr>
        <w:spacing w:after="0" w:line="38" w:lineRule="exact"/>
        <w:rPr>
          <w:sz w:val="20"/>
          <w:szCs w:val="20"/>
          <w:color w:val="auto"/>
        </w:rPr>
      </w:pPr>
    </w:p>
    <w:p>
      <w:pPr>
        <w:spacing w:after="0"/>
        <w:tabs>
          <w:tab w:leader="none" w:pos="1100" w:val="left"/>
        </w:tabs>
        <w:rPr>
          <w:sz w:val="20"/>
          <w:szCs w:val="20"/>
          <w:color w:val="auto"/>
        </w:rPr>
      </w:pPr>
      <w:r>
        <w:rPr>
          <w:rFonts w:ascii="Arial" w:cs="Arial" w:eastAsia="Arial" w:hAnsi="Arial"/>
          <w:sz w:val="24"/>
          <w:szCs w:val="24"/>
          <w:b w:val="1"/>
          <w:bCs w:val="1"/>
          <w:color w:val="14AA40"/>
        </w:rPr>
        <w:t>ITEM 6.</w:t>
      </w:r>
      <w:r>
        <w:rPr>
          <w:sz w:val="20"/>
          <w:szCs w:val="20"/>
          <w:color w:val="auto"/>
        </w:rPr>
        <w:tab/>
      </w:r>
      <w:r>
        <w:rPr>
          <w:rFonts w:ascii="Arial" w:cs="Arial" w:eastAsia="Arial" w:hAnsi="Arial"/>
          <w:sz w:val="23"/>
          <w:szCs w:val="23"/>
          <w:b w:val="1"/>
          <w:bCs w:val="1"/>
          <w:color w:val="14AA40"/>
        </w:rPr>
        <w:t>EXHIBITS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numbered in accordance with the Exhibit Table of Item 601 of Regulation S-K:</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gridSpan w:val="3"/>
          </w:tcPr>
          <w:p>
            <w:pPr>
              <w:ind w:left="20"/>
              <w:spacing w:after="0"/>
              <w:rPr>
                <w:rFonts w:ascii="Arial" w:cs="Arial" w:eastAsia="Arial" w:hAnsi="Arial"/>
                <w:sz w:val="17"/>
                <w:szCs w:val="17"/>
                <w:color w:val="0000FF"/>
              </w:rPr>
            </w:pPr>
            <w:hyperlink r:id="rId63">
              <w:r>
                <w:rPr>
                  <w:rFonts w:ascii="Arial" w:cs="Arial" w:eastAsia="Arial" w:hAnsi="Arial"/>
                  <w:sz w:val="17"/>
                  <w:szCs w:val="17"/>
                  <w:color w:val="0000FF"/>
                </w:rPr>
                <w:t>4.</w:t>
              </w:r>
              <w:r>
                <w:rPr>
                  <w:rFonts w:ascii="Arial" w:cs="Arial" w:eastAsia="Arial" w:hAnsi="Arial"/>
                  <w:sz w:val="17"/>
                  <w:szCs w:val="17"/>
                  <w:u w:val="single" w:color="auto"/>
                  <w:color w:val="0000FF"/>
                </w:rPr>
                <w:t>1</w:t>
              </w:r>
            </w:hyperlink>
          </w:p>
        </w:tc>
        <w:tc>
          <w:tcPr>
            <w:tcW w:w="700" w:type="dxa"/>
            <w:vAlign w:val="bottom"/>
          </w:tcPr>
          <w:p>
            <w:pPr>
              <w:spacing w:after="0"/>
              <w:rPr>
                <w:sz w:val="16"/>
                <w:szCs w:val="16"/>
                <w:color w:val="auto"/>
              </w:rPr>
            </w:pPr>
          </w:p>
        </w:tc>
        <w:tc>
          <w:tcPr>
            <w:tcW w:w="10160" w:type="dxa"/>
            <w:vAlign w:val="bottom"/>
            <w:gridSpan w:val="15"/>
          </w:tcPr>
          <w:p>
            <w:pPr>
              <w:spacing w:after="0"/>
              <w:rPr>
                <w:rFonts w:ascii="Arial" w:cs="Arial" w:eastAsia="Arial" w:hAnsi="Arial"/>
                <w:sz w:val="17"/>
                <w:szCs w:val="17"/>
                <w:color w:val="0000FF"/>
              </w:rPr>
            </w:pPr>
            <w:hyperlink r:id="rId63">
              <w:r>
                <w:rPr>
                  <w:rFonts w:ascii="Arial" w:cs="Arial" w:eastAsia="Arial" w:hAnsi="Arial"/>
                  <w:sz w:val="17"/>
                  <w:szCs w:val="17"/>
                  <w:color w:val="0000FF"/>
                </w:rPr>
                <w:t>Fifth Supplemental Indenture, dated August 26, 2025, among H&amp;R Block, Inc., Block Financial LLC (formerly known as Block</w:t>
              </w:r>
            </w:hyperlink>
          </w:p>
        </w:tc>
      </w:tr>
      <w:tr>
        <w:trPr>
          <w:trHeight w:val="17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00" w:type="dxa"/>
            <w:vAlign w:val="bottom"/>
            <w:tcBorders>
              <w:top w:val="single" w:sz="8" w:color="0000FF"/>
              <w:bottom w:val="single" w:sz="8" w:color="0000FF"/>
            </w:tcBorders>
            <w:gridSpan w:val="7"/>
          </w:tcPr>
          <w:p>
            <w:pPr>
              <w:spacing w:after="0" w:line="173" w:lineRule="exact"/>
              <w:rPr>
                <w:rFonts w:ascii="Arial" w:cs="Arial" w:eastAsia="Arial" w:hAnsi="Arial"/>
                <w:sz w:val="17"/>
                <w:szCs w:val="17"/>
                <w:color w:val="0000FF"/>
              </w:rPr>
            </w:pPr>
            <w:hyperlink r:id="rId63">
              <w:r>
                <w:rPr>
                  <w:rFonts w:ascii="Arial" w:cs="Arial" w:eastAsia="Arial" w:hAnsi="Arial"/>
                  <w:sz w:val="17"/>
                  <w:szCs w:val="17"/>
                  <w:color w:val="0000FF"/>
                </w:rPr>
                <w:t>Financial Corporation), Deutsche Bank Trust Company Americas (formerly known as Bankers Trust Company) and U.S. Bank Trust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140" w:type="dxa"/>
            <w:vAlign w:val="bottom"/>
            <w:gridSpan w:val="14"/>
          </w:tcPr>
          <w:p>
            <w:pPr>
              <w:spacing w:after="0" w:line="173" w:lineRule="exact"/>
              <w:rPr>
                <w:rFonts w:ascii="Arial" w:cs="Arial" w:eastAsia="Arial" w:hAnsi="Arial"/>
                <w:sz w:val="17"/>
                <w:szCs w:val="17"/>
                <w:color w:val="0000FF"/>
              </w:rPr>
            </w:pPr>
            <w:hyperlink r:id="rId63">
              <w:r>
                <w:rPr>
                  <w:rFonts w:ascii="Arial" w:cs="Arial" w:eastAsia="Arial" w:hAnsi="Arial"/>
                  <w:sz w:val="17"/>
                  <w:szCs w:val="17"/>
                  <w:color w:val="0000FF"/>
                </w:rPr>
                <w:t>Company, National Association, as separate and successor trustee, filed as Exhibit 4.1 to the Company's current report on Form 8-</w:t>
              </w:r>
            </w:hyperlink>
          </w:p>
        </w:tc>
        <w:tc>
          <w:tcPr>
            <w:tcW w:w="2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0" w:type="dxa"/>
            <w:vAlign w:val="bottom"/>
            <w:tcBorders>
              <w:top w:val="single" w:sz="8" w:color="0000FF"/>
            </w:tcBorders>
            <w:gridSpan w:val="7"/>
          </w:tcPr>
          <w:p>
            <w:pPr>
              <w:spacing w:after="0" w:line="173" w:lineRule="exact"/>
              <w:rPr>
                <w:rFonts w:ascii="Arial" w:cs="Arial" w:eastAsia="Arial" w:hAnsi="Arial"/>
                <w:sz w:val="17"/>
                <w:szCs w:val="17"/>
                <w:color w:val="0000FF"/>
              </w:rPr>
            </w:pPr>
            <w:hyperlink r:id="rId63">
              <w:r>
                <w:rPr>
                  <w:rFonts w:ascii="Arial" w:cs="Arial" w:eastAsia="Arial" w:hAnsi="Arial"/>
                  <w:sz w:val="17"/>
                  <w:szCs w:val="17"/>
                  <w:color w:val="0000FF"/>
                </w:rPr>
                <w:t>K filed August 26, 2025, file number 1-06089, is incorporated herein by reference.</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4"/>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3500" w:type="dxa"/>
            <w:vAlign w:val="bottom"/>
            <w:tcBorders>
              <w:top w:val="single" w:sz="8" w:color="0000FF"/>
            </w:tcBorders>
          </w:tcPr>
          <w:p>
            <w:pPr>
              <w:spacing w:after="0"/>
              <w:rPr>
                <w:sz w:val="3"/>
                <w:szCs w:val="3"/>
                <w:color w:val="auto"/>
              </w:rPr>
            </w:pPr>
          </w:p>
        </w:tc>
        <w:tc>
          <w:tcPr>
            <w:tcW w:w="3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0"/>
        </w:trPr>
        <w:tc>
          <w:tcPr>
            <w:tcW w:w="360" w:type="dxa"/>
            <w:vAlign w:val="bottom"/>
            <w:gridSpan w:val="3"/>
            <w:shd w:val="clear" w:color="auto" w:fill="BFE4FF"/>
          </w:tcPr>
          <w:p>
            <w:pPr>
              <w:ind w:left="20"/>
              <w:spacing w:after="0" w:line="180" w:lineRule="exact"/>
              <w:rPr>
                <w:rFonts w:ascii="Arial" w:cs="Arial" w:eastAsia="Arial" w:hAnsi="Arial"/>
                <w:sz w:val="17"/>
                <w:szCs w:val="17"/>
                <w:color w:val="0000FF"/>
              </w:rPr>
            </w:pPr>
            <w:hyperlink r:id="rId63">
              <w:r>
                <w:rPr>
                  <w:rFonts w:ascii="Arial" w:cs="Arial" w:eastAsia="Arial" w:hAnsi="Arial"/>
                  <w:sz w:val="17"/>
                  <w:szCs w:val="17"/>
                  <w:color w:val="0000FF"/>
                </w:rPr>
                <w:t>4.</w:t>
              </w:r>
              <w:r>
                <w:rPr>
                  <w:rFonts w:ascii="Arial" w:cs="Arial" w:eastAsia="Arial" w:hAnsi="Arial"/>
                  <w:sz w:val="17"/>
                  <w:szCs w:val="17"/>
                  <w:u w:val="single" w:color="auto"/>
                  <w:color w:val="0000FF"/>
                </w:rPr>
                <w:t>2</w:t>
              </w:r>
            </w:hyperlink>
          </w:p>
        </w:tc>
        <w:tc>
          <w:tcPr>
            <w:tcW w:w="700" w:type="dxa"/>
            <w:vAlign w:val="bottom"/>
            <w:shd w:val="clear" w:color="auto" w:fill="BFE4FF"/>
          </w:tcPr>
          <w:p>
            <w:pPr>
              <w:spacing w:after="0"/>
              <w:rPr>
                <w:sz w:val="17"/>
                <w:szCs w:val="17"/>
                <w:color w:val="auto"/>
              </w:rPr>
            </w:pPr>
          </w:p>
        </w:tc>
        <w:tc>
          <w:tcPr>
            <w:tcW w:w="10160" w:type="dxa"/>
            <w:vAlign w:val="bottom"/>
            <w:gridSpan w:val="15"/>
            <w:shd w:val="clear" w:color="auto" w:fill="BFE4FF"/>
          </w:tcPr>
          <w:p>
            <w:pPr>
              <w:spacing w:after="0" w:line="180" w:lineRule="exact"/>
              <w:rPr>
                <w:rFonts w:ascii="Arial" w:cs="Arial" w:eastAsia="Arial" w:hAnsi="Arial"/>
                <w:sz w:val="17"/>
                <w:szCs w:val="17"/>
                <w:color w:val="0000FF"/>
              </w:rPr>
            </w:pPr>
            <w:hyperlink r:id="rId63">
              <w:r>
                <w:rPr>
                  <w:rFonts w:ascii="Arial" w:cs="Arial" w:eastAsia="Arial" w:hAnsi="Arial"/>
                  <w:sz w:val="17"/>
                  <w:szCs w:val="17"/>
                  <w:color w:val="0000FF"/>
                </w:rPr>
                <w:t>Officers' Certificate, dated August 26, 2025, of Block Financial LLC (including the Form of the 5.375% Notes due 2032), filed as</w:t>
              </w:r>
            </w:hyperlink>
          </w:p>
        </w:tc>
      </w:tr>
      <w:tr>
        <w:trPr>
          <w:trHeight w:val="198"/>
        </w:trPr>
        <w:tc>
          <w:tcPr>
            <w:tcW w:w="20" w:type="dxa"/>
            <w:vAlign w:val="bottom"/>
            <w:tcBorders>
              <w:top w:val="single" w:sz="8" w:color="BFE4FF"/>
              <w:bottom w:val="single" w:sz="8" w:color="BFE4FF"/>
            </w:tcBorders>
            <w:shd w:val="clear" w:color="auto" w:fill="BFE4FF"/>
          </w:tcPr>
          <w:p>
            <w:pPr>
              <w:spacing w:after="0"/>
              <w:rPr>
                <w:sz w:val="17"/>
                <w:szCs w:val="17"/>
                <w:color w:val="auto"/>
              </w:rPr>
            </w:pPr>
          </w:p>
        </w:tc>
        <w:tc>
          <w:tcPr>
            <w:tcW w:w="240" w:type="dxa"/>
            <w:vAlign w:val="bottom"/>
            <w:tcBorders>
              <w:top w:val="single" w:sz="8" w:color="0000FF"/>
              <w:bottom w:val="single" w:sz="8" w:color="BFE4FF"/>
            </w:tcBorders>
            <w:shd w:val="clear" w:color="auto" w:fill="BFE4FF"/>
          </w:tcPr>
          <w:p>
            <w:pPr>
              <w:spacing w:after="0"/>
              <w:rPr>
                <w:sz w:val="17"/>
                <w:szCs w:val="17"/>
                <w:color w:val="auto"/>
              </w:rPr>
            </w:pPr>
          </w:p>
        </w:tc>
        <w:tc>
          <w:tcPr>
            <w:tcW w:w="100" w:type="dxa"/>
            <w:vAlign w:val="bottom"/>
            <w:tcBorders>
              <w:top w:val="single" w:sz="8" w:color="BFE4FF"/>
              <w:bottom w:val="single" w:sz="8" w:color="BFE4FF"/>
            </w:tcBorders>
            <w:shd w:val="clear" w:color="auto" w:fill="BFE4FF"/>
          </w:tcPr>
          <w:p>
            <w:pPr>
              <w:spacing w:after="0"/>
              <w:rPr>
                <w:sz w:val="17"/>
                <w:szCs w:val="17"/>
                <w:color w:val="auto"/>
              </w:rPr>
            </w:pPr>
          </w:p>
        </w:tc>
        <w:tc>
          <w:tcPr>
            <w:tcW w:w="700" w:type="dxa"/>
            <w:vAlign w:val="bottom"/>
            <w:tcBorders>
              <w:top w:val="single" w:sz="8" w:color="BFE4FF"/>
              <w:bottom w:val="single" w:sz="8" w:color="BFE4FF"/>
            </w:tcBorders>
            <w:shd w:val="clear" w:color="auto" w:fill="BFE4FF"/>
          </w:tcPr>
          <w:p>
            <w:pPr>
              <w:spacing w:after="0"/>
              <w:rPr>
                <w:sz w:val="17"/>
                <w:szCs w:val="17"/>
                <w:color w:val="auto"/>
              </w:rPr>
            </w:pPr>
          </w:p>
        </w:tc>
        <w:tc>
          <w:tcPr>
            <w:tcW w:w="20" w:type="dxa"/>
            <w:vAlign w:val="bottom"/>
            <w:tcBorders>
              <w:top w:val="single" w:sz="8" w:color="BFE4FF"/>
              <w:bottom w:val="single" w:sz="8" w:color="BFE4FF"/>
            </w:tcBorders>
            <w:shd w:val="clear" w:color="auto" w:fill="BFE4FF"/>
          </w:tcPr>
          <w:p>
            <w:pPr>
              <w:spacing w:after="0"/>
              <w:rPr>
                <w:sz w:val="17"/>
                <w:szCs w:val="17"/>
                <w:color w:val="auto"/>
              </w:rPr>
            </w:pPr>
          </w:p>
        </w:tc>
        <w:tc>
          <w:tcPr>
            <w:tcW w:w="9800" w:type="dxa"/>
            <w:vAlign w:val="bottom"/>
            <w:tcBorders>
              <w:top w:val="single" w:sz="8" w:color="0000FF"/>
              <w:bottom w:val="single" w:sz="8" w:color="0000FF"/>
            </w:tcBorders>
            <w:gridSpan w:val="5"/>
            <w:shd w:val="clear" w:color="auto" w:fill="BFE4FF"/>
          </w:tcPr>
          <w:p>
            <w:pPr>
              <w:spacing w:after="0" w:line="154" w:lineRule="exact"/>
              <w:rPr>
                <w:rFonts w:ascii="Arial" w:cs="Arial" w:eastAsia="Arial" w:hAnsi="Arial"/>
                <w:sz w:val="17"/>
                <w:szCs w:val="17"/>
                <w:color w:val="0000FF"/>
              </w:rPr>
            </w:pPr>
            <w:hyperlink r:id="rId63">
              <w:r>
                <w:rPr>
                  <w:rFonts w:ascii="Arial" w:cs="Arial" w:eastAsia="Arial" w:hAnsi="Arial"/>
                  <w:sz w:val="17"/>
                  <w:szCs w:val="17"/>
                  <w:color w:val="0000FF"/>
                </w:rPr>
                <w:t>Exhibit 4.2 to the Company's current report on Form 8-K filed August 26, 2025, file number 1-06089, is incorporated by reference.</w:t>
              </w:r>
            </w:hyperlink>
          </w:p>
        </w:tc>
        <w:tc>
          <w:tcPr>
            <w:tcW w:w="300" w:type="dxa"/>
            <w:vAlign w:val="bottom"/>
            <w:tcBorders>
              <w:top w:val="single" w:sz="8" w:color="0000FF"/>
              <w:bottom w:val="single" w:sz="8" w:color="BFE4FF"/>
            </w:tcBorders>
            <w:gridSpan w:val="7"/>
            <w:shd w:val="clear" w:color="auto" w:fill="BFE4FF"/>
          </w:tcPr>
          <w:p>
            <w:pPr>
              <w:spacing w:after="0"/>
              <w:rPr>
                <w:sz w:val="17"/>
                <w:szCs w:val="17"/>
                <w:color w:val="auto"/>
              </w:rPr>
            </w:pPr>
          </w:p>
        </w:tc>
        <w:tc>
          <w:tcPr>
            <w:tcW w:w="40" w:type="dxa"/>
            <w:vAlign w:val="bottom"/>
            <w:tcBorders>
              <w:top w:val="single" w:sz="8" w:color="BFE4FF"/>
              <w:bottom w:val="single" w:sz="8" w:color="BFE4FF"/>
            </w:tcBorders>
            <w:gridSpan w:val="2"/>
            <w:shd w:val="clear" w:color="auto" w:fill="BFE4FF"/>
          </w:tcPr>
          <w:p>
            <w:pPr>
              <w:spacing w:after="0"/>
              <w:rPr>
                <w:sz w:val="17"/>
                <w:szCs w:val="17"/>
                <w:color w:val="auto"/>
              </w:rPr>
            </w:pPr>
          </w:p>
        </w:tc>
      </w:tr>
      <w:tr>
        <w:trPr>
          <w:trHeight w:val="180"/>
        </w:trPr>
        <w:tc>
          <w:tcPr>
            <w:tcW w:w="360" w:type="dxa"/>
            <w:vAlign w:val="bottom"/>
            <w:gridSpan w:val="3"/>
          </w:tcPr>
          <w:p>
            <w:pPr>
              <w:ind w:left="20"/>
              <w:spacing w:after="0" w:line="180" w:lineRule="exact"/>
              <w:rPr>
                <w:rFonts w:ascii="Arial" w:cs="Arial" w:eastAsia="Arial" w:hAnsi="Arial"/>
                <w:sz w:val="17"/>
                <w:szCs w:val="17"/>
                <w:color w:val="0000FF"/>
                <w:w w:val="96"/>
              </w:rPr>
            </w:pPr>
            <w:hyperlink r:id="rId64">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1</w:t>
              </w:r>
            </w:hyperlink>
          </w:p>
        </w:tc>
        <w:tc>
          <w:tcPr>
            <w:tcW w:w="700" w:type="dxa"/>
            <w:vAlign w:val="bottom"/>
          </w:tcPr>
          <w:p>
            <w:pPr>
              <w:spacing w:after="0"/>
              <w:rPr>
                <w:sz w:val="15"/>
                <w:szCs w:val="15"/>
                <w:color w:val="auto"/>
              </w:rPr>
            </w:pPr>
          </w:p>
        </w:tc>
        <w:tc>
          <w:tcPr>
            <w:tcW w:w="10160" w:type="dxa"/>
            <w:vAlign w:val="bottom"/>
            <w:gridSpan w:val="15"/>
          </w:tcPr>
          <w:p>
            <w:pPr>
              <w:spacing w:after="0" w:line="180" w:lineRule="exact"/>
              <w:rPr>
                <w:rFonts w:ascii="Arial" w:cs="Arial" w:eastAsia="Arial" w:hAnsi="Arial"/>
                <w:sz w:val="17"/>
                <w:szCs w:val="17"/>
                <w:color w:val="0000FF"/>
              </w:rPr>
            </w:pPr>
            <w:hyperlink r:id="rId64">
              <w:r>
                <w:rPr>
                  <w:rFonts w:ascii="Arial" w:cs="Arial" w:eastAsia="Arial" w:hAnsi="Arial"/>
                  <w:sz w:val="17"/>
                  <w:szCs w:val="17"/>
                  <w:color w:val="0000FF"/>
                </w:rPr>
                <w:t>Transition and Strategic Advisor Agreement dated August 9, 2025, among H&amp;R Block, Inc., HRB Professional Resources LLC, and</w:t>
              </w:r>
            </w:hyperlink>
          </w:p>
        </w:tc>
      </w:tr>
      <w:tr>
        <w:trPr>
          <w:trHeight w:val="17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20" w:type="dxa"/>
            <w:vAlign w:val="bottom"/>
            <w:tcBorders>
              <w:top w:val="single" w:sz="8" w:color="0000FF"/>
              <w:bottom w:val="single" w:sz="8" w:color="0000FF"/>
            </w:tcBorders>
            <w:gridSpan w:val="8"/>
          </w:tcPr>
          <w:p>
            <w:pPr>
              <w:spacing w:after="0" w:line="173" w:lineRule="exact"/>
              <w:rPr>
                <w:rFonts w:ascii="Arial" w:cs="Arial" w:eastAsia="Arial" w:hAnsi="Arial"/>
                <w:sz w:val="17"/>
                <w:szCs w:val="17"/>
                <w:color w:val="0000FF"/>
              </w:rPr>
            </w:pPr>
            <w:hyperlink r:id="rId64">
              <w:r>
                <w:rPr>
                  <w:rFonts w:ascii="Arial" w:cs="Arial" w:eastAsia="Arial" w:hAnsi="Arial"/>
                  <w:sz w:val="17"/>
                  <w:szCs w:val="17"/>
                  <w:color w:val="0000FF"/>
                </w:rPr>
                <w:t>Jeffrey J. Jones II, filed as Exhibit 10.1 to the Company's current report on Form 8-K filed on August 11, 2025, file number 1-06089,</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60" w:type="dxa"/>
            <w:vAlign w:val="bottom"/>
            <w:gridSpan w:val="10"/>
          </w:tcPr>
          <w:p>
            <w:pPr>
              <w:spacing w:after="0" w:line="173" w:lineRule="exact"/>
              <w:rPr>
                <w:rFonts w:ascii="Arial" w:cs="Arial" w:eastAsia="Arial" w:hAnsi="Arial"/>
                <w:sz w:val="17"/>
                <w:szCs w:val="17"/>
                <w:color w:val="0000FF"/>
              </w:rPr>
            </w:pPr>
            <w:hyperlink r:id="rId64">
              <w:r>
                <w:rPr>
                  <w:rFonts w:ascii="Arial" w:cs="Arial" w:eastAsia="Arial" w:hAnsi="Arial"/>
                  <w:sz w:val="17"/>
                  <w:szCs w:val="17"/>
                  <w:color w:val="0000FF"/>
                </w:rPr>
                <w:t>is incorporated herein by reference.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4"/>
        </w:trPr>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35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00"/>
        </w:trPr>
        <w:tc>
          <w:tcPr>
            <w:tcW w:w="360" w:type="dxa"/>
            <w:vAlign w:val="bottom"/>
            <w:gridSpan w:val="3"/>
            <w:shd w:val="clear" w:color="auto" w:fill="BFE4FF"/>
          </w:tcPr>
          <w:p>
            <w:pPr>
              <w:ind w:left="20"/>
              <w:spacing w:after="0" w:line="180" w:lineRule="exact"/>
              <w:rPr>
                <w:rFonts w:ascii="Arial" w:cs="Arial" w:eastAsia="Arial" w:hAnsi="Arial"/>
                <w:sz w:val="17"/>
                <w:szCs w:val="17"/>
                <w:color w:val="0000FF"/>
                <w:w w:val="96"/>
              </w:rPr>
            </w:pPr>
            <w:hyperlink r:id="rId64">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2</w:t>
              </w:r>
            </w:hyperlink>
          </w:p>
        </w:tc>
        <w:tc>
          <w:tcPr>
            <w:tcW w:w="700" w:type="dxa"/>
            <w:vAlign w:val="bottom"/>
            <w:shd w:val="clear" w:color="auto" w:fill="BFE4FF"/>
          </w:tcPr>
          <w:p>
            <w:pPr>
              <w:spacing w:after="0"/>
              <w:rPr>
                <w:sz w:val="17"/>
                <w:szCs w:val="17"/>
                <w:color w:val="auto"/>
              </w:rPr>
            </w:pPr>
          </w:p>
        </w:tc>
        <w:tc>
          <w:tcPr>
            <w:tcW w:w="10160" w:type="dxa"/>
            <w:vAlign w:val="bottom"/>
            <w:gridSpan w:val="15"/>
            <w:shd w:val="clear" w:color="auto" w:fill="BFE4FF"/>
          </w:tcPr>
          <w:p>
            <w:pPr>
              <w:spacing w:after="0" w:line="180" w:lineRule="exact"/>
              <w:rPr>
                <w:rFonts w:ascii="Arial" w:cs="Arial" w:eastAsia="Arial" w:hAnsi="Arial"/>
                <w:sz w:val="17"/>
                <w:szCs w:val="17"/>
                <w:color w:val="0000FF"/>
              </w:rPr>
            </w:pPr>
            <w:hyperlink r:id="rId64">
              <w:r>
                <w:rPr>
                  <w:rFonts w:ascii="Arial" w:cs="Arial" w:eastAsia="Arial" w:hAnsi="Arial"/>
                  <w:sz w:val="17"/>
                  <w:szCs w:val="17"/>
                  <w:color w:val="0000FF"/>
                </w:rPr>
                <w:t>Offer Letter dated August 9, 2025, among H&amp;R Block, Inc., HRB Professional Resources LLC, and Curtis A. Campbell, filed as</w:t>
              </w:r>
            </w:hyperlink>
          </w:p>
        </w:tc>
      </w:tr>
      <w:tr>
        <w:trPr>
          <w:trHeight w:val="153"/>
        </w:trPr>
        <w:tc>
          <w:tcPr>
            <w:tcW w:w="20" w:type="dxa"/>
            <w:vAlign w:val="bottom"/>
            <w:tcBorders>
              <w:top w:val="single" w:sz="8" w:color="BFE4FF"/>
            </w:tcBorders>
            <w:shd w:val="clear" w:color="auto" w:fill="BFE4FF"/>
          </w:tcPr>
          <w:p>
            <w:pPr>
              <w:spacing w:after="0"/>
              <w:rPr>
                <w:sz w:val="13"/>
                <w:szCs w:val="13"/>
                <w:color w:val="auto"/>
              </w:rPr>
            </w:pPr>
          </w:p>
        </w:tc>
        <w:tc>
          <w:tcPr>
            <w:tcW w:w="240" w:type="dxa"/>
            <w:vAlign w:val="bottom"/>
            <w:tcBorders>
              <w:top w:val="single" w:sz="8" w:color="0000FF"/>
            </w:tcBorders>
            <w:shd w:val="clear" w:color="auto" w:fill="BFE4FF"/>
          </w:tcPr>
          <w:p>
            <w:pPr>
              <w:spacing w:after="0"/>
              <w:rPr>
                <w:sz w:val="13"/>
                <w:szCs w:val="13"/>
                <w:color w:val="auto"/>
              </w:rPr>
            </w:pPr>
          </w:p>
        </w:tc>
        <w:tc>
          <w:tcPr>
            <w:tcW w:w="100" w:type="dxa"/>
            <w:vAlign w:val="bottom"/>
            <w:tcBorders>
              <w:top w:val="single" w:sz="8" w:color="0000FF"/>
            </w:tcBorders>
            <w:shd w:val="clear" w:color="auto" w:fill="BFE4FF"/>
          </w:tcPr>
          <w:p>
            <w:pPr>
              <w:spacing w:after="0"/>
              <w:rPr>
                <w:sz w:val="13"/>
                <w:szCs w:val="13"/>
                <w:color w:val="auto"/>
              </w:rPr>
            </w:pPr>
          </w:p>
        </w:tc>
        <w:tc>
          <w:tcPr>
            <w:tcW w:w="700" w:type="dxa"/>
            <w:vAlign w:val="bottom"/>
            <w:tcBorders>
              <w:top w:val="single" w:sz="8" w:color="BFE4FF"/>
            </w:tcBorders>
            <w:shd w:val="clear" w:color="auto" w:fill="BFE4FF"/>
          </w:tcPr>
          <w:p>
            <w:pPr>
              <w:spacing w:after="0"/>
              <w:rPr>
                <w:sz w:val="13"/>
                <w:szCs w:val="13"/>
                <w:color w:val="auto"/>
              </w:rPr>
            </w:pPr>
          </w:p>
        </w:tc>
        <w:tc>
          <w:tcPr>
            <w:tcW w:w="20" w:type="dxa"/>
            <w:vAlign w:val="bottom"/>
            <w:tcBorders>
              <w:top w:val="single" w:sz="8" w:color="BFE4FF"/>
            </w:tcBorders>
            <w:shd w:val="clear" w:color="auto" w:fill="BFE4FF"/>
          </w:tcPr>
          <w:p>
            <w:pPr>
              <w:spacing w:after="0"/>
              <w:rPr>
                <w:sz w:val="13"/>
                <w:szCs w:val="13"/>
                <w:color w:val="auto"/>
              </w:rPr>
            </w:pPr>
          </w:p>
        </w:tc>
        <w:tc>
          <w:tcPr>
            <w:tcW w:w="10080" w:type="dxa"/>
            <w:vAlign w:val="bottom"/>
            <w:tcBorders>
              <w:top w:val="single" w:sz="8" w:color="0000FF"/>
            </w:tcBorders>
            <w:gridSpan w:val="11"/>
            <w:shd w:val="clear" w:color="auto" w:fill="BFE4FF"/>
          </w:tcPr>
          <w:p>
            <w:pPr>
              <w:spacing w:after="0" w:line="154" w:lineRule="exact"/>
              <w:rPr>
                <w:rFonts w:ascii="Arial" w:cs="Arial" w:eastAsia="Arial" w:hAnsi="Arial"/>
                <w:sz w:val="17"/>
                <w:szCs w:val="17"/>
                <w:color w:val="0000FF"/>
              </w:rPr>
            </w:pPr>
            <w:hyperlink r:id="rId64">
              <w:r>
                <w:rPr>
                  <w:rFonts w:ascii="Arial" w:cs="Arial" w:eastAsia="Arial" w:hAnsi="Arial"/>
                  <w:sz w:val="17"/>
                  <w:szCs w:val="17"/>
                  <w:color w:val="0000FF"/>
                </w:rPr>
                <w:t>Exhibit 10.2 to the Company's current report on Form 8-K filed on August 11, 2025, file number 1-06089, is incorporated herein by</w:t>
              </w:r>
            </w:hyperlink>
          </w:p>
        </w:tc>
        <w:tc>
          <w:tcPr>
            <w:tcW w:w="60" w:type="dxa"/>
            <w:vAlign w:val="bottom"/>
            <w:tcBorders>
              <w:top w:val="single" w:sz="8" w:color="BFE4FF"/>
            </w:tcBorders>
            <w:gridSpan w:val="3"/>
            <w:shd w:val="clear" w:color="auto" w:fill="BFE4FF"/>
          </w:tcPr>
          <w:p>
            <w:pPr>
              <w:spacing w:after="0"/>
              <w:rPr>
                <w:sz w:val="13"/>
                <w:szCs w:val="13"/>
                <w:color w:val="auto"/>
              </w:rPr>
            </w:pPr>
          </w:p>
        </w:tc>
      </w:tr>
      <w:tr>
        <w:trPr>
          <w:trHeight w:val="173"/>
        </w:trPr>
        <w:tc>
          <w:tcPr>
            <w:tcW w:w="20" w:type="dxa"/>
            <w:vAlign w:val="bottom"/>
            <w:tcBorders>
              <w:top w:val="single" w:sz="8" w:color="BFE4FF"/>
            </w:tcBorders>
            <w:shd w:val="clear" w:color="auto" w:fill="BFE4FF"/>
          </w:tcPr>
          <w:p>
            <w:pPr>
              <w:spacing w:after="0"/>
              <w:rPr>
                <w:sz w:val="15"/>
                <w:szCs w:val="15"/>
                <w:color w:val="auto"/>
              </w:rPr>
            </w:pPr>
          </w:p>
        </w:tc>
        <w:tc>
          <w:tcPr>
            <w:tcW w:w="24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BFE4FF"/>
            </w:tcBorders>
            <w:shd w:val="clear" w:color="auto" w:fill="BFE4FF"/>
          </w:tcPr>
          <w:p>
            <w:pPr>
              <w:spacing w:after="0"/>
              <w:rPr>
                <w:sz w:val="15"/>
                <w:szCs w:val="15"/>
                <w:color w:val="auto"/>
              </w:rPr>
            </w:pPr>
          </w:p>
        </w:tc>
        <w:tc>
          <w:tcPr>
            <w:tcW w:w="700" w:type="dxa"/>
            <w:vAlign w:val="bottom"/>
            <w:tcBorders>
              <w:top w:val="single" w:sz="8" w:color="BFE4FF"/>
            </w:tcBorders>
            <w:shd w:val="clear" w:color="auto" w:fill="BFE4FF"/>
          </w:tcPr>
          <w:p>
            <w:pPr>
              <w:spacing w:after="0"/>
              <w:rPr>
                <w:sz w:val="15"/>
                <w:szCs w:val="15"/>
                <w:color w:val="auto"/>
              </w:rPr>
            </w:pPr>
          </w:p>
        </w:tc>
        <w:tc>
          <w:tcPr>
            <w:tcW w:w="20" w:type="dxa"/>
            <w:vAlign w:val="bottom"/>
            <w:tcBorders>
              <w:top w:val="single" w:sz="8" w:color="BFE4FF"/>
            </w:tcBorders>
            <w:shd w:val="clear" w:color="auto" w:fill="BFE4FF"/>
          </w:tcPr>
          <w:p>
            <w:pPr>
              <w:spacing w:after="0"/>
              <w:rPr>
                <w:sz w:val="15"/>
                <w:szCs w:val="15"/>
                <w:color w:val="auto"/>
              </w:rPr>
            </w:pPr>
          </w:p>
        </w:tc>
        <w:tc>
          <w:tcPr>
            <w:tcW w:w="10060" w:type="dxa"/>
            <w:vAlign w:val="bottom"/>
            <w:tcBorders>
              <w:top w:val="single" w:sz="8" w:color="0000FF"/>
            </w:tcBorders>
            <w:gridSpan w:val="10"/>
            <w:shd w:val="clear" w:color="auto" w:fill="BFE4FF"/>
          </w:tcPr>
          <w:p>
            <w:pPr>
              <w:spacing w:after="0" w:line="173" w:lineRule="exact"/>
              <w:rPr>
                <w:rFonts w:ascii="Arial" w:cs="Arial" w:eastAsia="Arial" w:hAnsi="Arial"/>
                <w:sz w:val="17"/>
                <w:szCs w:val="17"/>
                <w:color w:val="0000FF"/>
              </w:rPr>
            </w:pPr>
            <w:hyperlink r:id="rId64">
              <w:r>
                <w:rPr>
                  <w:rFonts w:ascii="Arial" w:cs="Arial" w:eastAsia="Arial" w:hAnsi="Arial"/>
                  <w:sz w:val="17"/>
                  <w:szCs w:val="17"/>
                  <w:color w:val="0000FF"/>
                </w:rPr>
                <w:t>reference.</w:t>
              </w:r>
            </w:hyperlink>
          </w:p>
        </w:tc>
        <w:tc>
          <w:tcPr>
            <w:tcW w:w="80" w:type="dxa"/>
            <w:vAlign w:val="bottom"/>
            <w:tcBorders>
              <w:top w:val="single" w:sz="8" w:color="BFE4FF"/>
            </w:tcBorders>
            <w:gridSpan w:val="4"/>
            <w:shd w:val="clear" w:color="auto" w:fill="BFE4FF"/>
          </w:tcPr>
          <w:p>
            <w:pPr>
              <w:spacing w:after="0"/>
              <w:rPr>
                <w:sz w:val="15"/>
                <w:szCs w:val="15"/>
                <w:color w:val="auto"/>
              </w:rPr>
            </w:pPr>
          </w:p>
        </w:tc>
      </w:tr>
      <w:tr>
        <w:trPr>
          <w:trHeight w:val="44"/>
        </w:trPr>
        <w:tc>
          <w:tcPr>
            <w:tcW w:w="20" w:type="dxa"/>
            <w:vAlign w:val="bottom"/>
            <w:tcBorders>
              <w:top w:val="single" w:sz="8" w:color="BFE4FF"/>
            </w:tcBorders>
            <w:shd w:val="clear" w:color="auto" w:fill="BFE4FF"/>
          </w:tcPr>
          <w:p>
            <w:pPr>
              <w:spacing w:after="0"/>
              <w:rPr>
                <w:sz w:val="3"/>
                <w:szCs w:val="3"/>
                <w:color w:val="auto"/>
              </w:rPr>
            </w:pPr>
          </w:p>
        </w:tc>
        <w:tc>
          <w:tcPr>
            <w:tcW w:w="240" w:type="dxa"/>
            <w:vAlign w:val="bottom"/>
            <w:tcBorders>
              <w:top w:val="single" w:sz="8" w:color="BFE4FF"/>
            </w:tcBorders>
            <w:shd w:val="clear" w:color="auto" w:fill="BFE4FF"/>
          </w:tcPr>
          <w:p>
            <w:pPr>
              <w:spacing w:after="0"/>
              <w:rPr>
                <w:sz w:val="3"/>
                <w:szCs w:val="3"/>
                <w:color w:val="auto"/>
              </w:rPr>
            </w:pPr>
          </w:p>
        </w:tc>
        <w:tc>
          <w:tcPr>
            <w:tcW w:w="100" w:type="dxa"/>
            <w:vAlign w:val="bottom"/>
            <w:tcBorders>
              <w:top w:val="single" w:sz="8" w:color="BFE4FF"/>
            </w:tcBorders>
            <w:shd w:val="clear" w:color="auto" w:fill="BFE4FF"/>
          </w:tcPr>
          <w:p>
            <w:pPr>
              <w:spacing w:after="0"/>
              <w:rPr>
                <w:sz w:val="3"/>
                <w:szCs w:val="3"/>
                <w:color w:val="auto"/>
              </w:rPr>
            </w:pPr>
          </w:p>
        </w:tc>
        <w:tc>
          <w:tcPr>
            <w:tcW w:w="700" w:type="dxa"/>
            <w:vAlign w:val="bottom"/>
            <w:tcBorders>
              <w:top w:val="single" w:sz="8" w:color="BFE4FF"/>
            </w:tcBorders>
            <w:shd w:val="clear" w:color="auto" w:fill="BFE4FF"/>
          </w:tcPr>
          <w:p>
            <w:pPr>
              <w:spacing w:after="0"/>
              <w:rPr>
                <w:sz w:val="3"/>
                <w:szCs w:val="3"/>
                <w:color w:val="auto"/>
              </w:rPr>
            </w:pPr>
          </w:p>
        </w:tc>
        <w:tc>
          <w:tcPr>
            <w:tcW w:w="20" w:type="dxa"/>
            <w:vAlign w:val="bottom"/>
            <w:tcBorders>
              <w:top w:val="single" w:sz="8" w:color="BFE4FF"/>
            </w:tcBorders>
            <w:shd w:val="clear" w:color="auto" w:fill="BFE4FF"/>
          </w:tcPr>
          <w:p>
            <w:pPr>
              <w:spacing w:after="0"/>
              <w:rPr>
                <w:sz w:val="3"/>
                <w:szCs w:val="3"/>
                <w:color w:val="auto"/>
              </w:rPr>
            </w:pPr>
          </w:p>
        </w:tc>
        <w:tc>
          <w:tcPr>
            <w:tcW w:w="400" w:type="dxa"/>
            <w:vAlign w:val="bottom"/>
            <w:tcBorders>
              <w:top w:val="single" w:sz="8" w:color="0000FF"/>
            </w:tcBorders>
            <w:shd w:val="clear" w:color="auto" w:fill="BFE4FF"/>
          </w:tcPr>
          <w:p>
            <w:pPr>
              <w:spacing w:after="0"/>
              <w:rPr>
                <w:sz w:val="3"/>
                <w:szCs w:val="3"/>
                <w:color w:val="auto"/>
              </w:rPr>
            </w:pPr>
          </w:p>
        </w:tc>
        <w:tc>
          <w:tcPr>
            <w:tcW w:w="340" w:type="dxa"/>
            <w:vAlign w:val="bottom"/>
            <w:tcBorders>
              <w:top w:val="single" w:sz="8" w:color="0000FF"/>
            </w:tcBorders>
            <w:shd w:val="clear" w:color="auto" w:fill="BFE4FF"/>
          </w:tcPr>
          <w:p>
            <w:pPr>
              <w:spacing w:after="0"/>
              <w:rPr>
                <w:sz w:val="3"/>
                <w:szCs w:val="3"/>
                <w:color w:val="auto"/>
              </w:rPr>
            </w:pPr>
          </w:p>
        </w:tc>
        <w:tc>
          <w:tcPr>
            <w:tcW w:w="1940" w:type="dxa"/>
            <w:vAlign w:val="bottom"/>
            <w:tcBorders>
              <w:top w:val="single" w:sz="8" w:color="BFE4FF"/>
            </w:tcBorders>
            <w:shd w:val="clear" w:color="auto" w:fill="BFE4FF"/>
          </w:tcPr>
          <w:p>
            <w:pPr>
              <w:spacing w:after="0"/>
              <w:rPr>
                <w:sz w:val="3"/>
                <w:szCs w:val="3"/>
                <w:color w:val="auto"/>
              </w:rPr>
            </w:pPr>
          </w:p>
        </w:tc>
        <w:tc>
          <w:tcPr>
            <w:tcW w:w="3500" w:type="dxa"/>
            <w:vAlign w:val="bottom"/>
            <w:tcBorders>
              <w:top w:val="single" w:sz="8" w:color="BFE4FF"/>
            </w:tcBorders>
            <w:shd w:val="clear" w:color="auto" w:fill="BFE4FF"/>
          </w:tcPr>
          <w:p>
            <w:pPr>
              <w:spacing w:after="0"/>
              <w:rPr>
                <w:sz w:val="3"/>
                <w:szCs w:val="3"/>
                <w:color w:val="auto"/>
              </w:rPr>
            </w:pPr>
          </w:p>
        </w:tc>
        <w:tc>
          <w:tcPr>
            <w:tcW w:w="3620" w:type="dxa"/>
            <w:vAlign w:val="bottom"/>
            <w:tcBorders>
              <w:top w:val="single" w:sz="8" w:color="BFE4FF"/>
            </w:tcBorders>
            <w:shd w:val="clear" w:color="auto" w:fill="BFE4FF"/>
          </w:tcPr>
          <w:p>
            <w:pPr>
              <w:spacing w:after="0"/>
              <w:rPr>
                <w:sz w:val="3"/>
                <w:szCs w:val="3"/>
                <w:color w:val="auto"/>
              </w:rPr>
            </w:pPr>
          </w:p>
        </w:tc>
        <w:tc>
          <w:tcPr>
            <w:tcW w:w="180" w:type="dxa"/>
            <w:vAlign w:val="bottom"/>
            <w:tcBorders>
              <w:top w:val="single" w:sz="8" w:color="BFE4FF"/>
            </w:tcBorders>
            <w:shd w:val="clear" w:color="auto" w:fill="BFE4FF"/>
          </w:tcPr>
          <w:p>
            <w:pPr>
              <w:spacing w:after="0"/>
              <w:rPr>
                <w:sz w:val="3"/>
                <w:szCs w:val="3"/>
                <w:color w:val="auto"/>
              </w:rPr>
            </w:pPr>
          </w:p>
        </w:tc>
        <w:tc>
          <w:tcPr>
            <w:tcW w:w="20" w:type="dxa"/>
            <w:vAlign w:val="bottom"/>
            <w:tcBorders>
              <w:top w:val="single" w:sz="8" w:color="BFE4FF"/>
            </w:tcBorders>
            <w:shd w:val="clear" w:color="auto" w:fill="BFE4FF"/>
          </w:tcPr>
          <w:p>
            <w:pPr>
              <w:spacing w:after="0"/>
              <w:rPr>
                <w:sz w:val="3"/>
                <w:szCs w:val="3"/>
                <w:color w:val="auto"/>
              </w:rPr>
            </w:pPr>
          </w:p>
        </w:tc>
        <w:tc>
          <w:tcPr>
            <w:tcW w:w="20" w:type="dxa"/>
            <w:vAlign w:val="bottom"/>
            <w:tcBorders>
              <w:top w:val="single" w:sz="8" w:color="BFE4FF"/>
            </w:tcBorders>
            <w:shd w:val="clear" w:color="auto" w:fill="BFE4FF"/>
          </w:tcPr>
          <w:p>
            <w:pPr>
              <w:spacing w:after="0"/>
              <w:rPr>
                <w:sz w:val="3"/>
                <w:szCs w:val="3"/>
                <w:color w:val="auto"/>
              </w:rPr>
            </w:pPr>
          </w:p>
        </w:tc>
        <w:tc>
          <w:tcPr>
            <w:tcW w:w="20" w:type="dxa"/>
            <w:vAlign w:val="bottom"/>
            <w:tcBorders>
              <w:top w:val="single" w:sz="8" w:color="BFE4FF"/>
            </w:tcBorders>
            <w:shd w:val="clear" w:color="auto" w:fill="BFE4FF"/>
          </w:tcPr>
          <w:p>
            <w:pPr>
              <w:spacing w:after="0"/>
              <w:rPr>
                <w:sz w:val="3"/>
                <w:szCs w:val="3"/>
                <w:color w:val="auto"/>
              </w:rPr>
            </w:pPr>
          </w:p>
        </w:tc>
        <w:tc>
          <w:tcPr>
            <w:tcW w:w="20" w:type="dxa"/>
            <w:vAlign w:val="bottom"/>
            <w:tcBorders>
              <w:top w:val="single" w:sz="8" w:color="BFE4FF"/>
            </w:tcBorders>
            <w:shd w:val="clear" w:color="auto" w:fill="BFE4FF"/>
          </w:tcPr>
          <w:p>
            <w:pPr>
              <w:spacing w:after="0"/>
              <w:rPr>
                <w:sz w:val="3"/>
                <w:szCs w:val="3"/>
                <w:color w:val="auto"/>
              </w:rPr>
            </w:pPr>
          </w:p>
        </w:tc>
        <w:tc>
          <w:tcPr>
            <w:tcW w:w="20" w:type="dxa"/>
            <w:vAlign w:val="bottom"/>
            <w:tcBorders>
              <w:top w:val="single" w:sz="8" w:color="BFE4FF"/>
            </w:tcBorders>
            <w:shd w:val="clear" w:color="auto" w:fill="BFE4FF"/>
          </w:tcPr>
          <w:p>
            <w:pPr>
              <w:spacing w:after="0"/>
              <w:rPr>
                <w:sz w:val="3"/>
                <w:szCs w:val="3"/>
                <w:color w:val="auto"/>
              </w:rPr>
            </w:pPr>
          </w:p>
        </w:tc>
        <w:tc>
          <w:tcPr>
            <w:tcW w:w="20" w:type="dxa"/>
            <w:vAlign w:val="bottom"/>
            <w:tcBorders>
              <w:top w:val="single" w:sz="8" w:color="BFE4FF"/>
            </w:tcBorders>
            <w:shd w:val="clear" w:color="auto" w:fill="BFE4FF"/>
          </w:tcPr>
          <w:p>
            <w:pPr>
              <w:spacing w:after="0"/>
              <w:rPr>
                <w:sz w:val="3"/>
                <w:szCs w:val="3"/>
                <w:color w:val="auto"/>
              </w:rPr>
            </w:pPr>
          </w:p>
        </w:tc>
        <w:tc>
          <w:tcPr>
            <w:tcW w:w="20" w:type="dxa"/>
            <w:vAlign w:val="bottom"/>
            <w:tcBorders>
              <w:top w:val="single" w:sz="8" w:color="BFE4FF"/>
            </w:tcBorders>
            <w:shd w:val="clear" w:color="auto" w:fill="BFE4FF"/>
          </w:tcPr>
          <w:p>
            <w:pPr>
              <w:spacing w:after="0"/>
              <w:rPr>
                <w:sz w:val="3"/>
                <w:szCs w:val="3"/>
                <w:color w:val="auto"/>
              </w:rPr>
            </w:pPr>
          </w:p>
        </w:tc>
        <w:tc>
          <w:tcPr>
            <w:tcW w:w="20" w:type="dxa"/>
            <w:vAlign w:val="bottom"/>
            <w:tcBorders>
              <w:top w:val="single" w:sz="8" w:color="BFE4FF"/>
            </w:tcBorders>
            <w:shd w:val="clear" w:color="auto" w:fill="BFE4FF"/>
          </w:tcPr>
          <w:p>
            <w:pPr>
              <w:spacing w:after="0"/>
              <w:rPr>
                <w:sz w:val="3"/>
                <w:szCs w:val="3"/>
                <w:color w:val="auto"/>
              </w:rPr>
            </w:pPr>
          </w:p>
        </w:tc>
      </w:tr>
      <w:tr>
        <w:trPr>
          <w:trHeight w:val="200"/>
        </w:trPr>
        <w:tc>
          <w:tcPr>
            <w:tcW w:w="360" w:type="dxa"/>
            <w:vAlign w:val="bottom"/>
            <w:gridSpan w:val="3"/>
          </w:tcPr>
          <w:p>
            <w:pPr>
              <w:ind w:left="20"/>
              <w:spacing w:after="0" w:line="180" w:lineRule="exact"/>
              <w:rPr>
                <w:sz w:val="20"/>
                <w:szCs w:val="20"/>
                <w:color w:val="auto"/>
              </w:rPr>
            </w:pPr>
            <w:r>
              <w:rPr>
                <w:rFonts w:ascii="Arial" w:cs="Arial" w:eastAsia="Arial" w:hAnsi="Arial"/>
                <w:sz w:val="17"/>
                <w:szCs w:val="17"/>
                <w:color w:val="0000FF"/>
                <w:w w:val="96"/>
              </w:rPr>
              <w:t>10.</w:t>
            </w:r>
            <w:r>
              <w:rPr>
                <w:rFonts w:ascii="Arial" w:cs="Arial" w:eastAsia="Arial" w:hAnsi="Arial"/>
                <w:sz w:val="17"/>
                <w:szCs w:val="17"/>
                <w:u w:val="single" w:color="auto"/>
                <w:color w:val="0000FF"/>
                <w:w w:val="96"/>
              </w:rPr>
              <w:t>3</w:t>
            </w:r>
          </w:p>
        </w:tc>
        <w:tc>
          <w:tcPr>
            <w:tcW w:w="700" w:type="dxa"/>
            <w:vAlign w:val="bottom"/>
          </w:tcPr>
          <w:p>
            <w:pPr>
              <w:spacing w:after="0"/>
              <w:rPr>
                <w:sz w:val="17"/>
                <w:szCs w:val="17"/>
                <w:color w:val="auto"/>
              </w:rPr>
            </w:pPr>
          </w:p>
        </w:tc>
        <w:tc>
          <w:tcPr>
            <w:tcW w:w="10160" w:type="dxa"/>
            <w:vAlign w:val="bottom"/>
            <w:gridSpan w:val="15"/>
          </w:tcPr>
          <w:p>
            <w:pPr>
              <w:spacing w:after="0" w:line="180" w:lineRule="exact"/>
              <w:rPr>
                <w:sz w:val="20"/>
                <w:szCs w:val="20"/>
                <w:color w:val="auto"/>
              </w:rPr>
            </w:pPr>
            <w:r>
              <w:rPr>
                <w:rFonts w:ascii="Arial" w:cs="Arial" w:eastAsia="Arial" w:hAnsi="Arial"/>
                <w:sz w:val="17"/>
                <w:szCs w:val="17"/>
                <w:color w:val="0000FF"/>
              </w:rPr>
              <w:t>Form of 2018 Long Term Incentive Plan Award Agreement for Director Restricted Share Units, as approved on September 16,</w:t>
            </w:r>
          </w:p>
        </w:tc>
      </w:tr>
      <w:tr>
        <w:trPr>
          <w:trHeight w:val="153"/>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tcBorders>
            <w:gridSpan w:val="2"/>
          </w:tcPr>
          <w:p>
            <w:pPr>
              <w:spacing w:after="0" w:line="154" w:lineRule="exact"/>
              <w:rPr>
                <w:sz w:val="20"/>
                <w:szCs w:val="20"/>
                <w:color w:val="auto"/>
              </w:rPr>
            </w:pPr>
            <w:r>
              <w:rPr>
                <w:rFonts w:ascii="Arial" w:cs="Arial" w:eastAsia="Arial" w:hAnsi="Arial"/>
                <w:sz w:val="17"/>
                <w:szCs w:val="17"/>
                <w:color w:val="0000FF"/>
              </w:rPr>
              <w:t>2025.</w:t>
            </w:r>
          </w:p>
        </w:tc>
        <w:tc>
          <w:tcPr>
            <w:tcW w:w="1940" w:type="dxa"/>
            <w:vAlign w:val="bottom"/>
            <w:tcBorders>
              <w:top w:val="single" w:sz="8" w:color="0000FF"/>
            </w:tcBorders>
          </w:tcPr>
          <w:p>
            <w:pPr>
              <w:spacing w:after="0"/>
              <w:rPr>
                <w:sz w:val="13"/>
                <w:szCs w:val="13"/>
                <w:color w:val="auto"/>
              </w:rPr>
            </w:pPr>
          </w:p>
        </w:tc>
        <w:tc>
          <w:tcPr>
            <w:tcW w:w="3500" w:type="dxa"/>
            <w:vAlign w:val="bottom"/>
            <w:tcBorders>
              <w:top w:val="single" w:sz="8" w:color="0000FF"/>
            </w:tcBorders>
          </w:tcPr>
          <w:p>
            <w:pPr>
              <w:spacing w:after="0"/>
              <w:rPr>
                <w:sz w:val="13"/>
                <w:szCs w:val="13"/>
                <w:color w:val="auto"/>
              </w:rPr>
            </w:pPr>
          </w:p>
        </w:tc>
        <w:tc>
          <w:tcPr>
            <w:tcW w:w="36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8" w:lineRule="exact"/>
        <w:rPr>
          <w:sz w:val="20"/>
          <w:szCs w:val="20"/>
          <w:color w:val="auto"/>
        </w:rPr>
      </w:pPr>
    </w:p>
    <w:p>
      <w:pPr>
        <w:ind w:left="1060" w:right="180" w:hanging="1040"/>
        <w:spacing w:after="0" w:line="269" w:lineRule="auto"/>
        <w:tabs>
          <w:tab w:leader="none" w:pos="1060" w:val="left"/>
        </w:tabs>
        <w:numPr>
          <w:ilvl w:val="0"/>
          <w:numId w:val="18"/>
        </w:numPr>
        <w:rPr>
          <w:rFonts w:ascii="Arial" w:cs="Arial" w:eastAsia="Arial" w:hAnsi="Arial"/>
          <w:sz w:val="17"/>
          <w:szCs w:val="17"/>
          <w:u w:val="single" w:color="auto"/>
          <w:color w:val="0000FF"/>
        </w:rPr>
      </w:pPr>
      <w:hyperlink r:id="rId65">
        <w:r>
          <w:rPr>
            <w:rFonts w:ascii="Arial" w:cs="Arial" w:eastAsia="Arial" w:hAnsi="Arial"/>
            <w:sz w:val="17"/>
            <w:szCs w:val="17"/>
            <w:u w:val="single" w:color="auto"/>
            <w:color w:val="0000FF"/>
          </w:rPr>
          <w:t>List of Guarantor and Issuer Subsidiaries, filed as Exhibit 22 to the Company’s Annual Report on Form 10-K for the year ended</w:t>
        </w:r>
      </w:hyperlink>
      <w:r>
        <w:rPr>
          <w:rFonts w:ascii="Arial" w:cs="Arial" w:eastAsia="Arial" w:hAnsi="Arial"/>
          <w:sz w:val="17"/>
          <w:szCs w:val="17"/>
          <w:u w:val="single" w:color="auto"/>
          <w:color w:val="0000FF"/>
        </w:rPr>
        <w:t xml:space="preserve"> </w:t>
      </w:r>
      <w:hyperlink r:id="rId65">
        <w:r>
          <w:rPr>
            <w:rFonts w:ascii="Arial" w:cs="Arial" w:eastAsia="Arial" w:hAnsi="Arial"/>
            <w:sz w:val="17"/>
            <w:szCs w:val="17"/>
            <w:u w:val="single" w:color="auto"/>
            <w:color w:val="0000FF"/>
          </w:rPr>
          <w:t>June 30, 2024, file number 1-06089, is incorporated herein by reference.</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-274955</wp:posOffset>
            </wp:positionV>
            <wp:extent cx="7040245" cy="278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040245" cy="2781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 w:type="dxa"/>
            <w:vAlign w:val="bottom"/>
          </w:tcPr>
          <w:p>
            <w:pPr>
              <w:spacing w:after="0" w:line="185" w:lineRule="exact"/>
              <w:rPr>
                <w:sz w:val="20"/>
                <w:szCs w:val="20"/>
                <w:color w:val="auto"/>
              </w:rPr>
            </w:pPr>
            <w:r>
              <w:rPr>
                <w:rFonts w:ascii="Arial" w:cs="Arial" w:eastAsia="Arial" w:hAnsi="Arial"/>
                <w:sz w:val="17"/>
                <w:szCs w:val="17"/>
                <w:color w:val="0000FF"/>
                <w:w w:val="96"/>
              </w:rPr>
              <w:t>31.</w:t>
            </w:r>
            <w:r>
              <w:rPr>
                <w:rFonts w:ascii="Arial" w:cs="Arial" w:eastAsia="Arial" w:hAnsi="Arial"/>
                <w:sz w:val="17"/>
                <w:szCs w:val="17"/>
                <w:u w:val="single" w:color="auto"/>
                <w:color w:val="0000FF"/>
                <w:w w:val="96"/>
              </w:rPr>
              <w:t>1</w:t>
            </w:r>
          </w:p>
        </w:tc>
        <w:tc>
          <w:tcPr>
            <w:tcW w:w="520" w:type="dxa"/>
            <w:vAlign w:val="bottom"/>
          </w:tcPr>
          <w:p>
            <w:pPr>
              <w:spacing w:after="0"/>
              <w:rPr>
                <w:sz w:val="16"/>
                <w:szCs w:val="16"/>
                <w:color w:val="auto"/>
              </w:rPr>
            </w:pPr>
          </w:p>
        </w:tc>
        <w:tc>
          <w:tcPr>
            <w:tcW w:w="10220" w:type="dxa"/>
            <w:vAlign w:val="bottom"/>
            <w:gridSpan w:val="4"/>
          </w:tcPr>
          <w:p>
            <w:pPr>
              <w:ind w:left="180"/>
              <w:spacing w:after="0" w:line="185" w:lineRule="exact"/>
              <w:rPr>
                <w:sz w:val="20"/>
                <w:szCs w:val="20"/>
                <w:color w:val="auto"/>
              </w:rPr>
            </w:pPr>
            <w:r>
              <w:rPr>
                <w:rFonts w:ascii="Arial" w:cs="Arial" w:eastAsia="Arial" w:hAnsi="Arial"/>
                <w:sz w:val="17"/>
                <w:szCs w:val="17"/>
                <w:color w:val="0000FF"/>
              </w:rPr>
              <w:t>Certification by Chief Executive Officer pursuant to Section 302 of the Sarbanes-Oxley Act of 2002.</w:t>
            </w:r>
          </w:p>
        </w:tc>
      </w:tr>
      <w:tr>
        <w:trPr>
          <w:trHeight w:val="29"/>
        </w:trPr>
        <w:tc>
          <w:tcPr>
            <w:tcW w:w="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500" w:type="dxa"/>
            <w:vAlign w:val="bottom"/>
            <w:tcBorders>
              <w:right w:val="single" w:sz="8" w:color="0000FF"/>
            </w:tcBorders>
            <w:shd w:val="clear" w:color="auto" w:fill="0000FF"/>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20" w:type="dxa"/>
            <w:vAlign w:val="bottom"/>
            <w:shd w:val="clear" w:color="auto" w:fill="BFE4FF"/>
          </w:tcPr>
          <w:p>
            <w:pPr>
              <w:spacing w:after="0"/>
              <w:rPr>
                <w:sz w:val="16"/>
                <w:szCs w:val="16"/>
                <w:color w:val="auto"/>
              </w:rPr>
            </w:pPr>
          </w:p>
        </w:tc>
        <w:tc>
          <w:tcPr>
            <w:tcW w:w="340" w:type="dxa"/>
            <w:vAlign w:val="bottom"/>
            <w:shd w:val="clear" w:color="auto" w:fill="BFE4FF"/>
          </w:tcPr>
          <w:p>
            <w:pPr>
              <w:spacing w:after="0" w:line="190" w:lineRule="exact"/>
              <w:rPr>
                <w:sz w:val="20"/>
                <w:szCs w:val="20"/>
                <w:color w:val="auto"/>
              </w:rPr>
            </w:pPr>
            <w:r>
              <w:rPr>
                <w:rFonts w:ascii="Arial" w:cs="Arial" w:eastAsia="Arial" w:hAnsi="Arial"/>
                <w:sz w:val="17"/>
                <w:szCs w:val="17"/>
                <w:color w:val="0000FF"/>
                <w:w w:val="96"/>
              </w:rPr>
              <w:t>31.</w:t>
            </w:r>
            <w:r>
              <w:rPr>
                <w:rFonts w:ascii="Arial" w:cs="Arial" w:eastAsia="Arial" w:hAnsi="Arial"/>
                <w:sz w:val="17"/>
                <w:szCs w:val="17"/>
                <w:u w:val="single" w:color="auto"/>
                <w:color w:val="0000FF"/>
                <w:w w:val="96"/>
              </w:rPr>
              <w:t>2</w:t>
            </w:r>
          </w:p>
        </w:tc>
        <w:tc>
          <w:tcPr>
            <w:tcW w:w="520" w:type="dxa"/>
            <w:vAlign w:val="bottom"/>
            <w:shd w:val="clear" w:color="auto" w:fill="BFE4FF"/>
          </w:tcPr>
          <w:p>
            <w:pPr>
              <w:spacing w:after="0"/>
              <w:rPr>
                <w:sz w:val="16"/>
                <w:szCs w:val="16"/>
                <w:color w:val="auto"/>
              </w:rPr>
            </w:pPr>
          </w:p>
        </w:tc>
        <w:tc>
          <w:tcPr>
            <w:tcW w:w="10220" w:type="dxa"/>
            <w:vAlign w:val="bottom"/>
            <w:gridSpan w:val="4"/>
            <w:shd w:val="clear" w:color="auto" w:fill="BFE4FF"/>
          </w:tcPr>
          <w:p>
            <w:pPr>
              <w:ind w:left="180"/>
              <w:spacing w:after="0" w:line="190" w:lineRule="exact"/>
              <w:rPr>
                <w:sz w:val="20"/>
                <w:szCs w:val="20"/>
                <w:color w:val="auto"/>
              </w:rPr>
            </w:pPr>
            <w:r>
              <w:rPr>
                <w:rFonts w:ascii="Arial" w:cs="Arial" w:eastAsia="Arial" w:hAnsi="Arial"/>
                <w:sz w:val="17"/>
                <w:szCs w:val="17"/>
                <w:color w:val="0000FF"/>
              </w:rPr>
              <w:t>Certification by Chief Financial Officer pursuant to Section 302 of the Sarbanes-Oxley Act of 2002.</w:t>
            </w:r>
          </w:p>
        </w:tc>
      </w:tr>
      <w:tr>
        <w:trPr>
          <w:trHeight w:val="39"/>
        </w:trPr>
        <w:tc>
          <w:tcPr>
            <w:tcW w:w="20" w:type="dxa"/>
            <w:vAlign w:val="bottom"/>
            <w:shd w:val="clear" w:color="auto" w:fill="BFE4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20" w:type="dxa"/>
            <w:vAlign w:val="bottom"/>
            <w:shd w:val="clear" w:color="auto" w:fill="BFE4FF"/>
          </w:tcPr>
          <w:p>
            <w:pPr>
              <w:spacing w:after="0"/>
              <w:rPr>
                <w:sz w:val="3"/>
                <w:szCs w:val="3"/>
                <w:color w:val="auto"/>
              </w:rPr>
            </w:pPr>
          </w:p>
        </w:tc>
        <w:tc>
          <w:tcPr>
            <w:tcW w:w="180" w:type="dxa"/>
            <w:vAlign w:val="bottom"/>
            <w:shd w:val="clear" w:color="auto" w:fill="BFE4FF"/>
          </w:tcPr>
          <w:p>
            <w:pPr>
              <w:spacing w:after="0"/>
              <w:rPr>
                <w:sz w:val="3"/>
                <w:szCs w:val="3"/>
                <w:color w:val="auto"/>
              </w:rPr>
            </w:pPr>
          </w:p>
        </w:tc>
        <w:tc>
          <w:tcPr>
            <w:tcW w:w="7500" w:type="dxa"/>
            <w:vAlign w:val="bottom"/>
            <w:tcBorders>
              <w:right w:val="single" w:sz="8" w:color="BFE4FF"/>
            </w:tcBorders>
            <w:shd w:val="clear" w:color="auto" w:fill="0000FF"/>
          </w:tcPr>
          <w:p>
            <w:pPr>
              <w:spacing w:after="0"/>
              <w:rPr>
                <w:sz w:val="3"/>
                <w:szCs w:val="3"/>
                <w:color w:val="auto"/>
              </w:rPr>
            </w:pPr>
          </w:p>
        </w:tc>
        <w:tc>
          <w:tcPr>
            <w:tcW w:w="2400" w:type="dxa"/>
            <w:vAlign w:val="bottom"/>
            <w:tcBorders>
              <w:right w:val="single" w:sz="8" w:color="BFE4FF"/>
            </w:tcBorders>
            <w:shd w:val="clear" w:color="auto" w:fill="BFE4FF"/>
          </w:tcPr>
          <w:p>
            <w:pPr>
              <w:spacing w:after="0"/>
              <w:rPr>
                <w:sz w:val="3"/>
                <w:szCs w:val="3"/>
                <w:color w:val="auto"/>
              </w:rPr>
            </w:pPr>
          </w:p>
        </w:tc>
        <w:tc>
          <w:tcPr>
            <w:tcW w:w="140" w:type="dxa"/>
            <w:vAlign w:val="bottom"/>
            <w:shd w:val="clear" w:color="auto" w:fill="BFE4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340" w:type="dxa"/>
            <w:vAlign w:val="bottom"/>
          </w:tcPr>
          <w:p>
            <w:pPr>
              <w:spacing w:after="0" w:line="180" w:lineRule="exact"/>
              <w:rPr>
                <w:sz w:val="20"/>
                <w:szCs w:val="20"/>
                <w:color w:val="auto"/>
              </w:rPr>
            </w:pPr>
            <w:r>
              <w:rPr>
                <w:rFonts w:ascii="Arial" w:cs="Arial" w:eastAsia="Arial" w:hAnsi="Arial"/>
                <w:sz w:val="17"/>
                <w:szCs w:val="17"/>
                <w:color w:val="0000FF"/>
                <w:w w:val="96"/>
              </w:rPr>
              <w:t>32.</w:t>
            </w:r>
            <w:r>
              <w:rPr>
                <w:rFonts w:ascii="Arial" w:cs="Arial" w:eastAsia="Arial" w:hAnsi="Arial"/>
                <w:sz w:val="17"/>
                <w:szCs w:val="17"/>
                <w:u w:val="single" w:color="auto"/>
                <w:color w:val="0000FF"/>
                <w:w w:val="96"/>
              </w:rPr>
              <w:t>1</w:t>
            </w:r>
          </w:p>
        </w:tc>
        <w:tc>
          <w:tcPr>
            <w:tcW w:w="520" w:type="dxa"/>
            <w:vAlign w:val="bottom"/>
          </w:tcPr>
          <w:p>
            <w:pPr>
              <w:spacing w:after="0"/>
              <w:rPr>
                <w:sz w:val="15"/>
                <w:szCs w:val="15"/>
                <w:color w:val="auto"/>
              </w:rPr>
            </w:pPr>
          </w:p>
        </w:tc>
        <w:tc>
          <w:tcPr>
            <w:tcW w:w="10220" w:type="dxa"/>
            <w:vAlign w:val="bottom"/>
            <w:gridSpan w:val="4"/>
          </w:tcPr>
          <w:p>
            <w:pPr>
              <w:ind w:left="180"/>
              <w:spacing w:after="0" w:line="180" w:lineRule="exact"/>
              <w:rPr>
                <w:sz w:val="20"/>
                <w:szCs w:val="20"/>
                <w:color w:val="auto"/>
              </w:rPr>
            </w:pPr>
            <w:r>
              <w:rPr>
                <w:rFonts w:ascii="Arial" w:cs="Arial" w:eastAsia="Arial" w:hAnsi="Arial"/>
                <w:sz w:val="17"/>
                <w:szCs w:val="17"/>
                <w:color w:val="0000FF"/>
              </w:rPr>
              <w:t>Certification by Chief Executive Officer pursuant to 18 U.S.C. 1350, as adopted by Section 906 of the Sarbanes-Oxley Act of 2002.</w:t>
            </w:r>
          </w:p>
        </w:tc>
      </w:tr>
      <w:tr>
        <w:trPr>
          <w:trHeight w:val="29"/>
        </w:trPr>
        <w:tc>
          <w:tcPr>
            <w:tcW w:w="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500" w:type="dxa"/>
            <w:vAlign w:val="bottom"/>
            <w:tcBorders>
              <w:right w:val="single" w:sz="8" w:color="0000FF"/>
            </w:tcBorders>
            <w:shd w:val="clear" w:color="auto" w:fill="0000FF"/>
          </w:tcPr>
          <w:p>
            <w:pPr>
              <w:spacing w:after="0"/>
              <w:rPr>
                <w:sz w:val="2"/>
                <w:szCs w:val="2"/>
                <w:color w:val="auto"/>
              </w:rPr>
            </w:pPr>
          </w:p>
        </w:tc>
        <w:tc>
          <w:tcPr>
            <w:tcW w:w="24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20" w:type="dxa"/>
            <w:vAlign w:val="bottom"/>
            <w:shd w:val="clear" w:color="auto" w:fill="BFE4FF"/>
          </w:tcPr>
          <w:p>
            <w:pPr>
              <w:spacing w:after="0"/>
              <w:rPr>
                <w:sz w:val="16"/>
                <w:szCs w:val="16"/>
                <w:color w:val="auto"/>
              </w:rPr>
            </w:pPr>
          </w:p>
        </w:tc>
        <w:tc>
          <w:tcPr>
            <w:tcW w:w="340" w:type="dxa"/>
            <w:vAlign w:val="bottom"/>
            <w:shd w:val="clear" w:color="auto" w:fill="BFE4FF"/>
          </w:tcPr>
          <w:p>
            <w:pPr>
              <w:spacing w:after="0" w:line="190" w:lineRule="exact"/>
              <w:rPr>
                <w:sz w:val="20"/>
                <w:szCs w:val="20"/>
                <w:color w:val="auto"/>
              </w:rPr>
            </w:pPr>
            <w:r>
              <w:rPr>
                <w:rFonts w:ascii="Arial" w:cs="Arial" w:eastAsia="Arial" w:hAnsi="Arial"/>
                <w:sz w:val="17"/>
                <w:szCs w:val="17"/>
                <w:color w:val="0000FF"/>
                <w:w w:val="96"/>
              </w:rPr>
              <w:t>32.</w:t>
            </w:r>
            <w:r>
              <w:rPr>
                <w:rFonts w:ascii="Arial" w:cs="Arial" w:eastAsia="Arial" w:hAnsi="Arial"/>
                <w:sz w:val="17"/>
                <w:szCs w:val="17"/>
                <w:u w:val="single" w:color="auto"/>
                <w:color w:val="0000FF"/>
                <w:w w:val="96"/>
              </w:rPr>
              <w:t>2</w:t>
            </w:r>
          </w:p>
        </w:tc>
        <w:tc>
          <w:tcPr>
            <w:tcW w:w="520" w:type="dxa"/>
            <w:vAlign w:val="bottom"/>
            <w:shd w:val="clear" w:color="auto" w:fill="BFE4FF"/>
          </w:tcPr>
          <w:p>
            <w:pPr>
              <w:spacing w:after="0"/>
              <w:rPr>
                <w:sz w:val="16"/>
                <w:szCs w:val="16"/>
                <w:color w:val="auto"/>
              </w:rPr>
            </w:pPr>
          </w:p>
        </w:tc>
        <w:tc>
          <w:tcPr>
            <w:tcW w:w="10220" w:type="dxa"/>
            <w:vAlign w:val="bottom"/>
            <w:gridSpan w:val="4"/>
            <w:shd w:val="clear" w:color="auto" w:fill="BFE4FF"/>
          </w:tcPr>
          <w:p>
            <w:pPr>
              <w:ind w:left="180"/>
              <w:spacing w:after="0" w:line="190" w:lineRule="exact"/>
              <w:rPr>
                <w:sz w:val="20"/>
                <w:szCs w:val="20"/>
                <w:color w:val="auto"/>
              </w:rPr>
            </w:pPr>
            <w:r>
              <w:rPr>
                <w:rFonts w:ascii="Arial" w:cs="Arial" w:eastAsia="Arial" w:hAnsi="Arial"/>
                <w:sz w:val="17"/>
                <w:szCs w:val="17"/>
                <w:color w:val="0000FF"/>
              </w:rPr>
              <w:t>Certification by Chief Financial Officer pursuant to 18 U.S.C. 1350, as adopted by Section 906 of the Sarbanes-Oxley Act of 2002.</w:t>
            </w:r>
          </w:p>
        </w:tc>
      </w:tr>
      <w:tr>
        <w:trPr>
          <w:trHeight w:val="39"/>
        </w:trPr>
        <w:tc>
          <w:tcPr>
            <w:tcW w:w="20" w:type="dxa"/>
            <w:vAlign w:val="bottom"/>
            <w:shd w:val="clear" w:color="auto" w:fill="BFE4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20" w:type="dxa"/>
            <w:vAlign w:val="bottom"/>
            <w:shd w:val="clear" w:color="auto" w:fill="BFE4FF"/>
          </w:tcPr>
          <w:p>
            <w:pPr>
              <w:spacing w:after="0"/>
              <w:rPr>
                <w:sz w:val="3"/>
                <w:szCs w:val="3"/>
                <w:color w:val="auto"/>
              </w:rPr>
            </w:pPr>
          </w:p>
        </w:tc>
        <w:tc>
          <w:tcPr>
            <w:tcW w:w="180" w:type="dxa"/>
            <w:vAlign w:val="bottom"/>
            <w:shd w:val="clear" w:color="auto" w:fill="BFE4FF"/>
          </w:tcPr>
          <w:p>
            <w:pPr>
              <w:spacing w:after="0"/>
              <w:rPr>
                <w:sz w:val="3"/>
                <w:szCs w:val="3"/>
                <w:color w:val="auto"/>
              </w:rPr>
            </w:pPr>
          </w:p>
        </w:tc>
        <w:tc>
          <w:tcPr>
            <w:tcW w:w="7500" w:type="dxa"/>
            <w:vAlign w:val="bottom"/>
            <w:tcBorders>
              <w:right w:val="single" w:sz="8" w:color="0000FF"/>
            </w:tcBorders>
            <w:shd w:val="clear" w:color="auto" w:fill="0000FF"/>
          </w:tcPr>
          <w:p>
            <w:pPr>
              <w:spacing w:after="0"/>
              <w:rPr>
                <w:sz w:val="3"/>
                <w:szCs w:val="3"/>
                <w:color w:val="auto"/>
              </w:rPr>
            </w:pPr>
          </w:p>
        </w:tc>
        <w:tc>
          <w:tcPr>
            <w:tcW w:w="2400" w:type="dxa"/>
            <w:vAlign w:val="bottom"/>
            <w:tcBorders>
              <w:right w:val="single" w:sz="8" w:color="BFE4FF"/>
            </w:tcBorders>
            <w:shd w:val="clear" w:color="auto" w:fill="0000FF"/>
          </w:tcPr>
          <w:p>
            <w:pPr>
              <w:spacing w:after="0"/>
              <w:rPr>
                <w:sz w:val="3"/>
                <w:szCs w:val="3"/>
                <w:color w:val="auto"/>
              </w:rPr>
            </w:pPr>
          </w:p>
        </w:tc>
        <w:tc>
          <w:tcPr>
            <w:tcW w:w="140" w:type="dxa"/>
            <w:vAlign w:val="bottom"/>
            <w:shd w:val="clear" w:color="auto" w:fill="BFE4FF"/>
          </w:tcPr>
          <w:p>
            <w:pPr>
              <w:spacing w:after="0"/>
              <w:rPr>
                <w:sz w:val="3"/>
                <w:szCs w:val="3"/>
                <w:color w:val="auto"/>
              </w:rPr>
            </w:pPr>
          </w:p>
        </w:tc>
      </w:tr>
      <w:tr>
        <w:trPr>
          <w:trHeight w:val="168"/>
        </w:trPr>
        <w:tc>
          <w:tcPr>
            <w:tcW w:w="20" w:type="dxa"/>
            <w:vAlign w:val="bottom"/>
          </w:tcPr>
          <w:p>
            <w:pPr>
              <w:spacing w:after="0"/>
              <w:rPr>
                <w:sz w:val="14"/>
                <w:szCs w:val="14"/>
                <w:color w:val="auto"/>
              </w:rPr>
            </w:pPr>
          </w:p>
        </w:tc>
        <w:tc>
          <w:tcPr>
            <w:tcW w:w="860" w:type="dxa"/>
            <w:vAlign w:val="bottom"/>
            <w:gridSpan w:val="2"/>
          </w:tcPr>
          <w:p>
            <w:pPr>
              <w:spacing w:after="0" w:line="167" w:lineRule="exact"/>
              <w:rPr>
                <w:sz w:val="20"/>
                <w:szCs w:val="20"/>
                <w:color w:val="auto"/>
              </w:rPr>
            </w:pPr>
            <w:r>
              <w:rPr>
                <w:rFonts w:ascii="Arial" w:cs="Arial" w:eastAsia="Arial" w:hAnsi="Arial"/>
                <w:sz w:val="17"/>
                <w:szCs w:val="17"/>
                <w:color w:val="auto"/>
              </w:rPr>
              <w:t>101.INS</w:t>
            </w:r>
          </w:p>
        </w:tc>
        <w:tc>
          <w:tcPr>
            <w:tcW w:w="10220" w:type="dxa"/>
            <w:vAlign w:val="bottom"/>
            <w:gridSpan w:val="4"/>
          </w:tcPr>
          <w:p>
            <w:pPr>
              <w:ind w:left="180"/>
              <w:spacing w:after="0" w:line="167"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embedded within the Inline XBRL document</w:t>
            </w:r>
          </w:p>
        </w:tc>
      </w:tr>
      <w:tr>
        <w:trPr>
          <w:trHeight w:val="222"/>
        </w:trPr>
        <w:tc>
          <w:tcPr>
            <w:tcW w:w="880" w:type="dxa"/>
            <w:vAlign w:val="bottom"/>
            <w:gridSpan w:val="3"/>
            <w:shd w:val="clear" w:color="auto" w:fill="BFE4FF"/>
          </w:tcPr>
          <w:p>
            <w:pPr>
              <w:ind w:left="20"/>
              <w:spacing w:after="0"/>
              <w:rPr>
                <w:sz w:val="20"/>
                <w:szCs w:val="20"/>
                <w:color w:val="auto"/>
              </w:rPr>
            </w:pPr>
            <w:r>
              <w:rPr>
                <w:rFonts w:ascii="Arial" w:cs="Arial" w:eastAsia="Arial" w:hAnsi="Arial"/>
                <w:sz w:val="17"/>
                <w:szCs w:val="17"/>
                <w:color w:val="auto"/>
              </w:rPr>
              <w:t>101.SCH</w:t>
            </w:r>
          </w:p>
        </w:tc>
        <w:tc>
          <w:tcPr>
            <w:tcW w:w="10220" w:type="dxa"/>
            <w:vAlign w:val="bottom"/>
            <w:gridSpan w:val="4"/>
            <w:shd w:val="clear" w:color="auto" w:fill="BFE4FF"/>
          </w:tcPr>
          <w:p>
            <w:pPr>
              <w:ind w:left="180"/>
              <w:spacing w:after="0"/>
              <w:rPr>
                <w:sz w:val="20"/>
                <w:szCs w:val="20"/>
                <w:color w:val="auto"/>
              </w:rPr>
            </w:pPr>
            <w:r>
              <w:rPr>
                <w:rFonts w:ascii="Arial" w:cs="Arial" w:eastAsia="Arial" w:hAnsi="Arial"/>
                <w:sz w:val="17"/>
                <w:szCs w:val="17"/>
                <w:color w:val="auto"/>
              </w:rPr>
              <w:t>Inline XBRL Taxonomy Extension Schema</w:t>
            </w:r>
          </w:p>
        </w:tc>
      </w:tr>
      <w:tr>
        <w:trPr>
          <w:trHeight w:val="219"/>
        </w:trPr>
        <w:tc>
          <w:tcPr>
            <w:tcW w:w="880" w:type="dxa"/>
            <w:vAlign w:val="bottom"/>
            <w:gridSpan w:val="3"/>
          </w:tcPr>
          <w:p>
            <w:pPr>
              <w:ind w:left="20"/>
              <w:spacing w:after="0"/>
              <w:rPr>
                <w:sz w:val="20"/>
                <w:szCs w:val="20"/>
                <w:color w:val="auto"/>
              </w:rPr>
            </w:pPr>
            <w:r>
              <w:rPr>
                <w:rFonts w:ascii="Arial" w:cs="Arial" w:eastAsia="Arial" w:hAnsi="Arial"/>
                <w:sz w:val="17"/>
                <w:szCs w:val="17"/>
                <w:color w:val="auto"/>
              </w:rPr>
              <w:t>101.CAL</w:t>
            </w: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Inline XBRL Extension Calculation Linkbase</w:t>
            </w:r>
          </w:p>
        </w:tc>
      </w:tr>
      <w:tr>
        <w:trPr>
          <w:trHeight w:val="219"/>
        </w:trPr>
        <w:tc>
          <w:tcPr>
            <w:tcW w:w="880" w:type="dxa"/>
            <w:vAlign w:val="bottom"/>
            <w:gridSpan w:val="3"/>
            <w:shd w:val="clear" w:color="auto" w:fill="BFE4FF"/>
          </w:tcPr>
          <w:p>
            <w:pPr>
              <w:ind w:left="20"/>
              <w:spacing w:after="0"/>
              <w:rPr>
                <w:sz w:val="20"/>
                <w:szCs w:val="20"/>
                <w:color w:val="auto"/>
              </w:rPr>
            </w:pPr>
            <w:r>
              <w:rPr>
                <w:rFonts w:ascii="Arial" w:cs="Arial" w:eastAsia="Arial" w:hAnsi="Arial"/>
                <w:sz w:val="17"/>
                <w:szCs w:val="17"/>
                <w:color w:val="auto"/>
              </w:rPr>
              <w:t>101.LAB</w:t>
            </w:r>
          </w:p>
        </w:tc>
        <w:tc>
          <w:tcPr>
            <w:tcW w:w="10220" w:type="dxa"/>
            <w:vAlign w:val="bottom"/>
            <w:gridSpan w:val="4"/>
            <w:shd w:val="clear" w:color="auto" w:fill="BFE4FF"/>
          </w:tcPr>
          <w:p>
            <w:pPr>
              <w:ind w:left="180"/>
              <w:spacing w:after="0"/>
              <w:rPr>
                <w:sz w:val="20"/>
                <w:szCs w:val="20"/>
                <w:color w:val="auto"/>
              </w:rPr>
            </w:pPr>
            <w:r>
              <w:rPr>
                <w:rFonts w:ascii="Arial" w:cs="Arial" w:eastAsia="Arial" w:hAnsi="Arial"/>
                <w:sz w:val="17"/>
                <w:szCs w:val="17"/>
                <w:color w:val="auto"/>
              </w:rPr>
              <w:t>Inline XBRL Taxonomy Extension Label Linkbase</w:t>
            </w:r>
          </w:p>
        </w:tc>
      </w:tr>
      <w:tr>
        <w:trPr>
          <w:trHeight w:val="219"/>
        </w:trPr>
        <w:tc>
          <w:tcPr>
            <w:tcW w:w="880" w:type="dxa"/>
            <w:vAlign w:val="bottom"/>
            <w:gridSpan w:val="3"/>
          </w:tcPr>
          <w:p>
            <w:pPr>
              <w:ind w:left="20"/>
              <w:spacing w:after="0"/>
              <w:rPr>
                <w:sz w:val="20"/>
                <w:szCs w:val="20"/>
                <w:color w:val="auto"/>
              </w:rPr>
            </w:pPr>
            <w:r>
              <w:rPr>
                <w:rFonts w:ascii="Arial" w:cs="Arial" w:eastAsia="Arial" w:hAnsi="Arial"/>
                <w:sz w:val="17"/>
                <w:szCs w:val="17"/>
                <w:color w:val="auto"/>
              </w:rPr>
              <w:t>101.PRE</w:t>
            </w: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Inline XBRL Taxonomy Extension Presentation Linkbase</w:t>
            </w:r>
          </w:p>
        </w:tc>
      </w:tr>
      <w:tr>
        <w:trPr>
          <w:trHeight w:val="219"/>
        </w:trPr>
        <w:tc>
          <w:tcPr>
            <w:tcW w:w="880" w:type="dxa"/>
            <w:vAlign w:val="bottom"/>
            <w:gridSpan w:val="3"/>
            <w:shd w:val="clear" w:color="auto" w:fill="BFE4FF"/>
          </w:tcPr>
          <w:p>
            <w:pPr>
              <w:ind w:left="20"/>
              <w:spacing w:after="0"/>
              <w:rPr>
                <w:sz w:val="20"/>
                <w:szCs w:val="20"/>
                <w:color w:val="auto"/>
              </w:rPr>
            </w:pPr>
            <w:r>
              <w:rPr>
                <w:rFonts w:ascii="Arial" w:cs="Arial" w:eastAsia="Arial" w:hAnsi="Arial"/>
                <w:sz w:val="17"/>
                <w:szCs w:val="17"/>
                <w:color w:val="auto"/>
              </w:rPr>
              <w:t>101.DEF</w:t>
            </w:r>
          </w:p>
        </w:tc>
        <w:tc>
          <w:tcPr>
            <w:tcW w:w="10220" w:type="dxa"/>
            <w:vAlign w:val="bottom"/>
            <w:gridSpan w:val="4"/>
            <w:shd w:val="clear" w:color="auto" w:fill="BFE4FF"/>
          </w:tcPr>
          <w:p>
            <w:pPr>
              <w:ind w:left="180"/>
              <w:spacing w:after="0"/>
              <w:rPr>
                <w:sz w:val="20"/>
                <w:szCs w:val="20"/>
                <w:color w:val="auto"/>
              </w:rPr>
            </w:pPr>
            <w:r>
              <w:rPr>
                <w:rFonts w:ascii="Arial" w:cs="Arial" w:eastAsia="Arial" w:hAnsi="Arial"/>
                <w:sz w:val="17"/>
                <w:szCs w:val="17"/>
                <w:color w:val="auto"/>
              </w:rPr>
              <w:t>Inline XBRL Taxonomy Extension Definition Linkbase</w:t>
            </w:r>
          </w:p>
        </w:tc>
      </w:tr>
      <w:tr>
        <w:trPr>
          <w:trHeight w:val="226"/>
        </w:trPr>
        <w:tc>
          <w:tcPr>
            <w:tcW w:w="360" w:type="dxa"/>
            <w:vAlign w:val="bottom"/>
            <w:gridSpan w:val="2"/>
          </w:tcPr>
          <w:p>
            <w:pPr>
              <w:ind w:left="20"/>
              <w:spacing w:after="0"/>
              <w:rPr>
                <w:sz w:val="20"/>
                <w:szCs w:val="20"/>
                <w:color w:val="auto"/>
              </w:rPr>
            </w:pPr>
            <w:r>
              <w:rPr>
                <w:rFonts w:ascii="Arial" w:cs="Arial" w:eastAsia="Arial" w:hAnsi="Arial"/>
                <w:sz w:val="17"/>
                <w:szCs w:val="17"/>
                <w:color w:val="auto"/>
              </w:rPr>
              <w:t>104</w:t>
            </w:r>
          </w:p>
        </w:tc>
        <w:tc>
          <w:tcPr>
            <w:tcW w:w="520" w:type="dxa"/>
            <w:vAlign w:val="bottom"/>
          </w:tcPr>
          <w:p>
            <w:pPr>
              <w:spacing w:after="0"/>
              <w:rPr>
                <w:sz w:val="19"/>
                <w:szCs w:val="19"/>
                <w:color w:val="auto"/>
              </w:rPr>
            </w:pPr>
          </w:p>
        </w:tc>
        <w:tc>
          <w:tcPr>
            <w:tcW w:w="10220" w:type="dxa"/>
            <w:vAlign w:val="bottom"/>
            <w:gridSpan w:val="4"/>
          </w:tcPr>
          <w:p>
            <w:pPr>
              <w:ind w:left="18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659130</wp:posOffset>
            </wp:positionV>
            <wp:extent cx="212725" cy="122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12725" cy="122555"/>
                    </a:xfrm>
                    <a:prstGeom prst="rect">
                      <a:avLst/>
                    </a:prstGeom>
                    <a:noFill/>
                  </pic:spPr>
                </pic:pic>
              </a:graphicData>
            </a:graphic>
          </wp:anchor>
        </w:drawing>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21" w:lineRule="exact"/>
        <w:rPr>
          <w:rFonts w:ascii="Arial" w:cs="Arial" w:eastAsia="Arial" w:hAnsi="Arial"/>
          <w:sz w:val="17"/>
          <w:szCs w:val="17"/>
          <w:u w:val="single" w:color="auto"/>
          <w:color w:val="0000FF"/>
        </w:rPr>
      </w:pPr>
    </w:p>
    <w:p>
      <w:pPr>
        <w:ind w:left="360" w:hanging="266"/>
        <w:spacing w:after="0"/>
        <w:tabs>
          <w:tab w:leader="none" w:pos="360" w:val="left"/>
        </w:tabs>
        <w:numPr>
          <w:ilvl w:val="0"/>
          <w:numId w:val="19"/>
        </w:numPr>
        <w:rPr>
          <w:rFonts w:ascii="Arial" w:cs="Arial" w:eastAsia="Arial" w:hAnsi="Arial"/>
          <w:sz w:val="14"/>
          <w:szCs w:val="14"/>
          <w:color w:val="FFFFFF"/>
          <w:highlight w:val="black"/>
        </w:rPr>
      </w:pPr>
      <w:r>
        <w:rPr>
          <w:rFonts w:ascii="Arial" w:cs="Arial" w:eastAsia="Arial" w:hAnsi="Arial"/>
          <w:sz w:val="14"/>
          <w:szCs w:val="14"/>
          <w:color w:val="auto"/>
        </w:rPr>
        <w:t xml:space="preserve">Q1 FY2026 Form 10-Q| </w:t>
      </w:r>
      <w:r>
        <w:rPr>
          <w:rFonts w:ascii="Arial" w:cs="Arial" w:eastAsia="Arial" w:hAnsi="Arial"/>
          <w:sz w:val="14"/>
          <w:szCs w:val="14"/>
          <w:b w:val="1"/>
          <w:bCs w:val="1"/>
          <w:color w:val="auto"/>
        </w:rPr>
        <w:t>H&amp;R Block, Inc.</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H&amp;R BLOCK, INC.</w:t>
      </w:r>
    </w:p>
    <w:p>
      <w:pPr>
        <w:spacing w:after="0" w:line="282"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17780</wp:posOffset>
            </wp:positionV>
            <wp:extent cx="26358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Jeffrey J. Jones II</w:t>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President and Chief Executive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November 6, 2025</w:t>
      </w:r>
    </w:p>
    <w:p>
      <w:pPr>
        <w:spacing w:after="0" w:line="275"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Tiffany L.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17780</wp:posOffset>
            </wp:positionV>
            <wp:extent cx="26358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Tiffany L. Mason</w:t>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November 6, 2025</w:t>
      </w:r>
    </w:p>
    <w:p>
      <w:pPr>
        <w:spacing w:after="0" w:line="275"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/s/ April M. Wasleski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17780</wp:posOffset>
            </wp:positionV>
            <wp:extent cx="26358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7"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April M. Wasleski</w:t>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Chief Accounting Officer</w:t>
      </w:r>
    </w:p>
    <w:p>
      <w:pPr>
        <w:spacing w:after="0" w:line="24"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889635</wp:posOffset>
            </wp:positionV>
            <wp:extent cx="220980" cy="1225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20980" cy="12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FY2026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ectPr>
          <w:pgSz w:w="11900" w:h="16838" w:orient="portrait"/>
          <w:cols w:equalWidth="0" w:num="1">
            <w:col w:w="11240"/>
          </w:cols>
          <w:pgMar w:left="320" w:top="23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7"/>
          <w:szCs w:val="17"/>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H&amp;R BLOCK,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2018 LONG TERM INCENTIVE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DIRECTOR RESTRICTED SHARE UNITS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AWARD AGREEMENT</w:t>
      </w:r>
    </w:p>
    <w:p>
      <w:pPr>
        <w:spacing w:after="0" w:line="71"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 xml:space="preserve">This Award Agreement is entered into by and between H&amp;R Block, Inc., a Missouri corporation (“H&amp;R Block”), and </w:t>
      </w:r>
      <w:r>
        <w:rPr>
          <w:rFonts w:ascii="Times New Roman" w:cs="Times New Roman" w:eastAsia="Times New Roman" w:hAnsi="Times New Roman"/>
          <w:sz w:val="21"/>
          <w:szCs w:val="21"/>
          <w:color w:val="auto"/>
          <w:highlight w:val="yellow"/>
        </w:rPr>
        <w:t xml:space="preserve">[Participant Name] </w:t>
      </w:r>
      <w:r>
        <w:rPr>
          <w:rFonts w:ascii="Times New Roman" w:cs="Times New Roman" w:eastAsia="Times New Roman" w:hAnsi="Times New Roman"/>
          <w:sz w:val="21"/>
          <w:szCs w:val="21"/>
          <w:color w:val="auto"/>
        </w:rPr>
        <w:t>(“Participant”).</w:t>
      </w:r>
    </w:p>
    <w:p>
      <w:pPr>
        <w:spacing w:after="0" w:line="1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WHEREAS, under the H&amp;R Block, Inc. 2018 Long Term Incentive Plan (the “Plan”), H&amp;R Block provides certain equity incentive awards (“Awards”) to its non-employee Directors (as such term is defined in the Plan) to further align Director and shareholder interests;</w:t>
      </w:r>
    </w:p>
    <w:p>
      <w:pPr>
        <w:spacing w:after="0" w:line="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WHEREAS, the Plan provides that Awards may be made to Directors in the form of restricted share units; and</w:t>
      </w:r>
    </w:p>
    <w:p>
      <w:pPr>
        <w:spacing w:after="0" w:line="94" w:lineRule="exact"/>
        <w:rPr>
          <w:sz w:val="20"/>
          <w:szCs w:val="20"/>
          <w:color w:val="auto"/>
        </w:rPr>
      </w:pPr>
    </w:p>
    <w:p>
      <w:pPr>
        <w:jc w:val="both"/>
        <w:ind w:firstLine="242"/>
        <w:spacing w:after="0" w:line="295" w:lineRule="auto"/>
        <w:rPr>
          <w:sz w:val="20"/>
          <w:szCs w:val="20"/>
          <w:color w:val="auto"/>
        </w:rPr>
      </w:pPr>
      <w:r>
        <w:rPr>
          <w:rFonts w:ascii="Times New Roman" w:cs="Times New Roman" w:eastAsia="Times New Roman" w:hAnsi="Times New Roman"/>
          <w:sz w:val="20"/>
          <w:szCs w:val="20"/>
          <w:color w:val="auto"/>
        </w:rPr>
        <w:t xml:space="preserve">WHEREAS, receipt of this Award is conditioned upon Participant’s execution of this Award Agreement, within 180 days of </w:t>
      </w:r>
      <w:r>
        <w:rPr>
          <w:rFonts w:ascii="Times New Roman" w:cs="Times New Roman" w:eastAsia="Times New Roman" w:hAnsi="Times New Roman"/>
          <w:sz w:val="20"/>
          <w:szCs w:val="20"/>
          <w:color w:val="auto"/>
          <w:highlight w:val="yellow"/>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yellow"/>
        </w:rPr>
        <w:t xml:space="preserve">Date], </w:t>
      </w:r>
      <w:r>
        <w:rPr>
          <w:rFonts w:ascii="Times New Roman" w:cs="Times New Roman" w:eastAsia="Times New Roman" w:hAnsi="Times New Roman"/>
          <w:sz w:val="20"/>
          <w:szCs w:val="20"/>
          <w:color w:val="auto"/>
        </w:rPr>
        <w:t>wherein Participant agrees to abide by certain terms and conditions authorized by the Compensation Committee of the Board.</w:t>
      </w:r>
    </w:p>
    <w:p>
      <w:pPr>
        <w:spacing w:after="0" w:line="15" w:lineRule="exact"/>
        <w:rPr>
          <w:sz w:val="20"/>
          <w:szCs w:val="20"/>
          <w:color w:val="auto"/>
        </w:rPr>
      </w:pPr>
    </w:p>
    <w:p>
      <w:pPr>
        <w:jc w:val="both"/>
        <w:ind w:firstLine="230"/>
        <w:spacing w:after="0" w:line="269" w:lineRule="auto"/>
        <w:rPr>
          <w:sz w:val="20"/>
          <w:szCs w:val="20"/>
          <w:color w:val="auto"/>
        </w:rPr>
      </w:pPr>
      <w:r>
        <w:rPr>
          <w:rFonts w:ascii="Times New Roman" w:cs="Times New Roman" w:eastAsia="Times New Roman" w:hAnsi="Times New Roman"/>
          <w:sz w:val="21"/>
          <w:szCs w:val="21"/>
          <w:color w:val="auto"/>
        </w:rPr>
        <w:t>NOW THEREFORE, in consideration of the parties’ promises and agreements set forth in this Award Agreement, the sufficiency of which the parties hereby acknowledge,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 IS AGREED AS FOLLOWS:</w:t>
      </w:r>
    </w:p>
    <w:p>
      <w:pPr>
        <w:spacing w:after="0" w:line="77" w:lineRule="exact"/>
        <w:rPr>
          <w:sz w:val="20"/>
          <w:szCs w:val="20"/>
          <w:color w:val="auto"/>
        </w:rPr>
      </w:pPr>
    </w:p>
    <w:p>
      <w:pPr>
        <w:ind w:left="360" w:hanging="357"/>
        <w:spacing w:after="0"/>
        <w:tabs>
          <w:tab w:leader="none" w:pos="360"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Deferred Stock Units.</w:t>
      </w:r>
    </w:p>
    <w:p>
      <w:pPr>
        <w:spacing w:after="0" w:line="98"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Grant of Units</w:t>
      </w:r>
      <w:r>
        <w:rPr>
          <w:rFonts w:ascii="Times New Roman" w:cs="Times New Roman" w:eastAsia="Times New Roman" w:hAnsi="Times New Roman"/>
          <w:sz w:val="21"/>
          <w:szCs w:val="21"/>
          <w:color w:val="auto"/>
        </w:rPr>
        <w:t xml:space="preserve">. As of </w:t>
      </w:r>
      <w:r>
        <w:rPr>
          <w:rFonts w:ascii="Times New Roman" w:cs="Times New Roman" w:eastAsia="Times New Roman" w:hAnsi="Times New Roman"/>
          <w:sz w:val="21"/>
          <w:szCs w:val="21"/>
          <w:color w:val="auto"/>
          <w:highlight w:val="yellow"/>
        </w:rPr>
        <w:t>[Grant Date]</w:t>
      </w:r>
      <w:r>
        <w:rPr>
          <w:rFonts w:ascii="Times New Roman" w:cs="Times New Roman" w:eastAsia="Times New Roman" w:hAnsi="Times New Roman"/>
          <w:sz w:val="21"/>
          <w:szCs w:val="21"/>
          <w:color w:val="auto"/>
        </w:rPr>
        <w:t xml:space="preserve"> (the “Grant Date”), H&amp;R Block hereby awards </w:t>
      </w:r>
      <w:r>
        <w:rPr>
          <w:rFonts w:ascii="Times New Roman" w:cs="Times New Roman" w:eastAsia="Times New Roman" w:hAnsi="Times New Roman"/>
          <w:sz w:val="21"/>
          <w:szCs w:val="21"/>
          <w:color w:val="auto"/>
          <w:highlight w:val="yellow"/>
        </w:rPr>
        <w:t>[Number of Units Granted]</w:t>
      </w:r>
      <w:r>
        <w:rPr>
          <w:rFonts w:ascii="Times New Roman" w:cs="Times New Roman" w:eastAsia="Times New Roman" w:hAnsi="Times New Roman"/>
          <w:sz w:val="21"/>
          <w:szCs w:val="21"/>
          <w:color w:val="auto"/>
        </w:rPr>
        <w:t xml:space="preserve"> Director Restricted Share Units (the “Units”) to Participant, as evidenced by this Award Agreement. Each Unit under this Award Agreement represents the right to receive one share of Common Stock on the delivery date set forth below, plus dividend equivalents as set forth in Section 1.4(b).</w:t>
      </w:r>
    </w:p>
    <w:p>
      <w:pPr>
        <w:spacing w:after="0" w:line="5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Vesting Condition</w:t>
      </w:r>
      <w:r>
        <w:rPr>
          <w:rFonts w:ascii="Times New Roman" w:cs="Times New Roman" w:eastAsia="Times New Roman" w:hAnsi="Times New Roman"/>
          <w:sz w:val="21"/>
          <w:szCs w:val="21"/>
          <w:color w:val="auto"/>
        </w:rPr>
        <w:t>. In order to become vested in the Units, Participant must remain engaged as a Director until the first anniversary of the Grant Date (the “Vesting Date”). Notwithstanding the foregoing, the Units held by Participant shall vest upon the date of Participant’s separation from service as a Director if such separation is due to death or Disability.</w:t>
      </w:r>
    </w:p>
    <w:p>
      <w:pPr>
        <w:spacing w:after="0" w:line="5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0"/>
          <w:szCs w:val="20"/>
          <w:u w:val="single" w:color="auto"/>
          <w:color w:val="auto"/>
        </w:rPr>
        <w:t>Delivery of Common Stock</w:t>
      </w:r>
      <w:r>
        <w:rPr>
          <w:rFonts w:ascii="Times New Roman" w:cs="Times New Roman" w:eastAsia="Times New Roman" w:hAnsi="Times New Roman"/>
          <w:sz w:val="20"/>
          <w:szCs w:val="20"/>
          <w:color w:val="auto"/>
        </w:rPr>
        <w:t>.</w:t>
      </w:r>
    </w:p>
    <w:p>
      <w:pPr>
        <w:spacing w:after="0" w:line="64" w:lineRule="exact"/>
        <w:rPr>
          <w:sz w:val="20"/>
          <w:szCs w:val="20"/>
          <w:color w:val="auto"/>
        </w:rPr>
      </w:pPr>
    </w:p>
    <w:p>
      <w:pPr>
        <w:jc w:val="both"/>
        <w:ind w:left="620" w:firstLine="621"/>
        <w:spacing w:after="0" w:line="214" w:lineRule="auto"/>
        <w:tabs>
          <w:tab w:leader="none" w:pos="1854"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 Delivery Timing</w:t>
      </w:r>
      <w:r>
        <w:rPr>
          <w:rFonts w:ascii="Times New Roman" w:cs="Times New Roman" w:eastAsia="Times New Roman" w:hAnsi="Times New Roman"/>
          <w:sz w:val="21"/>
          <w:szCs w:val="21"/>
          <w:color w:val="auto"/>
        </w:rPr>
        <w:t>. Unless Participant timely submits a DRSU Payment Election Form (as defined below)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regarding the Units and electing (either by an affirmative election for pursuant the continuing (i.e., evergreen) nature of an earlier affirmative election), delivery of the shares of Common Stock relating to settlement of the Units shall occur on the first trading date of the New York Stock Exchange (or any successor exchange or market on which shares of Common Stock are traded) that is concurrent with or next following the date that is six months after the date Participant separates from service with H&amp;R Block as a Director, or if earlier, as soon as reasonably practicable, but no later than 90 days following, the date of Participant’s death or Disability.</w:t>
      </w:r>
    </w:p>
    <w:p>
      <w:pPr>
        <w:spacing w:after="0" w:line="142" w:lineRule="exact"/>
        <w:rPr>
          <w:rFonts w:ascii="Times New Roman" w:cs="Times New Roman" w:eastAsia="Times New Roman" w:hAnsi="Times New Roman"/>
          <w:sz w:val="21"/>
          <w:szCs w:val="21"/>
          <w:color w:val="auto"/>
        </w:rPr>
      </w:pPr>
    </w:p>
    <w:p>
      <w:pPr>
        <w:jc w:val="both"/>
        <w:ind w:left="620" w:firstLine="621"/>
        <w:spacing w:after="0" w:line="226" w:lineRule="auto"/>
        <w:tabs>
          <w:tab w:leader="none" w:pos="185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Election for Delivery on Vesting Date</w:t>
      </w:r>
      <w:r>
        <w:rPr>
          <w:rFonts w:ascii="Times New Roman" w:cs="Times New Roman" w:eastAsia="Times New Roman" w:hAnsi="Times New Roman"/>
          <w:sz w:val="21"/>
          <w:szCs w:val="21"/>
          <w:color w:val="auto"/>
        </w:rPr>
        <w:t>. Notwithstanding the foregoing, the Participant may have made an “in-service” payment election with H&amp;R Block on a “DRSU Payment Election Form” under which the Participant elected for the Units to be settled and the shares to be delivered on the first trading date of the New York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1" w:right="339" w:bottom="1440" w:gutter="0" w:footer="0" w:header="0"/>
        </w:sectPr>
      </w:pPr>
    </w:p>
    <w:bookmarkStart w:id="28" w:name="page29"/>
    <w:bookmarkEnd w:id="28"/>
    <w:p>
      <w:pPr>
        <w:jc w:val="both"/>
        <w:ind w:left="620"/>
        <w:spacing w:after="0" w:line="217" w:lineRule="auto"/>
        <w:rPr>
          <w:sz w:val="20"/>
          <w:szCs w:val="20"/>
          <w:color w:val="auto"/>
        </w:rPr>
      </w:pPr>
      <w:r>
        <w:rPr>
          <w:rFonts w:ascii="Times New Roman" w:cs="Times New Roman" w:eastAsia="Times New Roman" w:hAnsi="Times New Roman"/>
          <w:sz w:val="21"/>
          <w:szCs w:val="21"/>
          <w:color w:val="auto"/>
        </w:rPr>
        <w:t>Exchange (or any successor exchange or market on which shares of Common Stock are traded) that is concurrent with or next following the Vesting Date, or, if earlier, as soon as reasonably practicable, but no later than 90 days following, the date of Participant’s death or Disability. The DRSU Payment Election Form applicable to the Units shall only be valid if the conditions set forth therein are satisfied. The terms of any valid DRSU Payment Election Form shall be incorporated into this Award Agreement</w:t>
      </w:r>
    </w:p>
    <w:p>
      <w:pPr>
        <w:spacing w:after="0" w:line="142" w:lineRule="exact"/>
        <w:rPr>
          <w:sz w:val="20"/>
          <w:szCs w:val="20"/>
          <w:color w:val="auto"/>
        </w:rPr>
      </w:pPr>
    </w:p>
    <w:p>
      <w:pPr>
        <w:jc w:val="both"/>
        <w:ind w:left="620" w:firstLine="621"/>
        <w:spacing w:after="0" w:line="215" w:lineRule="auto"/>
        <w:tabs>
          <w:tab w:leader="none" w:pos="185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Transfer of Shares</w:t>
      </w:r>
      <w:r>
        <w:rPr>
          <w:rFonts w:ascii="Times New Roman" w:cs="Times New Roman" w:eastAsia="Times New Roman" w:hAnsi="Times New Roman"/>
          <w:sz w:val="21"/>
          <w:szCs w:val="21"/>
          <w:color w:val="auto"/>
        </w:rPr>
        <w:t>. At the time of delivery, the Company shall transfer shares of Common Stock equal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number of Units issued under this Award Agreement, plus any shares attributable to dividend equivalents (with any fractional share rounded to the next whole share), into a brokerage account established for Participant at a financial institution the Committee shall select at its discretion (the “Financial Institution”) or delivered to Participant in certificate form, such method to be selected by the Committee in its discretion. Participant agrees to complete any documentation for Company or the Financial Institution which is necessary to effect the transfer of shares of Common Stock to the Financial Institution.</w:t>
      </w:r>
    </w:p>
    <w:p>
      <w:pPr>
        <w:spacing w:after="0" w:line="176"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0"/>
          <w:szCs w:val="20"/>
          <w:u w:val="single" w:color="auto"/>
          <w:color w:val="auto"/>
        </w:rPr>
        <w:t>No Shareholder Privileges; Dividend Equivalents</w:t>
      </w:r>
      <w:r>
        <w:rPr>
          <w:rFonts w:ascii="Times New Roman" w:cs="Times New Roman" w:eastAsia="Times New Roman" w:hAnsi="Times New Roman"/>
          <w:sz w:val="20"/>
          <w:szCs w:val="20"/>
          <w:color w:val="auto"/>
        </w:rPr>
        <w:t>.</w:t>
      </w:r>
    </w:p>
    <w:p>
      <w:pPr>
        <w:spacing w:after="0" w:line="236" w:lineRule="exact"/>
        <w:rPr>
          <w:sz w:val="20"/>
          <w:szCs w:val="20"/>
          <w:color w:val="auto"/>
        </w:rPr>
      </w:pPr>
    </w:p>
    <w:p>
      <w:pPr>
        <w:jc w:val="both"/>
        <w:ind w:firstLine="622"/>
        <w:spacing w:after="0" w:line="256" w:lineRule="auto"/>
        <w:tabs>
          <w:tab w:leader="none" w:pos="1062"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Participant nor any person claiming under or through him or her shall be, or have any of the rights or privileges of, a shareholder of H&amp;R Block (including the right to vote shares or to receive dividends) with respect to any of the Common Stock issuable pursuant to this Award Agreement, unless and until such shares of Common Stock shall have been duly issued and delivered to Participant.</w:t>
      </w:r>
    </w:p>
    <w:p>
      <w:pPr>
        <w:spacing w:after="0" w:line="194" w:lineRule="exact"/>
        <w:rPr>
          <w:rFonts w:ascii="Times New Roman" w:cs="Times New Roman" w:eastAsia="Times New Roman" w:hAnsi="Times New Roman"/>
          <w:sz w:val="21"/>
          <w:szCs w:val="21"/>
          <w:color w:val="auto"/>
        </w:rPr>
      </w:pPr>
    </w:p>
    <w:p>
      <w:pPr>
        <w:jc w:val="both"/>
        <w:ind w:firstLine="622"/>
        <w:spacing w:after="0" w:line="248" w:lineRule="auto"/>
        <w:tabs>
          <w:tab w:leader="none" w:pos="1117"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1.4(a), dividend equivalents will accrue with respect to the Units and will be paid as additional whole shares of Common Stock (unless the Committee in its discretion determines to pay the value of the accrued dividend equivalents in cash) upon the date shares of Common Stock are delivered pursuant to Section 1.3. Dividend equivalents will apply to all cash dividends (excluding dividends for which an adjustment to the Award was or will be made pursuant to Section 3.2) and will be deemed reinvested in shares of Common Stock based on the Closing Price of the Common Stock on the trading day immediately preceding the ex-dividend date applicable to such dividend. Future dividend equivalents will apply to the shares of Common Stock relating to the reinvested dividend equivalents for each dividend record date that occurs before actual delivery of the shares. Notwithstanding the foregoing, the Committee retains discretion at any time, upon notice to Participant, to revise whether, and in what manner, dividend equivalents will be deemed reinvested with respect to any future dividends.</w:t>
      </w:r>
    </w:p>
    <w:p>
      <w:pPr>
        <w:spacing w:after="0" w:line="57" w:lineRule="exact"/>
        <w:rPr>
          <w:rFonts w:ascii="Times New Roman" w:cs="Times New Roman" w:eastAsia="Times New Roman" w:hAnsi="Times New Roman"/>
          <w:sz w:val="21"/>
          <w:szCs w:val="21"/>
          <w:color w:val="auto"/>
        </w:rPr>
      </w:pPr>
    </w:p>
    <w:p>
      <w:pPr>
        <w:jc w:val="both"/>
        <w:ind w:firstLine="3"/>
        <w:spacing w:after="0" w:line="252" w:lineRule="auto"/>
        <w:tabs>
          <w:tab w:leader="none" w:pos="374" w:val="left"/>
        </w:tabs>
        <w:numPr>
          <w:ilvl w:val="0"/>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 of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Award (including all rights, privileges and benefits conferred under such Award)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assigned, pledged, or hypothecated in any way (whether by operation of law or otherwise) and shall not be subject to sale under execution, attachment or similar process. Upon any attempt to transfer, assign, pledge, hypothecate, or otherwise dispose of this Award, or of any right or privilege conferred hereby, contrary to the provisions hereof, or upon any attempted sale under any execution, attachment, or similar process upon the rights and privileges hereby granted, then and in any such event this Award and the rights and privileges hereby granted shall immediately become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39" w:right="339" w:bottom="1440" w:gutter="0" w:footer="0" w:header="0"/>
        </w:sectPr>
      </w:pPr>
    </w:p>
    <w:bookmarkStart w:id="29" w:name="page30"/>
    <w:bookmarkEnd w:id="29"/>
    <w:p>
      <w:pPr>
        <w:spacing w:after="0" w:line="11" w:lineRule="exact"/>
        <w:rPr>
          <w:sz w:val="20"/>
          <w:szCs w:val="20"/>
          <w:color w:val="auto"/>
        </w:rPr>
      </w:pPr>
    </w:p>
    <w:p>
      <w:pPr>
        <w:ind w:left="360" w:hanging="357"/>
        <w:spacing w:after="0"/>
        <w:tabs>
          <w:tab w:leader="none" w:pos="360"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Miscellaneous.</w:t>
      </w:r>
    </w:p>
    <w:p>
      <w:pPr>
        <w:spacing w:after="0" w:line="98"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No Employment Contract</w:t>
      </w:r>
      <w:r>
        <w:rPr>
          <w:rFonts w:ascii="Times New Roman" w:cs="Times New Roman" w:eastAsia="Times New Roman" w:hAnsi="Times New Roman"/>
          <w:sz w:val="21"/>
          <w:szCs w:val="21"/>
          <w:color w:val="auto"/>
        </w:rPr>
        <w:t>. This Award Agreement does not confer on Participant any right to employment or service with Company (whether as a Director or otherwise) for any period of time and is not an employment contract.</w:t>
      </w:r>
    </w:p>
    <w:p>
      <w:pPr>
        <w:spacing w:after="0" w:line="39"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Adjustment of the Units</w:t>
      </w:r>
      <w:r>
        <w:rPr>
          <w:rFonts w:ascii="Times New Roman" w:cs="Times New Roman" w:eastAsia="Times New Roman" w:hAnsi="Times New Roman"/>
          <w:sz w:val="21"/>
          <w:szCs w:val="21"/>
          <w:color w:val="auto"/>
        </w:rPr>
        <w:t>. If any merger, reorganization, consolidation, recapitalization, dividend or distribution (whether in cash, shares or other property, other than a regular cash dividend), stock split, reverse stock split, spin-off or similar transaction or other change in corporate structure affects the Common Stock or the value thereof, the Committee shall make such adjustments and other substitutions to this Award Agreement as the Committee determines necessary or appropriate to prevent dilution or enlargement of benefits or potential benefits intended to be made available under this Award Agreement, in a manner the Committee deems equitable or appropriate, taking into consideration the accounting and tax consequences, including such adjustments in the aggregate number, class and kind of securities that may be delivered under the Plan, and in the number, class, kind and option or exercise price of securities subject to the Award Agreement (including, if the Committee deems appropriate, the substitution of awards denominated in the shares of another company).</w:t>
      </w:r>
    </w:p>
    <w:p>
      <w:pPr>
        <w:spacing w:after="0" w:line="62"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Merger, Consolidation, Reorganization, Liquidation, etc</w:t>
      </w:r>
      <w:r>
        <w:rPr>
          <w:rFonts w:ascii="Times New Roman" w:cs="Times New Roman" w:eastAsia="Times New Roman" w:hAnsi="Times New Roman"/>
          <w:sz w:val="20"/>
          <w:szCs w:val="20"/>
          <w:color w:val="auto"/>
        </w:rPr>
        <w:t>. If H&amp;R Block shall become a party to any corporate merger, consolidation, major acquisition of property for stock, reorganization, or liquidation, all Plan awards outstanding on the effective date of the consummation of the transaction shall be treated in the manner the Committee, in its discretion, deems equitable and appropriate after taking into consideration relevant facts, including the accounting and tax consequences. Such treatment need not treat all Awards (or all portions of an Award) in an identical manner. Such treatment may include, but is not limited to, the substitution of new Awards, or for any Awards then outstanding, the assumption of any such Awards or the cancellation of such Awards for a payment to Participant in cash or other property in an amount equitably determined by the Committee (and, for the avoidance of doubt, such cancellation may be without any payment to Participant in the event the Committee determines that the intrinsic value of the Award is zero or negative). Any such arrangements shall be binding upon Participant and any action taken under this Section 3.3 shall either preserve an Award’s status as exempt from Code Section 409A or comply with Code Section 409A.</w:t>
      </w:r>
    </w:p>
    <w:p>
      <w:pPr>
        <w:spacing w:after="0" w:line="42"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Interpretation and Regulations</w:t>
      </w:r>
      <w:r>
        <w:rPr>
          <w:rFonts w:ascii="Times New Roman" w:cs="Times New Roman" w:eastAsia="Times New Roman" w:hAnsi="Times New Roman"/>
          <w:sz w:val="21"/>
          <w:szCs w:val="21"/>
          <w:color w:val="auto"/>
        </w:rPr>
        <w:t>. The Committee shall have the full power and authority provided by delegation by the Board, subject to the terms of the Plan, and subject to such orders or resolutions not inconsistent with the provisions of the Plan as may from time to time be adopted by the Board. Such power and authority shall include, but not be limited to, the power and authority to: (a) interpret and administer the Plan, the Award Agreement, and any instrument or agreement entered into under or in connection with the Plan; (b) correct any defect, supply any omission or reconcile any inconsistency in the Plan or the Award Agreement in the manner and to the extent that the Committee shall deem desirable to carry it into effect; (c) establish such rules and regulations and appoint such agents as it shall deem appropriate for the proper administration of the Plan and Award; (d) make any other determination and take any other action that the Committee deems necessary or desirable for the administration of the Plan and Award; (e) determine whether, to what extent and under what circumstances the Award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be canceled or suspended; and (f) determine, for purposes of the Plan and this Award Agreement, the date and circumstances that constitute a cessation or termination of service.</w:t>
      </w:r>
    </w:p>
    <w:p>
      <w:pPr>
        <w:spacing w:after="0" w:line="39" w:lineRule="exact"/>
        <w:rPr>
          <w:sz w:val="20"/>
          <w:szCs w:val="20"/>
          <w:color w:val="auto"/>
        </w:rPr>
      </w:pPr>
    </w:p>
    <w:p>
      <w:pPr>
        <w:jc w:val="both"/>
        <w:ind w:firstLine="303"/>
        <w:spacing w:after="0" w:line="249"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Reservation of Rights</w:t>
      </w:r>
      <w:r>
        <w:rPr>
          <w:rFonts w:ascii="Times New Roman" w:cs="Times New Roman" w:eastAsia="Times New Roman" w:hAnsi="Times New Roman"/>
          <w:sz w:val="21"/>
          <w:szCs w:val="21"/>
          <w:color w:val="auto"/>
        </w:rPr>
        <w:t>. If at any time Company determines that qualification or registration of the Units or any shares of Common Stock subject to the Units under any federal, state or other applicable securities law, or the consent or approval of any governmental regulatory authority, is necessary or desirable as a condition of executing an Award or providing a benefit under the Plan, then such action may not be taken, in whole or in part, unless and until such qualification, registration, consent or approval shall have been effected or obtained free of any conditions Company deems unacceptable.</w:t>
      </w:r>
    </w:p>
    <w:p>
      <w:pPr>
        <w:spacing w:after="0" w:line="62"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Company shall make the delivery of shares of Common Stock pursuant to this Award Agreement without withholding any amounts to account for federal, state, local or foreign taxes (unless required to be paid or withheld as a result of the vesting or delivery of shares of Common Stock).</w:t>
      </w:r>
    </w:p>
    <w:p>
      <w:pPr>
        <w:spacing w:after="0" w:line="47" w:lineRule="exact"/>
        <w:rPr>
          <w:sz w:val="20"/>
          <w:szCs w:val="20"/>
          <w:color w:val="auto"/>
        </w:rPr>
      </w:pPr>
    </w:p>
    <w:p>
      <w:pPr>
        <w:jc w:val="both"/>
        <w:ind w:firstLine="309"/>
        <w:spacing w:after="0" w:line="248"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Reasonableness of Restrictions, Severability and Court Modification</w:t>
      </w:r>
      <w:r>
        <w:rPr>
          <w:rFonts w:ascii="Times New Roman" w:cs="Times New Roman" w:eastAsia="Times New Roman" w:hAnsi="Times New Roman"/>
          <w:sz w:val="21"/>
          <w:szCs w:val="21"/>
          <w:color w:val="auto"/>
        </w:rPr>
        <w:t>. Participant and Company agree that the restrictions contained in this Award Agreement are reasonable, but, should any provision of this Award Agreement be determined by a court of competent jurisdiction to be invalid, illegal or otherwise unenforceable or unreasonable in scope, the validity, legality and enforceability of the other provisions of this Award Agreement will not be affected thereby, and the provision found invalid, illegal, or otherwise unenforceable or unreasonable will be considered by Company and Participant to be amended in whatever manner is considered reasonable by that court and, as so amended, will be enforced.</w:t>
      </w:r>
    </w:p>
    <w:p>
      <w:pPr>
        <w:spacing w:after="0" w:line="63" w:lineRule="exact"/>
        <w:rPr>
          <w:sz w:val="20"/>
          <w:szCs w:val="20"/>
          <w:color w:val="auto"/>
        </w:rPr>
      </w:pPr>
    </w:p>
    <w:p>
      <w:pPr>
        <w:jc w:val="both"/>
        <w:ind w:firstLine="238"/>
        <w:spacing w:after="0" w:line="256"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The failure of Company to enforce at any time any terms, covenants or conditions of this Award Agreement shall not be construed to be a waiver of such terms, covenants or conditions or of any other provision. Any waiver or modification of the terms, covenants or conditions of this Award Agreement shall only be effective if reduced to writing and signed by both Participant and, on behalf of H&amp;R Block, an officer of H&amp;R Block.</w:t>
      </w:r>
    </w:p>
    <w:p>
      <w:pPr>
        <w:spacing w:after="0" w:line="53" w:lineRule="exact"/>
        <w:rPr>
          <w:sz w:val="20"/>
          <w:szCs w:val="20"/>
          <w:color w:val="auto"/>
        </w:rPr>
      </w:pPr>
    </w:p>
    <w:p>
      <w:pPr>
        <w:jc w:val="both"/>
        <w:ind w:firstLine="226"/>
        <w:spacing w:after="0" w:line="252" w:lineRule="auto"/>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u w:val="single" w:color="auto"/>
          <w:color w:val="auto"/>
        </w:rPr>
        <w:t>Plan Control</w:t>
      </w:r>
      <w:r>
        <w:rPr>
          <w:rFonts w:ascii="Times New Roman" w:cs="Times New Roman" w:eastAsia="Times New Roman" w:hAnsi="Times New Roman"/>
          <w:sz w:val="21"/>
          <w:szCs w:val="21"/>
          <w:color w:val="auto"/>
        </w:rPr>
        <w:t>. The terms of this Award Agreement are governed by the terms of the Plan, as it exists on the Grant Date (except to the extent the Plan is amended from time to time and such amendment is intended to have retroactive effect). Except where the Plan expressly permits an award agreement to provide for different terms, if any provisions of this Award Agreement conflict with any provisions of the Plan, the terms of the Plan shall control.</w:t>
      </w:r>
    </w:p>
    <w:p>
      <w:pPr>
        <w:spacing w:after="0" w:line="56"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 xml:space="preserve">3.10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to be given to Company or election to be made under the terms of this Award Agreement shall be addressed to Company (Attention: Long Term Incentive Department) at One H&amp;R Block Way, Kansas City Missouri 64105, or at such other address or by such other means as Company may hereafter designate in writing to Participant. Any notice to be given to Participant shall be addressed to Participant at the last address of record with Company or at such other address as Participant may hereafter designate in writing to Company. Any such notice shall be deemed to have been duly given when deposited in the United States mail via regular or certified mail, addressed as aforesaid, postage prepaid.</w:t>
      </w:r>
    </w:p>
    <w:p>
      <w:pPr>
        <w:spacing w:after="0" w:line="58" w:lineRule="exact"/>
        <w:rPr>
          <w:sz w:val="20"/>
          <w:szCs w:val="20"/>
          <w:color w:val="auto"/>
        </w:rPr>
      </w:pPr>
    </w:p>
    <w:p>
      <w:pPr>
        <w:jc w:val="both"/>
        <w:ind w:firstLine="238"/>
        <w:spacing w:after="0" w:line="269"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This Award Agreement shall be governed by and construed and enforced in accordance with the laws of the State of Missouri without reference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5" w:lineRule="exact"/>
        <w:rPr>
          <w:sz w:val="20"/>
          <w:szCs w:val="20"/>
          <w:color w:val="auto"/>
        </w:rPr>
      </w:pPr>
    </w:p>
    <w:p>
      <w:pPr>
        <w:jc w:val="both"/>
        <w:ind w:firstLine="238"/>
        <w:spacing w:after="0" w:line="251" w:lineRule="auto"/>
        <w:rPr>
          <w:sz w:val="20"/>
          <w:szCs w:val="20"/>
          <w:color w:val="auto"/>
        </w:rPr>
      </w:pPr>
      <w:r>
        <w:rPr>
          <w:rFonts w:ascii="Times New Roman" w:cs="Times New Roman" w:eastAsia="Times New Roman" w:hAnsi="Times New Roman"/>
          <w:sz w:val="21"/>
          <w:szCs w:val="21"/>
          <w:color w:val="auto"/>
        </w:rPr>
        <w:t xml:space="preserve">3.12 </w:t>
      </w:r>
      <w:r>
        <w:rPr>
          <w:rFonts w:ascii="Times New Roman" w:cs="Times New Roman" w:eastAsia="Times New Roman" w:hAnsi="Times New Roman"/>
          <w:sz w:val="21"/>
          <w:szCs w:val="21"/>
          <w:u w:val="single" w:color="auto"/>
          <w:color w:val="auto"/>
        </w:rPr>
        <w:t>Choice of Forum and Jurisdiction</w:t>
      </w:r>
      <w:r>
        <w:rPr>
          <w:rFonts w:ascii="Times New Roman" w:cs="Times New Roman" w:eastAsia="Times New Roman" w:hAnsi="Times New Roman"/>
          <w:sz w:val="21"/>
          <w:szCs w:val="21"/>
          <w:color w:val="auto"/>
        </w:rPr>
        <w:t>. Participant and Company agree that any proceedings to enforce the obligations and rights under this Award Agreement must be brought in the Missouri District Court located in Jackson County, Missouri, or in the United States District Court for the Western District of Missouri in Kansas City, Missouri. Participant agrees and submits to personal jurisdiction in either court. Participant and Company further agree that this Choice of Forum and Jurisdiction is binding on all matters related to Awards under the Plan and may not be altered or amended by any other arrangement or agreement (including an employment agreement) without the express written consent of Participant and H&amp;R Block.</w:t>
      </w:r>
    </w:p>
    <w:p>
      <w:pPr>
        <w:spacing w:after="0" w:line="45" w:lineRule="exact"/>
        <w:rPr>
          <w:sz w:val="20"/>
          <w:szCs w:val="20"/>
          <w:color w:val="auto"/>
        </w:rPr>
      </w:pPr>
    </w:p>
    <w:p>
      <w:pPr>
        <w:jc w:val="both"/>
        <w:ind w:firstLine="284"/>
        <w:spacing w:after="0" w:line="248" w:lineRule="auto"/>
        <w:rPr>
          <w:sz w:val="20"/>
          <w:szCs w:val="20"/>
          <w:color w:val="auto"/>
        </w:rPr>
      </w:pPr>
      <w:r>
        <w:rPr>
          <w:rFonts w:ascii="Times New Roman" w:cs="Times New Roman" w:eastAsia="Times New Roman" w:hAnsi="Times New Roman"/>
          <w:sz w:val="21"/>
          <w:szCs w:val="21"/>
          <w:color w:val="auto"/>
        </w:rPr>
        <w:t xml:space="preserve">3.13 </w:t>
      </w: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Notwithstanding any provision in this Award Agreement or the Plan to the contrary, this Award Agreement shall be interpreted and administered in accordance with Code Section 409A and regulations and other guidance issued thereunder (“Section 409A”). For purposes of determining whether any payment made pursuant to this Award Agreement results in a “deferral of compensation” within the meaning of Treasury Regulation 1.409A-1(b), H&amp;R Block shall maximize the exemptions described in such section, as applicable. Any reference to a “termination of employment” or similar term or phrase shall be interpreted as a “separation from service” within the meaning of Section 409A. If any deferred compensation payment is payable while Participant is a “specified employee” under Section 409A, and payment is due because of separation from service for any reason other than death, then payment of such amount shall be delayed for a period of six months and paid in a lump sum on the first payroll payment date following the earlier of the expiration of such six month period or Participant’s death. To the extent any payments under this Award Agreement are made in installments, each installment shall be deemed a separate payment for purposes of Section 409A and the regulations issued thereunder. Participant or his or her beneficiary, as applicable, shall be solely responsible and liable for the satisfaction of all taxes and penalties that may be imposed on Participant or his or her beneficiary in connection with any payments to Participant or his or her beneficiary pursuant to this Award Agreement, including but not limited to any taxes, interest and penalties under Section 409A, and neither H&amp;R Block nor any of its affiliates shall have any obligation to indemnify or otherwise hold Participant or his or her beneficiary harmless from any and all of such taxes and penalties.</w:t>
      </w:r>
    </w:p>
    <w:p>
      <w:pPr>
        <w:spacing w:after="0" w:line="60" w:lineRule="exact"/>
        <w:rPr>
          <w:sz w:val="20"/>
          <w:szCs w:val="20"/>
          <w:color w:val="auto"/>
        </w:rPr>
      </w:pPr>
    </w:p>
    <w:p>
      <w:pPr>
        <w:jc w:val="both"/>
        <w:ind w:firstLine="619"/>
        <w:spacing w:after="0" w:line="295"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Participant and Company agree that in the event of litigation to enforce the terms and obligations under this Award Agreement, the party prevailing in any such cause of action will be entitled to reimbursement of reasonable attorneys fees.</w:t>
      </w:r>
    </w:p>
    <w:p>
      <w:pPr>
        <w:spacing w:after="0" w:line="15"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21"/>
          <w:szCs w:val="21"/>
          <w:color w:val="auto"/>
        </w:rPr>
        <w:t xml:space="preserve">3.15 </w:t>
      </w:r>
      <w:r>
        <w:rPr>
          <w:rFonts w:ascii="Times New Roman" w:cs="Times New Roman" w:eastAsia="Times New Roman" w:hAnsi="Times New Roman"/>
          <w:sz w:val="21"/>
          <w:szCs w:val="21"/>
          <w:u w:val="single" w:color="auto"/>
          <w:color w:val="auto"/>
        </w:rPr>
        <w:t>Relationship of the Parties</w:t>
      </w:r>
      <w:r>
        <w:rPr>
          <w:rFonts w:ascii="Times New Roman" w:cs="Times New Roman" w:eastAsia="Times New Roman" w:hAnsi="Times New Roman"/>
          <w:sz w:val="21"/>
          <w:szCs w:val="21"/>
          <w:color w:val="auto"/>
        </w:rPr>
        <w:t>. Participant acknowledges that this Award Agreement is between H&amp;R Block and Participant. Participant further acknowledges that H&amp;R Block is a holding company and that Participant is not an employee of either H&amp;R Block or a Subsidiary thereof.</w:t>
      </w:r>
    </w:p>
    <w:p>
      <w:pPr>
        <w:spacing w:after="0" w:line="52" w:lineRule="exact"/>
        <w:rPr>
          <w:sz w:val="20"/>
          <w:szCs w:val="20"/>
          <w:color w:val="auto"/>
        </w:rPr>
      </w:pPr>
    </w:p>
    <w:p>
      <w:pPr>
        <w:jc w:val="both"/>
        <w:ind w:firstLine="335"/>
        <w:spacing w:after="0" w:line="269" w:lineRule="auto"/>
        <w:rPr>
          <w:sz w:val="20"/>
          <w:szCs w:val="20"/>
          <w:color w:val="auto"/>
        </w:rPr>
      </w:pPr>
      <w:r>
        <w:rPr>
          <w:rFonts w:ascii="Times New Roman" w:cs="Times New Roman" w:eastAsia="Times New Roman" w:hAnsi="Times New Roman"/>
          <w:sz w:val="21"/>
          <w:szCs w:val="21"/>
          <w:color w:val="auto"/>
        </w:rPr>
        <w:t xml:space="preserve">3.16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section headings herein are for convenience only and shall not be considered in construing this Award Agreement.</w:t>
      </w:r>
    </w:p>
    <w:p>
      <w:pPr>
        <w:spacing w:after="0" w:line="39" w:lineRule="exact"/>
        <w:rPr>
          <w:sz w:val="20"/>
          <w:szCs w:val="20"/>
          <w:color w:val="auto"/>
        </w:rPr>
      </w:pPr>
    </w:p>
    <w:p>
      <w:pPr>
        <w:jc w:val="both"/>
        <w:ind w:firstLine="219"/>
        <w:spacing w:after="0" w:line="269" w:lineRule="auto"/>
        <w:rPr>
          <w:sz w:val="20"/>
          <w:szCs w:val="20"/>
          <w:color w:val="auto"/>
        </w:rPr>
      </w:pPr>
      <w:r>
        <w:rPr>
          <w:rFonts w:ascii="Times New Roman" w:cs="Times New Roman" w:eastAsia="Times New Roman" w:hAnsi="Times New Roman"/>
          <w:sz w:val="21"/>
          <w:szCs w:val="21"/>
          <w:color w:val="auto"/>
        </w:rPr>
        <w:t xml:space="preserve">3.17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No amendment, supplement, or waiver to this Award Agreement is valid or binding unless in writing and signed on behalf of H&amp;R Block by an officer of H&amp;R Block, and, if materially adverse to Participant, signed by Participant.</w:t>
      </w:r>
    </w:p>
    <w:p>
      <w:pPr>
        <w:spacing w:after="0" w:line="39" w:lineRule="exact"/>
        <w:rPr>
          <w:sz w:val="20"/>
          <w:szCs w:val="20"/>
          <w:color w:val="auto"/>
        </w:rPr>
      </w:pPr>
    </w:p>
    <w:p>
      <w:pPr>
        <w:jc w:val="both"/>
        <w:ind w:firstLine="226"/>
        <w:spacing w:after="0" w:line="269" w:lineRule="auto"/>
        <w:rPr>
          <w:sz w:val="20"/>
          <w:szCs w:val="20"/>
          <w:color w:val="auto"/>
        </w:rPr>
      </w:pPr>
      <w:r>
        <w:rPr>
          <w:rFonts w:ascii="Times New Roman" w:cs="Times New Roman" w:eastAsia="Times New Roman" w:hAnsi="Times New Roman"/>
          <w:sz w:val="21"/>
          <w:szCs w:val="21"/>
          <w:color w:val="auto"/>
        </w:rPr>
        <w:t xml:space="preserve">3.18 </w:t>
      </w:r>
      <w:r>
        <w:rPr>
          <w:rFonts w:ascii="Times New Roman" w:cs="Times New Roman" w:eastAsia="Times New Roman" w:hAnsi="Times New Roman"/>
          <w:sz w:val="21"/>
          <w:szCs w:val="21"/>
          <w:u w:val="single" w:color="auto"/>
          <w:color w:val="auto"/>
        </w:rPr>
        <w:t>Execution of Agreement</w:t>
      </w:r>
      <w:r>
        <w:rPr>
          <w:rFonts w:ascii="Times New Roman" w:cs="Times New Roman" w:eastAsia="Times New Roman" w:hAnsi="Times New Roman"/>
          <w:sz w:val="21"/>
          <w:szCs w:val="21"/>
          <w:color w:val="auto"/>
        </w:rPr>
        <w:t>. This Award Agreement shall not be enforceable by either party, and Participant shall have no rights with respect to the Awards made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40" w:right="339" w:bottom="1440" w:gutter="0" w:footer="0" w:header="0"/>
        </w:sectPr>
      </w:pPr>
    </w:p>
    <w:bookmarkStart w:id="32" w:name="page33"/>
    <w:bookmarkEnd w:id="32"/>
    <w:p>
      <w:pPr>
        <w:jc w:val="both"/>
        <w:spacing w:after="0" w:line="269" w:lineRule="auto"/>
        <w:rPr>
          <w:sz w:val="20"/>
          <w:szCs w:val="20"/>
          <w:color w:val="auto"/>
        </w:rPr>
      </w:pPr>
      <w:r>
        <w:rPr>
          <w:rFonts w:ascii="Times New Roman" w:cs="Times New Roman" w:eastAsia="Times New Roman" w:hAnsi="Times New Roman"/>
          <w:sz w:val="21"/>
          <w:szCs w:val="21"/>
          <w:color w:val="auto"/>
        </w:rPr>
        <w:t>unless and until it has been (a) signed by Participant within 180 days of the Grant Date listed above in Section 1.1, (b) signed on behalf of H&amp;R Block by an officer of H&amp;R Block, and (c) returned to H&amp;R Block.</w:t>
      </w:r>
    </w:p>
    <w:p>
      <w:pPr>
        <w:spacing w:after="0" w:line="155" w:lineRule="exact"/>
        <w:rPr>
          <w:sz w:val="20"/>
          <w:szCs w:val="20"/>
          <w:color w:val="auto"/>
        </w:rPr>
      </w:pPr>
    </w:p>
    <w:p>
      <w:pPr>
        <w:jc w:val="both"/>
        <w:ind w:firstLine="619"/>
        <w:spacing w:after="0" w:line="282" w:lineRule="auto"/>
        <w:rPr>
          <w:sz w:val="20"/>
          <w:szCs w:val="20"/>
          <w:color w:val="auto"/>
        </w:rPr>
      </w:pPr>
      <w:r>
        <w:rPr>
          <w:rFonts w:ascii="Times New Roman" w:cs="Times New Roman" w:eastAsia="Times New Roman" w:hAnsi="Times New Roman"/>
          <w:sz w:val="21"/>
          <w:szCs w:val="21"/>
          <w:color w:val="auto"/>
        </w:rPr>
        <w:t>This Award Agreement may be signed by the parties via facsimile or electronic signature, as acceptable to Company, and may be signed by H&amp;R Block via stamped signature.</w:t>
      </w:r>
    </w:p>
    <w:p>
      <w:pPr>
        <w:spacing w:after="0" w:line="9" w:lineRule="exact"/>
        <w:rPr>
          <w:sz w:val="20"/>
          <w:szCs w:val="20"/>
          <w:color w:val="auto"/>
        </w:rPr>
      </w:pPr>
    </w:p>
    <w:p>
      <w:pPr>
        <w:jc w:val="both"/>
        <w:ind w:firstLine="296"/>
        <w:spacing w:after="0" w:line="264" w:lineRule="auto"/>
        <w:rPr>
          <w:sz w:val="20"/>
          <w:szCs w:val="20"/>
          <w:color w:val="auto"/>
        </w:rPr>
      </w:pPr>
      <w:r>
        <w:rPr>
          <w:rFonts w:ascii="Times New Roman" w:cs="Times New Roman" w:eastAsia="Times New Roman" w:hAnsi="Times New Roman"/>
          <w:sz w:val="21"/>
          <w:szCs w:val="21"/>
          <w:color w:val="auto"/>
        </w:rPr>
        <w:t xml:space="preserve">3.19 </w:t>
      </w:r>
      <w:r>
        <w:rPr>
          <w:rFonts w:ascii="Times New Roman" w:cs="Times New Roman" w:eastAsia="Times New Roman" w:hAnsi="Times New Roman"/>
          <w:sz w:val="21"/>
          <w:szCs w:val="21"/>
          <w:b w:val="1"/>
          <w:bCs w:val="1"/>
          <w:u w:val="single" w:color="auto"/>
          <w:color w:val="auto"/>
        </w:rPr>
        <w:t>WAIVER OF JURY TRIAL</w:t>
      </w:r>
      <w:r>
        <w:rPr>
          <w:rFonts w:ascii="Times New Roman" w:cs="Times New Roman" w:eastAsia="Times New Roman" w:hAnsi="Times New Roman"/>
          <w:sz w:val="21"/>
          <w:szCs w:val="21"/>
          <w:color w:val="auto"/>
        </w:rPr>
        <w:t>. PARTICIPANT KNOWINGLY, VOLUNTARILY AND IRREVOCABLY WAIVES ANY AND ALL RIGHT TO TRIAL BY JURY IN ANY LEGAL PROCEEDING, ACTION OR CLAIM ARISING OUT OF OR RELATED TO THIS AGREEMENT.</w:t>
      </w:r>
    </w:p>
    <w:p>
      <w:pPr>
        <w:spacing w:after="0" w:line="41" w:lineRule="exact"/>
        <w:rPr>
          <w:sz w:val="20"/>
          <w:szCs w:val="20"/>
          <w:color w:val="auto"/>
        </w:rPr>
      </w:pPr>
    </w:p>
    <w:p>
      <w:pPr>
        <w:jc w:val="both"/>
        <w:ind w:firstLine="3"/>
        <w:spacing w:after="0" w:line="258" w:lineRule="auto"/>
        <w:tabs>
          <w:tab w:leader="none" w:pos="374"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Whenever a term is used in this Award Agreement, the following words and phrases shall have the meanings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below or as set forth in the Plan unless the context plainly requires a different meaning, and when a defined meaning is intended, the term is capitalized.</w:t>
      </w:r>
    </w:p>
    <w:p>
      <w:pPr>
        <w:spacing w:after="0" w:line="50"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Board means the Board of Directors of H&amp;R Block.</w:t>
      </w:r>
    </w:p>
    <w:p>
      <w:pPr>
        <w:spacing w:after="0" w:line="94"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Closing Price</w:t>
      </w:r>
      <w:r>
        <w:rPr>
          <w:rFonts w:ascii="Times New Roman" w:cs="Times New Roman" w:eastAsia="Times New Roman" w:hAnsi="Times New Roman"/>
          <w:sz w:val="21"/>
          <w:szCs w:val="21"/>
          <w:color w:val="auto"/>
        </w:rPr>
        <w:t>. Closing Price means the last reported market price for one share of Common Stock, regular way, on the New York Stock Exchange (or any successor exchange or stock market on which such last reported market price is reported) on the day in question. If the exchange is closed on the day on which the Closing Price is to be determined or if there were no sales reported on such date, the Closing Price shall be computed as of the last date preceding such date on which the exchange was open and a sale was reported.</w:t>
      </w:r>
    </w:p>
    <w:p>
      <w:pPr>
        <w:spacing w:after="0" w:line="62"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4.3</w:t>
      </w:r>
      <w:r>
        <w:rPr>
          <w:sz w:val="20"/>
          <w:szCs w:val="20"/>
          <w:color w:val="auto"/>
        </w:rPr>
        <w:tab/>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means the Internal Revenue Code of 1986, as amended.</w:t>
      </w:r>
    </w:p>
    <w:p>
      <w:pPr>
        <w:spacing w:after="0" w:line="9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Committee means the Compensation Committee of the Board or such committee of the Board of Directors to whom authority for this Award has been delegated pursuant to the provisions of the Plan.</w:t>
      </w:r>
    </w:p>
    <w:p>
      <w:pPr>
        <w:spacing w:after="0" w:line="39" w:lineRule="exact"/>
        <w:rPr>
          <w:sz w:val="20"/>
          <w:szCs w:val="20"/>
          <w:color w:val="auto"/>
        </w:rPr>
      </w:pPr>
    </w:p>
    <w:p>
      <w:pPr>
        <w:ind w:left="620"/>
        <w:spacing w:after="0"/>
        <w:tabs>
          <w:tab w:leader="none" w:pos="1060" w:val="left"/>
        </w:tabs>
        <w:rPr>
          <w:sz w:val="20"/>
          <w:szCs w:val="20"/>
          <w:color w:val="auto"/>
        </w:rPr>
      </w:pPr>
      <w:r>
        <w:rPr>
          <w:rFonts w:ascii="Times New Roman" w:cs="Times New Roman" w:eastAsia="Times New Roman" w:hAnsi="Times New Roman"/>
          <w:sz w:val="21"/>
          <w:szCs w:val="21"/>
          <w:color w:val="auto"/>
        </w:rPr>
        <w:t>4.5</w:t>
      </w:r>
      <w:r>
        <w:rPr>
          <w:sz w:val="20"/>
          <w:szCs w:val="20"/>
          <w:color w:val="auto"/>
        </w:rPr>
        <w:tab/>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Common Stock means the common stock of H&amp;R Block, without par value.</w:t>
      </w:r>
    </w:p>
    <w:p>
      <w:pPr>
        <w:spacing w:after="0" w:line="9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Company means H&amp;R Block, Inc., a Missouri corporation, and includes its “subsidiary corporations” (as defined in Code Section 424(f)) and their respective divisions, departments and subsidiaries and the respective divisions, departments and subsidiaries of such subsidiaries.</w:t>
      </w:r>
    </w:p>
    <w:p>
      <w:pPr>
        <w:spacing w:after="0" w:line="5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21"/>
          <w:szCs w:val="21"/>
          <w:color w:val="auto"/>
        </w:rPr>
        <w:t xml:space="preserve">4.7 Director Restricted Share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Director Restricted Share Units means an award providing the right to receive one share of Common Stock for each unit awarded, on a specified delivery date, subject to such terms and conditions as the Committee may determine. Director Restricted Share Units are a form of Other Share-Based Award described under the Plan.</w:t>
      </w:r>
    </w:p>
    <w:p>
      <w:pPr>
        <w:spacing w:after="0" w:line="30" w:lineRule="exact"/>
        <w:rPr>
          <w:sz w:val="20"/>
          <w:szCs w:val="20"/>
          <w:color w:val="auto"/>
        </w:rPr>
      </w:pPr>
    </w:p>
    <w:p>
      <w:pPr>
        <w:ind w:left="360" w:hanging="357"/>
        <w:spacing w:after="0"/>
        <w:tabs>
          <w:tab w:leader="none" w:pos="360" w:val="left"/>
        </w:tabs>
        <w:numPr>
          <w:ilvl w:val="0"/>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ACKNOWLEDGEMENT OF RIGHTS, OBLIGATIONS AND WAIVERS</w:t>
      </w:r>
      <w:r>
        <w:rPr>
          <w:rFonts w:ascii="Times New Roman" w:cs="Times New Roman" w:eastAsia="Times New Roman" w:hAnsi="Times New Roman"/>
          <w:sz w:val="21"/>
          <w:szCs w:val="21"/>
          <w:b w:val="1"/>
          <w:bCs w:val="1"/>
          <w:color w:val="auto"/>
        </w:rPr>
        <w:t>.</w:t>
      </w:r>
    </w:p>
    <w:p>
      <w:pPr>
        <w:spacing w:after="0" w:line="223" w:lineRule="exact"/>
        <w:rPr>
          <w:sz w:val="20"/>
          <w:szCs w:val="20"/>
          <w:color w:val="auto"/>
        </w:rPr>
      </w:pPr>
    </w:p>
    <w:p>
      <w:pPr>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5.1 </w:t>
      </w:r>
      <w:r>
        <w:rPr>
          <w:rFonts w:ascii="Times New Roman" w:cs="Times New Roman" w:eastAsia="Times New Roman" w:hAnsi="Times New Roman"/>
          <w:sz w:val="21"/>
          <w:szCs w:val="21"/>
          <w:b w:val="1"/>
          <w:bCs w:val="1"/>
          <w:u w:val="single" w:color="auto"/>
          <w:color w:val="auto"/>
        </w:rPr>
        <w:t>Participant understands and acknowledges that this Award Agreement confers both rights and obligations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Participant.</w:t>
      </w:r>
    </w:p>
    <w:p>
      <w:pPr>
        <w:spacing w:after="0" w:line="147" w:lineRule="exact"/>
        <w:rPr>
          <w:sz w:val="20"/>
          <w:szCs w:val="20"/>
          <w:color w:val="auto"/>
        </w:rPr>
      </w:pPr>
    </w:p>
    <w:p>
      <w:pPr>
        <w:ind w:firstLine="61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5.2 </w:t>
      </w:r>
      <w:r>
        <w:rPr>
          <w:rFonts w:ascii="Times New Roman" w:cs="Times New Roman" w:eastAsia="Times New Roman" w:hAnsi="Times New Roman"/>
          <w:sz w:val="21"/>
          <w:szCs w:val="21"/>
          <w:b w:val="1"/>
          <w:bCs w:val="1"/>
          <w:u w:val="single" w:color="auto"/>
          <w:color w:val="auto"/>
        </w:rPr>
        <w:t>Participant has reviewed this Award Agreement in its entirety and understands that by signing this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Agreement, Participant agrees to all of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365" w:right="339" w:bottom="1440" w:gutter="0" w:footer="0" w:header="0"/>
        </w:sectPr>
      </w:pPr>
    </w:p>
    <w:bookmarkStart w:id="33" w:name="page34"/>
    <w:bookmarkEnd w:id="33"/>
    <w:p>
      <w:pPr>
        <w:jc w:val="both"/>
        <w:spacing w:after="0" w:line="273" w:lineRule="auto"/>
        <w:rPr>
          <w:sz w:val="20"/>
          <w:szCs w:val="20"/>
          <w:color w:val="auto"/>
        </w:rPr>
      </w:pPr>
      <w:r>
        <w:rPr>
          <w:rFonts w:ascii="Times New Roman" w:cs="Times New Roman" w:eastAsia="Times New Roman" w:hAnsi="Times New Roman"/>
          <w:sz w:val="21"/>
          <w:szCs w:val="21"/>
          <w:b w:val="1"/>
          <w:bCs w:val="1"/>
          <w:u w:val="single" w:color="auto"/>
          <w:color w:val="auto"/>
        </w:rPr>
        <w:t>including, but not limited to, the Choice of Forum and Jurisdiction, and the Waiver of Jury Trial set forth in Section 3 of this Award Agreement.</w:t>
      </w:r>
    </w:p>
    <w:p>
      <w:pPr>
        <w:spacing w:after="0" w:line="1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5.3 </w:t>
      </w:r>
      <w:r>
        <w:rPr>
          <w:rFonts w:ascii="Times New Roman" w:cs="Times New Roman" w:eastAsia="Times New Roman" w:hAnsi="Times New Roman"/>
          <w:sz w:val="21"/>
          <w:szCs w:val="21"/>
          <w:b w:val="1"/>
          <w:bCs w:val="1"/>
          <w:u w:val="single" w:color="auto"/>
          <w:color w:val="auto"/>
        </w:rPr>
        <w:t>Participant acknowledges that Company has advised Participant to seek his or her own legal counsel before signing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this Award Agreement and that Participant has consulted or has had the opportunity to consult with his or her personal attorney before executing this Award Agreement.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361" w:right="339" w:bottom="1440" w:gutter="0" w:footer="0" w:header="0"/>
        </w:sectPr>
      </w:pPr>
    </w:p>
    <w:bookmarkStart w:id="34" w:name="page35"/>
    <w:bookmarkEnd w:id="34"/>
    <w:p>
      <w:pPr>
        <w:ind w:left="200"/>
        <w:spacing w:after="0"/>
        <w:rPr>
          <w:sz w:val="20"/>
          <w:szCs w:val="20"/>
          <w:color w:val="auto"/>
        </w:rPr>
      </w:pPr>
      <w:r>
        <w:rPr>
          <w:rFonts w:ascii="Times New Roman" w:cs="Times New Roman" w:eastAsia="Times New Roman" w:hAnsi="Times New Roman"/>
          <w:sz w:val="20"/>
          <w:szCs w:val="20"/>
          <w:color w:val="auto"/>
        </w:rPr>
        <w:t>In consideration of said Award and the mutual covenants contained herein, the parties agree to the terms set forth above.</w:t>
      </w: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The parties hereto have executed this Award Agreement.</w:t>
      </w:r>
    </w:p>
    <w:p>
      <w:pPr>
        <w:spacing w:after="0" w:line="322"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Participant Name:</w:t>
      </w:r>
      <w:r>
        <w:rPr>
          <w:sz w:val="20"/>
          <w:szCs w:val="20"/>
          <w:color w:val="auto"/>
        </w:rPr>
        <w:tab/>
      </w:r>
      <w:r>
        <w:rPr>
          <w:rFonts w:ascii="Times New Roman" w:cs="Times New Roman" w:eastAsia="Times New Roman" w:hAnsi="Times New Roman"/>
          <w:sz w:val="20"/>
          <w:szCs w:val="20"/>
          <w:color w:val="auto"/>
          <w:highlight w:val="yellow"/>
        </w:rPr>
        <w:t>[Participant Name]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 Signed: _____________________</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H&amp;R BLOCK,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highlight w:val="yellow"/>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139"/>
          </w:cols>
          <w:pgMar w:left="320" w:top="1365"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Jeffrey J. Jones II, Chief Executive Officer, certify that:</w:t>
      </w:r>
    </w:p>
    <w:p>
      <w:pPr>
        <w:spacing w:after="0" w:line="243" w:lineRule="exact"/>
        <w:rPr>
          <w:sz w:val="20"/>
          <w:szCs w:val="20"/>
          <w:color w:val="auto"/>
        </w:rPr>
      </w:pPr>
    </w:p>
    <w:p>
      <w:pPr>
        <w:ind w:left="200" w:hanging="197"/>
        <w:spacing w:after="0"/>
        <w:tabs>
          <w:tab w:leader="none" w:pos="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H&amp;R Block, Inc.;</w:t>
      </w:r>
    </w:p>
    <w:p>
      <w:pPr>
        <w:spacing w:after="0" w:line="242" w:lineRule="exact"/>
        <w:rPr>
          <w:rFonts w:ascii="Arial" w:cs="Arial" w:eastAsia="Arial" w:hAnsi="Arial"/>
          <w:sz w:val="17"/>
          <w:szCs w:val="17"/>
          <w:color w:val="auto"/>
        </w:rPr>
      </w:pPr>
    </w:p>
    <w:p>
      <w:pPr>
        <w:jc w:val="both"/>
        <w:ind w:right="180" w:firstLine="3"/>
        <w:spacing w:after="0" w:line="271" w:lineRule="auto"/>
        <w:tabs>
          <w:tab w:leader="none" w:pos="1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7"/>
          <w:szCs w:val="17"/>
          <w:color w:val="auto"/>
        </w:rPr>
      </w:pPr>
    </w:p>
    <w:p>
      <w:pPr>
        <w:ind w:right="80" w:firstLine="3"/>
        <w:spacing w:after="0" w:line="290" w:lineRule="auto"/>
        <w:tabs>
          <w:tab w:leader="none" w:pos="1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right="280" w:firstLine="3"/>
        <w:spacing w:after="0" w:line="271" w:lineRule="auto"/>
        <w:tabs>
          <w:tab w:leader="none" w:pos="19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firstLine="3"/>
        <w:spacing w:after="0" w:line="271" w:lineRule="auto"/>
        <w:tabs>
          <w:tab w:leader="none" w:pos="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right="200" w:firstLine="3"/>
        <w:spacing w:after="0" w:line="271" w:lineRule="auto"/>
        <w:tabs>
          <w:tab w:leader="none" w:pos="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ind w:right="680" w:firstLine="3"/>
        <w:spacing w:after="0" w:line="290" w:lineRule="auto"/>
        <w:tabs>
          <w:tab w:leader="none" w:pos="248"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jc w:val="both"/>
        <w:ind w:right="260" w:firstLine="3"/>
        <w:spacing w:after="0" w:line="271" w:lineRule="auto"/>
        <w:tabs>
          <w:tab w:leader="none" w:pos="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20" w:firstLine="3"/>
        <w:spacing w:after="0" w:line="290" w:lineRule="auto"/>
        <w:tabs>
          <w:tab w:leader="none" w:pos="19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right="240" w:firstLine="3"/>
        <w:spacing w:after="0" w:line="290" w:lineRule="auto"/>
        <w:tabs>
          <w:tab w:leader="none" w:pos="2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right="180" w:firstLine="3"/>
        <w:spacing w:after="0" w:line="290" w:lineRule="auto"/>
        <w:tabs>
          <w:tab w:leader="none" w:pos="25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Arial" w:cs="Arial" w:eastAsia="Arial" w:hAnsi="Arial"/>
                <w:sz w:val="17"/>
                <w:szCs w:val="17"/>
                <w:color w:val="auto"/>
              </w:rPr>
              <w:t>Date:   November 6, 2025</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Jeffrey J. Jones II</w:t>
            </w:r>
          </w:p>
        </w:tc>
      </w:tr>
      <w:tr>
        <w:trPr>
          <w:trHeight w:val="208"/>
        </w:trPr>
        <w:tc>
          <w:tcPr>
            <w:tcW w:w="67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Jeffrey J. Jones II</w:t>
            </w:r>
          </w:p>
        </w:tc>
      </w:tr>
      <w:tr>
        <w:trPr>
          <w:trHeight w:val="172"/>
        </w:trPr>
        <w:tc>
          <w:tcPr>
            <w:tcW w:w="6760" w:type="dxa"/>
            <w:vAlign w:val="bottom"/>
          </w:tcPr>
          <w:p>
            <w:pPr>
              <w:spacing w:after="0"/>
              <w:rPr>
                <w:sz w:val="14"/>
                <w:szCs w:val="14"/>
                <w:color w:val="auto"/>
              </w:rPr>
            </w:pPr>
          </w:p>
        </w:tc>
        <w:tc>
          <w:tcPr>
            <w:tcW w:w="4460" w:type="dxa"/>
            <w:vAlign w:val="bottom"/>
          </w:tcPr>
          <w:p>
            <w:pPr>
              <w:ind w:left="20"/>
              <w:spacing w:after="0" w:line="172" w:lineRule="exact"/>
              <w:rPr>
                <w:sz w:val="20"/>
                <w:szCs w:val="20"/>
                <w:color w:val="auto"/>
              </w:rPr>
            </w:pPr>
            <w:r>
              <w:rPr>
                <w:rFonts w:ascii="Arial" w:cs="Arial" w:eastAsia="Arial" w:hAnsi="Arial"/>
                <w:sz w:val="17"/>
                <w:szCs w:val="17"/>
                <w:color w:val="auto"/>
              </w:rPr>
              <w:t>Chief Executive Officer</w:t>
            </w:r>
          </w:p>
        </w:tc>
      </w:tr>
      <w:tr>
        <w:trPr>
          <w:trHeight w:val="226"/>
        </w:trPr>
        <w:tc>
          <w:tcPr>
            <w:tcW w:w="67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H&amp;R Block, Inc.</w:t>
            </w:r>
          </w:p>
        </w:tc>
      </w:tr>
    </w:tbl>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Tiffany L. Mason, Chief Financial Officer, certify that:</w:t>
      </w:r>
    </w:p>
    <w:p>
      <w:pPr>
        <w:spacing w:after="0" w:line="243" w:lineRule="exact"/>
        <w:rPr>
          <w:sz w:val="20"/>
          <w:szCs w:val="20"/>
          <w:color w:val="auto"/>
        </w:rPr>
      </w:pPr>
    </w:p>
    <w:p>
      <w:pPr>
        <w:ind w:left="200" w:hanging="197"/>
        <w:spacing w:after="0"/>
        <w:tabs>
          <w:tab w:leader="none" w:pos="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H&amp;R Block, Inc.;</w:t>
      </w:r>
    </w:p>
    <w:p>
      <w:pPr>
        <w:spacing w:after="0" w:line="242" w:lineRule="exact"/>
        <w:rPr>
          <w:rFonts w:ascii="Arial" w:cs="Arial" w:eastAsia="Arial" w:hAnsi="Arial"/>
          <w:sz w:val="17"/>
          <w:szCs w:val="17"/>
          <w:color w:val="auto"/>
        </w:rPr>
      </w:pPr>
    </w:p>
    <w:p>
      <w:pPr>
        <w:jc w:val="both"/>
        <w:ind w:right="180" w:firstLine="3"/>
        <w:spacing w:after="0" w:line="271" w:lineRule="auto"/>
        <w:tabs>
          <w:tab w:leader="none" w:pos="191"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7"/>
          <w:szCs w:val="17"/>
          <w:color w:val="auto"/>
        </w:rPr>
      </w:pPr>
    </w:p>
    <w:p>
      <w:pPr>
        <w:ind w:right="80" w:firstLine="3"/>
        <w:spacing w:after="0" w:line="290" w:lineRule="auto"/>
        <w:tabs>
          <w:tab w:leader="none" w:pos="191"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right="280" w:firstLine="3"/>
        <w:spacing w:after="0" w:line="271" w:lineRule="auto"/>
        <w:tabs>
          <w:tab w:leader="none" w:pos="191"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firstLine="3"/>
        <w:spacing w:after="0" w:line="271" w:lineRule="auto"/>
        <w:tabs>
          <w:tab w:leader="none" w:pos="258"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7"/>
          <w:szCs w:val="17"/>
          <w:color w:val="auto"/>
        </w:rPr>
      </w:pPr>
    </w:p>
    <w:p>
      <w:pPr>
        <w:ind w:right="200" w:firstLine="3"/>
        <w:spacing w:after="0" w:line="271" w:lineRule="auto"/>
        <w:tabs>
          <w:tab w:leader="none" w:pos="258"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7"/>
          <w:szCs w:val="17"/>
          <w:color w:val="auto"/>
        </w:rPr>
      </w:pPr>
    </w:p>
    <w:p>
      <w:pPr>
        <w:ind w:right="680" w:firstLine="3"/>
        <w:spacing w:after="0" w:line="290" w:lineRule="auto"/>
        <w:tabs>
          <w:tab w:leader="none" w:pos="2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jc w:val="both"/>
        <w:ind w:right="260" w:firstLine="3"/>
        <w:spacing w:after="0" w:line="271" w:lineRule="auto"/>
        <w:tabs>
          <w:tab w:leader="none" w:pos="258"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20" w:firstLine="3"/>
        <w:spacing w:after="0" w:line="290" w:lineRule="auto"/>
        <w:tabs>
          <w:tab w:leader="none" w:pos="19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right="240" w:firstLine="3"/>
        <w:spacing w:after="0" w:line="290" w:lineRule="auto"/>
        <w:tabs>
          <w:tab w:leader="none" w:pos="25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right="180" w:firstLine="3"/>
        <w:spacing w:after="0" w:line="290" w:lineRule="auto"/>
        <w:tabs>
          <w:tab w:leader="none" w:pos="258"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760" w:type="dxa"/>
            <w:vAlign w:val="bottom"/>
          </w:tcPr>
          <w:p>
            <w:pPr>
              <w:spacing w:after="0"/>
              <w:rPr>
                <w:sz w:val="20"/>
                <w:szCs w:val="20"/>
                <w:color w:val="auto"/>
              </w:rPr>
            </w:pPr>
            <w:r>
              <w:rPr>
                <w:rFonts w:ascii="Arial" w:cs="Arial" w:eastAsia="Arial" w:hAnsi="Arial"/>
                <w:sz w:val="17"/>
                <w:szCs w:val="17"/>
                <w:color w:val="auto"/>
              </w:rPr>
              <w:t>Date:   November 6, 2025</w:t>
            </w: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Tiffany L. Mason</w:t>
            </w:r>
          </w:p>
        </w:tc>
      </w:tr>
      <w:tr>
        <w:trPr>
          <w:trHeight w:val="208"/>
        </w:trPr>
        <w:tc>
          <w:tcPr>
            <w:tcW w:w="676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Tiffany L. Mason</w:t>
            </w:r>
          </w:p>
        </w:tc>
      </w:tr>
      <w:tr>
        <w:trPr>
          <w:trHeight w:val="172"/>
        </w:trPr>
        <w:tc>
          <w:tcPr>
            <w:tcW w:w="6760" w:type="dxa"/>
            <w:vAlign w:val="bottom"/>
          </w:tcPr>
          <w:p>
            <w:pPr>
              <w:spacing w:after="0"/>
              <w:rPr>
                <w:sz w:val="14"/>
                <w:szCs w:val="14"/>
                <w:color w:val="auto"/>
              </w:rPr>
            </w:pPr>
          </w:p>
        </w:tc>
        <w:tc>
          <w:tcPr>
            <w:tcW w:w="4460" w:type="dxa"/>
            <w:vAlign w:val="bottom"/>
          </w:tcPr>
          <w:p>
            <w:pPr>
              <w:ind w:left="20"/>
              <w:spacing w:after="0" w:line="172" w:lineRule="exact"/>
              <w:rPr>
                <w:sz w:val="20"/>
                <w:szCs w:val="20"/>
                <w:color w:val="auto"/>
              </w:rPr>
            </w:pPr>
            <w:r>
              <w:rPr>
                <w:rFonts w:ascii="Arial" w:cs="Arial" w:eastAsia="Arial" w:hAnsi="Arial"/>
                <w:sz w:val="17"/>
                <w:szCs w:val="17"/>
                <w:color w:val="auto"/>
              </w:rPr>
              <w:t>Chief Financial Officer</w:t>
            </w:r>
          </w:p>
        </w:tc>
      </w:tr>
      <w:tr>
        <w:trPr>
          <w:trHeight w:val="226"/>
        </w:trPr>
        <w:tc>
          <w:tcPr>
            <w:tcW w:w="676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7"/>
                <w:szCs w:val="17"/>
                <w:color w:val="auto"/>
              </w:rPr>
              <w:t>H&amp;R Block, Inc.</w:t>
            </w:r>
          </w:p>
        </w:tc>
      </w:tr>
    </w:tbl>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ind w:firstLine="193"/>
        <w:spacing w:after="0" w:line="226" w:lineRule="exact"/>
        <w:rPr>
          <w:sz w:val="20"/>
          <w:szCs w:val="20"/>
          <w:color w:val="auto"/>
        </w:rPr>
      </w:pPr>
      <w:r>
        <w:rPr>
          <w:rFonts w:ascii="Arial" w:cs="Arial" w:eastAsia="Arial" w:hAnsi="Arial"/>
          <w:sz w:val="17"/>
          <w:szCs w:val="17"/>
          <w:color w:val="auto"/>
        </w:rPr>
        <w:t>In connection with the quarterly report of H&amp;R Block,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fiscal quarter ended September 30, 2025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14" w:lineRule="exact"/>
        <w:rPr>
          <w:sz w:val="20"/>
          <w:szCs w:val="20"/>
          <w:color w:val="auto"/>
        </w:rPr>
      </w:pPr>
    </w:p>
    <w:p>
      <w:pPr>
        <w:ind w:left="1260" w:hanging="638"/>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1240" w:hanging="618"/>
        <w:spacing w:after="0" w:line="290" w:lineRule="auto"/>
        <w:tabs>
          <w:tab w:leader="none" w:pos="125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17780</wp:posOffset>
            </wp:positionV>
            <wp:extent cx="21120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5"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Jeffrey J. Jones II</w:t>
      </w:r>
    </w:p>
    <w:p>
      <w:pPr>
        <w:ind w:left="7940"/>
        <w:spacing w:after="0" w:line="205" w:lineRule="auto"/>
        <w:rPr>
          <w:sz w:val="20"/>
          <w:szCs w:val="20"/>
          <w:color w:val="auto"/>
        </w:rPr>
      </w:pPr>
      <w:r>
        <w:rPr>
          <w:rFonts w:ascii="Arial" w:cs="Arial" w:eastAsia="Arial" w:hAnsi="Arial"/>
          <w:sz w:val="17"/>
          <w:szCs w:val="17"/>
          <w:color w:val="auto"/>
        </w:rPr>
        <w:t>Chief Executive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H&amp;R Block, Inc.</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November 6, 2025</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ind w:firstLine="193"/>
        <w:spacing w:after="0" w:line="226" w:lineRule="exact"/>
        <w:rPr>
          <w:sz w:val="20"/>
          <w:szCs w:val="20"/>
          <w:color w:val="auto"/>
        </w:rPr>
      </w:pPr>
      <w:r>
        <w:rPr>
          <w:rFonts w:ascii="Arial" w:cs="Arial" w:eastAsia="Arial" w:hAnsi="Arial"/>
          <w:sz w:val="17"/>
          <w:szCs w:val="17"/>
          <w:color w:val="auto"/>
        </w:rPr>
        <w:t>In connection with the quarterly report of H&amp;R Block, Inc.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fiscal quarter ended September 30, 2025 as filed with the Securities and Exchange Commission on the date hereof (the “Report”), I, Tiffany L. Mason, Chief Financial Officer of the Company, certify pursuant to 18 U.S.C. § 1350, as adopted pursuant to § 906 of the Sarbanes-Oxley Act of 2002, that:</w:t>
      </w:r>
    </w:p>
    <w:p>
      <w:pPr>
        <w:spacing w:after="0" w:line="214" w:lineRule="exact"/>
        <w:rPr>
          <w:sz w:val="20"/>
          <w:szCs w:val="20"/>
          <w:color w:val="auto"/>
        </w:rPr>
      </w:pPr>
    </w:p>
    <w:p>
      <w:pPr>
        <w:ind w:left="1260" w:hanging="638"/>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1240" w:hanging="618"/>
        <w:spacing w:after="0" w:line="290" w:lineRule="auto"/>
        <w:tabs>
          <w:tab w:leader="none" w:pos="12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/s/ Tiffany L.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17780</wp:posOffset>
            </wp:positionV>
            <wp:extent cx="21120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112010" cy="8255"/>
                    </a:xfrm>
                    <a:prstGeom prst="rect">
                      <a:avLst/>
                    </a:prstGeom>
                    <a:noFill/>
                  </pic:spPr>
                </pic:pic>
              </a:graphicData>
            </a:graphic>
          </wp:anchor>
        </w:drawing>
      </w:r>
    </w:p>
    <w:p>
      <w:pPr>
        <w:spacing w:after="0" w:line="5"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Tiffany L. Mason</w:t>
      </w:r>
    </w:p>
    <w:p>
      <w:pPr>
        <w:ind w:left="7940"/>
        <w:spacing w:after="0" w:line="205"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H&amp;R Block, Inc.</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November 6, 2025</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2"/>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4"/>
      <w:numFmt w:val="bullet"/>
      <w:start w:val="1"/>
    </w:lvl>
  </w:abstractNum>
  <w:abstractNum w:abstractNumId="5">
    <w:nsid w:val="333AB105"/>
    <w:multiLevelType w:val="hybridMultilevel"/>
    <w:lvl w:ilvl="0">
      <w:lvlJc w:val="left"/>
      <w:lvlText w:val="6"/>
      <w:numFmt w:val="bullet"/>
      <w:start w:val="1"/>
    </w:lvl>
  </w:abstractNum>
  <w:abstractNum w:abstractNumId="6">
    <w:nsid w:val="721DA317"/>
    <w:multiLevelType w:val="hybridMultilevel"/>
    <w:lvl w:ilvl="0">
      <w:lvlJc w:val="left"/>
      <w:lvlText w:val="8"/>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0"/>
    </w:lvl>
  </w:abstractNum>
  <w:abstractNum w:abstractNumId="9">
    <w:nsid w:val="6763845E"/>
    <w:multiLevelType w:val="hybridMultilevel"/>
    <w:lvl w:ilvl="0">
      <w:lvlJc w:val="left"/>
      <w:lvlText w:val="%1"/>
      <w:numFmt w:val="decimal"/>
      <w:start w:val="12"/>
    </w:lvl>
  </w:abstractNum>
  <w:abstractNum w:abstractNumId="10">
    <w:nsid w:val="75A2A8D4"/>
    <w:multiLevelType w:val="hybridMultilevel"/>
    <w:lvl w:ilvl="0">
      <w:lvlJc w:val="left"/>
      <w:lvlText w:val="%1"/>
      <w:numFmt w:val="decimal"/>
      <w:start w:val="14"/>
    </w:lvl>
  </w:abstractNum>
  <w:abstractNum w:abstractNumId="11">
    <w:nsid w:val="8EDBDAB"/>
    <w:multiLevelType w:val="hybridMultilevel"/>
    <w:lvl w:ilvl="0">
      <w:lvlJc w:val="left"/>
      <w:lvlText w:val="%1"/>
      <w:numFmt w:val="decimal"/>
      <w:start w:val="16"/>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8"/>
    </w:lvl>
  </w:abstractNum>
  <w:abstractNum w:abstractNumId="14">
    <w:nsid w:val="B03E0C6"/>
    <w:multiLevelType w:val="hybridMultilevel"/>
    <w:lvl w:ilvl="0">
      <w:lvlJc w:val="left"/>
      <w:lvlText w:val="%1"/>
      <w:numFmt w:val="decimal"/>
      <w:start w:val="20"/>
    </w:lvl>
  </w:abstractNum>
  <w:abstractNum w:abstractNumId="15">
    <w:nsid w:val="189A769B"/>
    <w:multiLevelType w:val="hybridMultilevel"/>
    <w:lvl w:ilvl="0">
      <w:lvlJc w:val="left"/>
      <w:lvlText w:val="%1"/>
      <w:numFmt w:val="decimal"/>
      <w:start w:val="22"/>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22"/>
    </w:lvl>
  </w:abstractNum>
  <w:abstractNum w:abstractNumId="18">
    <w:nsid w:val="2CA88611"/>
    <w:multiLevelType w:val="hybridMultilevel"/>
    <w:lvl w:ilvl="0">
      <w:lvlJc w:val="left"/>
      <w:lvlText w:val="%1"/>
      <w:numFmt w:val="decimal"/>
      <w:start w:val="24"/>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3"/>
    </w:lvl>
  </w:abstractNum>
  <w:abstractNum w:abstractNumId="22">
    <w:nsid w:val="8138641"/>
    <w:multiLevelType w:val="hybridMultilevel"/>
    <w:lvl w:ilvl="0">
      <w:lvlJc w:val="left"/>
      <w:lvlText w:val="%1"/>
      <w:numFmt w:val="decimal"/>
      <w:start w:val="1"/>
    </w:lvl>
    <w:lvl w:ilvl="1">
      <w:lvlJc w:val="left"/>
      <w:lvlText w:val="(%2)"/>
      <w:numFmt w:val="lowerLetter"/>
      <w:start w:val="1"/>
    </w:lvl>
  </w:abstractNum>
  <w:abstractNum w:abstractNumId="23">
    <w:nsid w:val="1E7FF521"/>
    <w:multiLevelType w:val="hybridMultilevel"/>
    <w:lvl w:ilvl="0">
      <w:lvlJc w:val="left"/>
      <w:lvlText w:val="%1."/>
      <w:numFmt w:val="decimal"/>
      <w:start w:val="2"/>
    </w:lvl>
    <w:lvl w:ilvl="1">
      <w:lvlJc w:val="left"/>
      <w:lvlText w:val="%2"/>
      <w:numFmt w:val="lowerLetter"/>
      <w:start w:val="1"/>
    </w:lvl>
  </w:abstractNum>
  <w:abstractNum w:abstractNumId="24">
    <w:nsid w:val="7C3DBD3D"/>
    <w:multiLevelType w:val="hybridMultilevel"/>
    <w:lvl w:ilvl="0">
      <w:lvlJc w:val="left"/>
      <w:lvlText w:val="%1."/>
      <w:numFmt w:val="decimal"/>
      <w:start w:val="3"/>
    </w:lvl>
  </w:abstractNum>
  <w:abstractNum w:abstractNumId="25">
    <w:nsid w:val="737B8DDC"/>
    <w:multiLevelType w:val="hybridMultilevel"/>
    <w:lvl w:ilvl="0">
      <w:lvlJc w:val="left"/>
      <w:lvlText w:val="%1."/>
      <w:numFmt w:val="decimal"/>
      <w:start w:val="4"/>
    </w:lvl>
  </w:abstractNum>
  <w:abstractNum w:abstractNumId="26">
    <w:nsid w:val="6CEAF087"/>
    <w:multiLevelType w:val="hybridMultilevel"/>
    <w:lvl w:ilvl="0">
      <w:lvlJc w:val="left"/>
      <w:lvlText w:val="%1."/>
      <w:numFmt w:val="decimal"/>
      <w:start w:val="5"/>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63" Type="http://schemas.openxmlformats.org/officeDocument/2006/relationships/hyperlink" Target="https://www.sec.gov/ix?doc=/Archives/edgar/data/0000012659/000110465925083093/tm2522221d5_8k.htm" TargetMode="External"/><Relationship Id="rId64" Type="http://schemas.openxmlformats.org/officeDocument/2006/relationships/hyperlink" Target="https://www.sec.gov/ix?doc=/Archives/edgar/data/0000012659/000110465925076182/tm2523074d1_8k.htm" TargetMode="External"/><Relationship Id="rId65" Type="http://schemas.openxmlformats.org/officeDocument/2006/relationships/hyperlink" Target="https://www.sec.gov/Archives/edgar/data/12659/000183886224000030/hrb20240630exhibit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2025-11-06T16:18:19Z</dcterms:created>
  <dcterms:modified xsi:type="dcterms:W3CDTF">2025-11-06T16:18:19Z</dcterms:modified>
</cp:coreProperties>
</file>