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593090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552450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0" w:lineRule="exact"/>
        <w:rPr>
          <w:sz w:val="24"/>
          <w:szCs w:val="24"/>
          <w:color w:val="auto"/>
        </w:rPr>
      </w:pPr>
    </w:p>
    <w:p>
      <w:pPr>
        <w:ind w:left="20"/>
        <w:spacing w:after="0"/>
        <w:rPr>
          <w:sz w:val="20"/>
          <w:szCs w:val="20"/>
          <w:color w:val="auto"/>
        </w:rPr>
      </w:pPr>
      <w:r>
        <w:rPr>
          <w:rFonts w:ascii="Arial" w:cs="Arial" w:eastAsia="Arial" w:hAnsi="Arial"/>
          <w:sz w:val="17"/>
          <w:szCs w:val="17"/>
          <w:color w:val="auto"/>
        </w:rPr>
        <w:t>(Mark One)</w:t>
      </w:r>
    </w:p>
    <w:p>
      <w:pPr>
        <w:spacing w:after="0" w:line="24"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4" w:right="339" w:bottom="1440" w:gutter="0" w:footer="0" w:header="0"/>
        </w:sectPr>
      </w:pPr>
    </w:p>
    <w:p>
      <w:pPr>
        <w:spacing w:after="0" w:line="11" w:lineRule="exact"/>
        <w:rPr>
          <w:sz w:val="24"/>
          <w:szCs w:val="24"/>
          <w:color w:val="auto"/>
        </w:rPr>
      </w:pPr>
    </w:p>
    <w:p>
      <w:pPr>
        <w:ind w:left="1080"/>
        <w:spacing w:after="0"/>
        <w:tabs>
          <w:tab w:leader="none" w:pos="4260" w:val="left"/>
        </w:tabs>
        <w:rPr>
          <w:sz w:val="20"/>
          <w:szCs w:val="20"/>
          <w:color w:val="auto"/>
        </w:rPr>
      </w:pPr>
      <w:r>
        <w:rPr>
          <w:rFonts w:ascii="Arial" w:cs="Arial" w:eastAsia="Arial" w:hAnsi="Arial"/>
          <w:sz w:val="17"/>
          <w:szCs w:val="17"/>
          <w:b w:val="1"/>
          <w:bCs w:val="1"/>
          <w:color w:val="auto"/>
        </w:rPr>
        <w:t>For the quarterly period ended</w:t>
      </w:r>
      <w:r>
        <w:rPr>
          <w:sz w:val="20"/>
          <w:szCs w:val="20"/>
          <w:color w:val="auto"/>
        </w:rPr>
        <w:tab/>
      </w:r>
      <w:r>
        <w:rPr>
          <w:rFonts w:ascii="Arial" w:cs="Arial" w:eastAsia="Arial" w:hAnsi="Arial"/>
          <w:sz w:val="17"/>
          <w:szCs w:val="17"/>
          <w:b w:val="1"/>
          <w:bCs w:val="1"/>
          <w:color w:val="auto"/>
        </w:rPr>
        <w:t>December 31, 2022</w:t>
      </w:r>
    </w:p>
    <w:p>
      <w:pPr>
        <w:spacing w:after="0" w:line="36" w:lineRule="exact"/>
        <w:rPr>
          <w:sz w:val="24"/>
          <w:szCs w:val="24"/>
          <w:color w:val="auto"/>
        </w:rPr>
      </w:pPr>
    </w:p>
    <w:p>
      <w:pPr>
        <w:ind w:left="550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40"/>
          </w:cols>
          <w:pgMar w:left="320" w:top="244" w:right="339" w:bottom="1440" w:gutter="0" w:footer="0" w:header="0"/>
          <w:type w:val="continuous"/>
        </w:sectPr>
      </w:pPr>
    </w:p>
    <w:p>
      <w:pPr>
        <w:spacing w:after="0" w:line="2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 w:lineRule="exact"/>
        <w:rPr>
          <w:rFonts w:ascii="MS PGothic" w:cs="MS PGothic" w:eastAsia="MS PGothic" w:hAnsi="MS PGothic"/>
          <w:sz w:val="17"/>
          <w:szCs w:val="17"/>
          <w:color w:val="auto"/>
        </w:rPr>
      </w:pPr>
    </w:p>
    <w:p>
      <w:pPr>
        <w:ind w:left="10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to</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1-06089</w:t>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H&amp;R Block,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4" w:right="339" w:bottom="1440" w:gutter="0" w:footer="0" w:header="0"/>
          <w:type w:val="continuous"/>
        </w:sectPr>
      </w:pPr>
    </w:p>
    <w:p>
      <w:pPr>
        <w:spacing w:after="0" w:line="97"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49" w:lineRule="exact"/>
        <w:rPr>
          <w:sz w:val="24"/>
          <w:szCs w:val="24"/>
          <w:color w:val="auto"/>
        </w:rPr>
      </w:pPr>
    </w:p>
    <w:p>
      <w:pPr>
        <w:sectPr>
          <w:pgSz w:w="11900" w:h="16838" w:orient="portrait"/>
          <w:cols w:equalWidth="0" w:num="2">
            <w:col w:w="7300" w:space="720"/>
            <w:col w:w="3220"/>
          </w:cols>
          <w:pgMar w:left="320" w:top="244" w:right="33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44" w:lineRule="exact"/>
        <w:rPr>
          <w:sz w:val="24"/>
          <w:szCs w:val="24"/>
          <w:color w:val="auto"/>
        </w:rPr>
      </w:pPr>
    </w:p>
    <w:p>
      <w:pPr>
        <w:sectPr>
          <w:pgSz w:w="11900" w:h="16838" w:orient="portrait"/>
          <w:cols w:equalWidth="0" w:num="2">
            <w:col w:w="7240" w:space="720"/>
            <w:col w:w="3280"/>
          </w:cols>
          <w:pgMar w:left="320" w:top="244"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47" w:lineRule="exact"/>
        <w:rPr>
          <w:sz w:val="24"/>
          <w:szCs w:val="24"/>
          <w:color w:val="auto"/>
        </w:rPr>
      </w:pPr>
    </w:p>
    <w:p>
      <w:pPr>
        <w:sectPr>
          <w:pgSz w:w="11900" w:h="16838" w:orient="portrait"/>
          <w:cols w:equalWidth="0" w:num="2">
            <w:col w:w="7220" w:space="720"/>
            <w:col w:w="3300"/>
          </w:cols>
          <w:pgMar w:left="320" w:top="244"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One H&amp;R Block Way, Kansas City, Missouri 64105</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(816) 854-3000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244" w:right="339" w:bottom="1440" w:gutter="0" w:footer="0" w:header="0"/>
          <w:type w:val="continuous"/>
        </w:sectPr>
      </w:pPr>
    </w:p>
    <w:p>
      <w:pPr>
        <w:spacing w:after="0" w:line="142"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300" w:space="720"/>
            <w:col w:w="1720" w:space="720"/>
            <w:col w:w="3780"/>
          </w:cols>
          <w:pgMar w:left="320" w:top="244" w:right="33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740" w:space="720"/>
            <w:col w:w="1820" w:space="720"/>
            <w:col w:w="3240"/>
          </w:cols>
          <w:pgMar w:left="320" w:top="244" w:right="339" w:bottom="1440" w:gutter="0" w:footer="0" w:header="0"/>
          <w:type w:val="continuous"/>
        </w:sectPr>
      </w:pPr>
    </w:p>
    <w:p>
      <w:pPr>
        <w:spacing w:after="0" w:line="14" w:lineRule="exact"/>
        <w:rPr>
          <w:sz w:val="24"/>
          <w:szCs w:val="24"/>
          <w:color w:val="auto"/>
        </w:rPr>
      </w:pPr>
    </w:p>
    <w:p>
      <w:pPr>
        <w:jc w:val="both"/>
        <w:spacing w:after="0" w:line="25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60" w:lineRule="exact"/>
        <w:rPr>
          <w:sz w:val="24"/>
          <w:szCs w:val="24"/>
          <w:color w:val="auto"/>
        </w:rPr>
      </w:pPr>
    </w:p>
    <w:p>
      <w:pPr>
        <w:jc w:val="both"/>
        <w:spacing w:after="0" w:line="26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60" w:lineRule="exact"/>
        <w:rPr>
          <w:sz w:val="24"/>
          <w:szCs w:val="24"/>
          <w:color w:val="auto"/>
        </w:rPr>
      </w:pPr>
    </w:p>
    <w:p>
      <w:pPr>
        <w:jc w:val="both"/>
        <w:spacing w:after="0" w:line="26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1" w:lineRule="exact"/>
        <w:rPr>
          <w:sz w:val="24"/>
          <w:szCs w:val="24"/>
          <w:color w:val="auto"/>
        </w:rPr>
      </w:pPr>
    </w:p>
    <w:p>
      <w:pPr>
        <w:spacing w:after="0" w:line="196" w:lineRule="exact"/>
        <w:tabs>
          <w:tab w:leader="none" w:pos="1840" w:val="left"/>
          <w:tab w:leader="none" w:pos="3280" w:val="left"/>
          <w:tab w:leader="none" w:pos="50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6"/>
          <w:szCs w:val="16"/>
          <w:color w:val="auto"/>
        </w:rPr>
        <w:t>☐</w:t>
      </w:r>
    </w:p>
    <w:p>
      <w:pPr>
        <w:spacing w:after="0" w:line="264" w:lineRule="exact"/>
        <w:rPr>
          <w:sz w:val="24"/>
          <w:szCs w:val="24"/>
          <w:color w:val="auto"/>
        </w:rPr>
      </w:pPr>
    </w:p>
    <w:p>
      <w:pPr>
        <w:jc w:val="both"/>
        <w:spacing w:after="0" w:line="20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4"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without par value, at the close of business on January 31, 2023: 152,277,089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777240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20"/>
        <w:spacing w:after="0"/>
        <w:rPr>
          <w:sz w:val="20"/>
          <w:szCs w:val="20"/>
          <w:color w:val="auto"/>
        </w:rPr>
      </w:pPr>
      <w:r>
        <w:rPr>
          <w:rFonts w:ascii="Arial" w:cs="Arial" w:eastAsia="Arial" w:hAnsi="Arial"/>
          <w:sz w:val="21"/>
          <w:szCs w:val="21"/>
          <w:b w:val="1"/>
          <w:bCs w:val="1"/>
          <w:color w:val="auto"/>
        </w:rPr>
        <w:t>Form 10-Q for the Period ended December 31, 2022</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Table of Contents</w:t>
      </w:r>
    </w:p>
    <w:p>
      <w:pPr>
        <w:spacing w:after="0" w:line="107"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PART I</w:t>
      </w:r>
    </w:p>
    <w:tbl>
      <w:tblPr>
        <w:tblLayout w:type="fixed"/>
        <w:tblInd w:w="0" w:type="dxa"/>
        <w:tblCellMar>
          <w:top w:w="0" w:type="dxa"/>
          <w:left w:w="0" w:type="dxa"/>
          <w:bottom w:w="0" w:type="dxa"/>
          <w:right w:w="0" w:type="dxa"/>
        </w:tblCellMar>
      </w:tblPr>
      <w:tr>
        <w:trPr>
          <w:trHeight w:val="261"/>
        </w:trPr>
        <w:tc>
          <w:tcPr>
            <w:tcW w:w="1160" w:type="dxa"/>
            <w:vAlign w:val="bottom"/>
            <w:gridSpan w:val="4"/>
            <w:shd w:val="clear" w:color="auto" w:fill="CCEEFF"/>
          </w:tcPr>
          <w:p>
            <w:pPr>
              <w:ind w:left="20"/>
              <w:spacing w:after="0"/>
              <w:rPr>
                <w:sz w:val="20"/>
                <w:szCs w:val="20"/>
                <w:color w:val="auto"/>
              </w:rPr>
            </w:pPr>
            <w:r>
              <w:rPr>
                <w:rFonts w:ascii="Arial" w:cs="Arial" w:eastAsia="Arial" w:hAnsi="Arial"/>
                <w:sz w:val="21"/>
                <w:szCs w:val="21"/>
                <w:color w:val="0000FF"/>
              </w:rPr>
              <w:t>Item 1.</w:t>
            </w:r>
          </w:p>
        </w:tc>
        <w:tc>
          <w:tcPr>
            <w:tcW w:w="8100" w:type="dxa"/>
            <w:vAlign w:val="bottom"/>
            <w:gridSpan w:val="23"/>
            <w:shd w:val="clear" w:color="auto" w:fill="CCEEFF"/>
          </w:tcPr>
          <w:p>
            <w:pPr>
              <w:spacing w:after="0"/>
              <w:rPr>
                <w:sz w:val="20"/>
                <w:szCs w:val="20"/>
                <w:color w:val="auto"/>
              </w:rPr>
            </w:pPr>
            <w:r>
              <w:rPr>
                <w:rFonts w:ascii="Arial" w:cs="Arial" w:eastAsia="Arial" w:hAnsi="Arial"/>
                <w:sz w:val="21"/>
                <w:szCs w:val="21"/>
                <w:color w:val="0000FF"/>
              </w:rPr>
              <w:t>Consolidated Statements of Operations and Comprehensive Loss</w:t>
            </w:r>
          </w:p>
        </w:tc>
        <w:tc>
          <w:tcPr>
            <w:tcW w:w="1500" w:type="dxa"/>
            <w:vAlign w:val="bottom"/>
            <w:gridSpan w:val="4"/>
            <w:shd w:val="clear" w:color="auto" w:fill="CCEEFF"/>
          </w:tcPr>
          <w:p>
            <w:pPr>
              <w:jc w:val="center"/>
              <w:ind w:left="1157"/>
              <w:spacing w:after="0"/>
              <w:rPr>
                <w:sz w:val="20"/>
                <w:szCs w:val="20"/>
                <w:color w:val="auto"/>
              </w:rPr>
            </w:pPr>
            <w:r>
              <w:rPr>
                <w:rFonts w:ascii="Arial" w:cs="Arial" w:eastAsia="Arial" w:hAnsi="Arial"/>
                <w:sz w:val="21"/>
                <w:szCs w:val="21"/>
                <w:color w:val="0000FF"/>
              </w:rPr>
              <w:t>1</w:t>
            </w:r>
          </w:p>
        </w:tc>
        <w:tc>
          <w:tcPr>
            <w:tcW w:w="480" w:type="dxa"/>
            <w:vAlign w:val="bottom"/>
            <w:shd w:val="clear" w:color="auto" w:fill="CCEEFF"/>
          </w:tcPr>
          <w:p>
            <w:pPr>
              <w:spacing w:after="0"/>
              <w:rPr>
                <w:sz w:val="22"/>
                <w:szCs w:val="22"/>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5860" w:type="dxa"/>
            <w:vAlign w:val="bottom"/>
            <w:tcBorders>
              <w:top w:val="single" w:sz="8" w:color="0000FF"/>
            </w:tcBorders>
            <w:gridSpan w:val="21"/>
            <w:shd w:val="clear" w:color="auto" w:fill="CCEEFF"/>
          </w:tcPr>
          <w:p>
            <w:pPr>
              <w:spacing w:after="0" w:line="166" w:lineRule="exact"/>
              <w:rPr>
                <w:sz w:val="20"/>
                <w:szCs w:val="20"/>
                <w:color w:val="auto"/>
              </w:rPr>
            </w:pPr>
            <w:r>
              <w:rPr>
                <w:rFonts w:ascii="Arial" w:cs="Arial" w:eastAsia="Arial" w:hAnsi="Arial"/>
                <w:sz w:val="19"/>
                <w:szCs w:val="19"/>
                <w:color w:val="0000FF"/>
              </w:rPr>
              <w:t>Three and six months ended December 31, 2022 and 2021</w:t>
            </w:r>
          </w:p>
        </w:tc>
        <w:tc>
          <w:tcPr>
            <w:tcW w:w="2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Consolidated Balance Sheets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2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21"/>
                <w:szCs w:val="21"/>
                <w:color w:val="0000FF"/>
              </w:rPr>
              <w:t>As of December 31, 2022</w:t>
            </w:r>
          </w:p>
        </w:tc>
        <w:tc>
          <w:tcPr>
            <w:tcW w:w="5400" w:type="dxa"/>
            <w:vAlign w:val="bottom"/>
            <w:gridSpan w:val="12"/>
          </w:tcPr>
          <w:p>
            <w:pPr>
              <w:spacing w:after="0" w:line="187" w:lineRule="exact"/>
              <w:rPr>
                <w:sz w:val="20"/>
                <w:szCs w:val="20"/>
                <w:color w:val="auto"/>
              </w:rPr>
            </w:pPr>
            <w:r>
              <w:rPr>
                <w:rFonts w:ascii="Arial" w:cs="Arial" w:eastAsia="Arial" w:hAnsi="Arial"/>
                <w:sz w:val="21"/>
                <w:szCs w:val="21"/>
                <w:color w:val="0000FF"/>
              </w:rPr>
              <w:t>and June 30, 2022</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3"/>
            <w:shd w:val="clear" w:color="auto" w:fill="CCEEFF"/>
          </w:tcPr>
          <w:p>
            <w:pPr>
              <w:spacing w:after="0" w:line="207" w:lineRule="exact"/>
              <w:rPr>
                <w:sz w:val="20"/>
                <w:szCs w:val="20"/>
                <w:color w:val="auto"/>
              </w:rPr>
            </w:pPr>
            <w:r>
              <w:rPr>
                <w:rFonts w:ascii="Arial" w:cs="Arial" w:eastAsia="Arial" w:hAnsi="Arial"/>
                <w:sz w:val="21"/>
                <w:szCs w:val="21"/>
                <w:color w:val="0000FF"/>
              </w:rPr>
              <w:t>Consolidated Statements of Cash Flows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3</w:t>
            </w:r>
          </w:p>
        </w:tc>
        <w:tc>
          <w:tcPr>
            <w:tcW w:w="480" w:type="dxa"/>
            <w:vAlign w:val="bottom"/>
            <w:shd w:val="clear" w:color="auto" w:fill="CCEEFF"/>
          </w:tcPr>
          <w:p>
            <w:pPr>
              <w:spacing w:after="0"/>
              <w:rPr>
                <w:sz w:val="17"/>
                <w:szCs w:val="17"/>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440" w:type="dxa"/>
            <w:vAlign w:val="bottom"/>
            <w:tcBorders>
              <w:top w:val="single" w:sz="8" w:color="0000FF"/>
            </w:tcBorders>
            <w:gridSpan w:val="11"/>
            <w:shd w:val="clear" w:color="auto" w:fill="CCEEFF"/>
          </w:tcPr>
          <w:p>
            <w:pPr>
              <w:spacing w:after="0" w:line="187" w:lineRule="exact"/>
              <w:rPr>
                <w:sz w:val="20"/>
                <w:szCs w:val="20"/>
                <w:color w:val="auto"/>
              </w:rPr>
            </w:pPr>
            <w:r>
              <w:rPr>
                <w:rFonts w:ascii="Arial" w:cs="Arial" w:eastAsia="Arial" w:hAnsi="Arial"/>
                <w:sz w:val="21"/>
                <w:szCs w:val="21"/>
                <w:color w:val="0000FF"/>
                <w:w w:val="95"/>
              </w:rPr>
              <w:t>Six months ended December 31, 2022</w:t>
            </w:r>
          </w:p>
        </w:tc>
        <w:tc>
          <w:tcPr>
            <w:tcW w:w="4440" w:type="dxa"/>
            <w:vAlign w:val="bottom"/>
            <w:tcBorders>
              <w:top w:val="single" w:sz="8" w:color="CCEEFF"/>
            </w:tcBorders>
            <w:gridSpan w:val="10"/>
            <w:shd w:val="clear" w:color="auto" w:fill="CCEEFF"/>
          </w:tcPr>
          <w:p>
            <w:pPr>
              <w:ind w:left="140"/>
              <w:spacing w:after="0" w:line="187" w:lineRule="exact"/>
              <w:rPr>
                <w:sz w:val="20"/>
                <w:szCs w:val="20"/>
                <w:color w:val="auto"/>
              </w:rPr>
            </w:pPr>
            <w:r>
              <w:rPr>
                <w:rFonts w:ascii="Arial" w:cs="Arial" w:eastAsia="Arial" w:hAnsi="Arial"/>
                <w:sz w:val="21"/>
                <w:szCs w:val="21"/>
                <w:color w:val="0000FF"/>
              </w:rPr>
              <w:t>and 2021</w:t>
            </w:r>
          </w:p>
        </w:tc>
        <w:tc>
          <w:tcPr>
            <w:tcW w:w="1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Consolidated Statements of Stockholders' Equity</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4</w:t>
            </w:r>
          </w:p>
        </w:tc>
        <w:tc>
          <w:tcPr>
            <w:tcW w:w="4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80" w:type="dxa"/>
            <w:vAlign w:val="bottom"/>
            <w:gridSpan w:val="21"/>
          </w:tcPr>
          <w:p>
            <w:pPr>
              <w:spacing w:after="0" w:line="187" w:lineRule="exact"/>
              <w:rPr>
                <w:sz w:val="20"/>
                <w:szCs w:val="20"/>
                <w:color w:val="auto"/>
              </w:rPr>
            </w:pPr>
            <w:r>
              <w:rPr>
                <w:rFonts w:ascii="Arial" w:cs="Arial" w:eastAsia="Arial" w:hAnsi="Arial"/>
                <w:sz w:val="21"/>
                <w:szCs w:val="21"/>
                <w:color w:val="0000FF"/>
              </w:rPr>
              <w:t>Three and six months ended December 31, 2022 and 2021</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3"/>
            <w:shd w:val="clear" w:color="auto" w:fill="CCEEFF"/>
          </w:tcPr>
          <w:p>
            <w:pPr>
              <w:spacing w:after="0" w:line="207" w:lineRule="exact"/>
              <w:rPr>
                <w:sz w:val="20"/>
                <w:szCs w:val="20"/>
                <w:color w:val="auto"/>
              </w:rPr>
            </w:pPr>
            <w:r>
              <w:rPr>
                <w:rFonts w:ascii="Arial" w:cs="Arial" w:eastAsia="Arial" w:hAnsi="Arial"/>
                <w:sz w:val="21"/>
                <w:szCs w:val="21"/>
                <w:color w:val="0000FF"/>
              </w:rPr>
              <w:t>Notes to Consolidated Financial Statements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6</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2.</w:t>
            </w: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w w:val="97"/>
              </w:rPr>
              <w:t>Management's Discussion and Analysis of Financial Condition and Results of Operations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15</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5400" w:type="dxa"/>
            <w:vAlign w:val="bottom"/>
            <w:tcBorders>
              <w:bottom w:val="single" w:sz="8" w:color="0000FF"/>
            </w:tcBorders>
            <w:gridSpan w:val="18"/>
            <w:shd w:val="clear" w:color="auto" w:fill="CCEEFF"/>
          </w:tcPr>
          <w:p>
            <w:pPr>
              <w:spacing w:after="0" w:line="207" w:lineRule="exact"/>
              <w:rPr>
                <w:sz w:val="20"/>
                <w:szCs w:val="20"/>
                <w:color w:val="auto"/>
              </w:rPr>
            </w:pPr>
            <w:r>
              <w:rPr>
                <w:rFonts w:ascii="Arial" w:cs="Arial" w:eastAsia="Arial" w:hAnsi="Arial"/>
                <w:sz w:val="21"/>
                <w:szCs w:val="21"/>
                <w:color w:val="0000FF"/>
                <w:w w:val="97"/>
              </w:rPr>
              <w:t>Quantitative and Qualitative Disclosures About Market Risk</w:t>
            </w:r>
          </w:p>
        </w:tc>
        <w:tc>
          <w:tcPr>
            <w:tcW w:w="2700" w:type="dxa"/>
            <w:vAlign w:val="bottom"/>
            <w:tcBorders>
              <w:bottom w:val="single" w:sz="8" w:color="CCEEFF"/>
            </w:tcBorders>
            <w:gridSpan w:val="5"/>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24</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Controls and Procedures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24</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100" w:type="dxa"/>
            <w:vAlign w:val="bottom"/>
            <w:gridSpan w:val="9"/>
            <w:shd w:val="clear" w:color="auto" w:fill="CCEEFF"/>
          </w:tcPr>
          <w:p>
            <w:pPr>
              <w:ind w:left="60"/>
              <w:spacing w:after="0"/>
              <w:rPr>
                <w:sz w:val="20"/>
                <w:szCs w:val="20"/>
                <w:color w:val="auto"/>
              </w:rPr>
            </w:pPr>
            <w:r>
              <w:rPr>
                <w:rFonts w:ascii="Arial" w:cs="Arial" w:eastAsia="Arial" w:hAnsi="Arial"/>
                <w:sz w:val="21"/>
                <w:szCs w:val="21"/>
                <w:b w:val="1"/>
                <w:bCs w:val="1"/>
                <w:color w:val="auto"/>
              </w:rPr>
              <w:t>PART II</w:t>
            </w: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1.</w:t>
            </w: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Legal Proceedings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24</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207" w:lineRule="exact"/>
              <w:rPr>
                <w:sz w:val="20"/>
                <w:szCs w:val="20"/>
                <w:color w:val="auto"/>
              </w:rPr>
            </w:pPr>
            <w:r>
              <w:rPr>
                <w:rFonts w:ascii="Arial" w:cs="Arial" w:eastAsia="Arial" w:hAnsi="Arial"/>
                <w:sz w:val="21"/>
                <w:szCs w:val="21"/>
                <w:color w:val="0000FF"/>
              </w:rPr>
              <w:t>Item 1A.</w:t>
            </w:r>
          </w:p>
        </w:tc>
        <w:tc>
          <w:tcPr>
            <w:tcW w:w="8100" w:type="dxa"/>
            <w:vAlign w:val="bottom"/>
            <w:gridSpan w:val="23"/>
            <w:shd w:val="clear" w:color="auto" w:fill="CCEEFF"/>
          </w:tcPr>
          <w:p>
            <w:pPr>
              <w:spacing w:after="0" w:line="207" w:lineRule="exact"/>
              <w:rPr>
                <w:sz w:val="20"/>
                <w:szCs w:val="20"/>
                <w:color w:val="auto"/>
              </w:rPr>
            </w:pPr>
            <w:r>
              <w:rPr>
                <w:rFonts w:ascii="Arial" w:cs="Arial" w:eastAsia="Arial" w:hAnsi="Arial"/>
                <w:sz w:val="21"/>
                <w:szCs w:val="21"/>
                <w:color w:val="0000FF"/>
              </w:rPr>
              <w:t>Risk Factors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24</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spacing w:after="0" w:line="207" w:lineRule="exact"/>
              <w:rPr>
                <w:sz w:val="20"/>
                <w:szCs w:val="20"/>
                <w:color w:val="auto"/>
              </w:rPr>
            </w:pPr>
            <w:r>
              <w:rPr>
                <w:rFonts w:ascii="Arial" w:cs="Arial" w:eastAsia="Arial" w:hAnsi="Arial"/>
                <w:sz w:val="21"/>
                <w:szCs w:val="21"/>
                <w:color w:val="0000FF"/>
              </w:rPr>
              <w:t>Item 2.</w:t>
            </w:r>
          </w:p>
        </w:tc>
        <w:tc>
          <w:tcPr>
            <w:tcW w:w="380" w:type="dxa"/>
            <w:vAlign w:val="bottom"/>
          </w:tcPr>
          <w:p>
            <w:pPr>
              <w:spacing w:after="0"/>
              <w:rPr>
                <w:sz w:val="17"/>
                <w:szCs w:val="17"/>
                <w:color w:val="auto"/>
              </w:rPr>
            </w:pP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Unregistered Sales of Equity Securities and Use of Proceeds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25</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2920" w:type="dxa"/>
            <w:vAlign w:val="bottom"/>
            <w:tcBorders>
              <w:bottom w:val="single" w:sz="8" w:color="0000FF"/>
            </w:tcBorders>
            <w:gridSpan w:val="12"/>
            <w:shd w:val="clear" w:color="auto" w:fill="CCEEFF"/>
          </w:tcPr>
          <w:p>
            <w:pPr>
              <w:spacing w:after="0" w:line="207" w:lineRule="exact"/>
              <w:rPr>
                <w:sz w:val="20"/>
                <w:szCs w:val="20"/>
                <w:color w:val="auto"/>
              </w:rPr>
            </w:pPr>
            <w:r>
              <w:rPr>
                <w:rFonts w:ascii="Arial" w:cs="Arial" w:eastAsia="Arial" w:hAnsi="Arial"/>
                <w:sz w:val="21"/>
                <w:szCs w:val="21"/>
                <w:color w:val="0000FF"/>
                <w:w w:val="97"/>
              </w:rPr>
              <w:t>Defaults Upon Senior Securities</w:t>
            </w:r>
          </w:p>
        </w:tc>
        <w:tc>
          <w:tcPr>
            <w:tcW w:w="5180" w:type="dxa"/>
            <w:vAlign w:val="bottom"/>
            <w:tcBorders>
              <w:bottom w:val="single" w:sz="8" w:color="CCEEFF"/>
            </w:tcBorders>
            <w:gridSpan w:val="11"/>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25</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Mine Safety Disclosures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25</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5.</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1600" w:type="dxa"/>
            <w:vAlign w:val="bottom"/>
            <w:tcBorders>
              <w:bottom w:val="single" w:sz="8" w:color="0000FF"/>
            </w:tcBorders>
            <w:gridSpan w:val="7"/>
            <w:shd w:val="clear" w:color="auto" w:fill="CCEEFF"/>
          </w:tcPr>
          <w:p>
            <w:pPr>
              <w:spacing w:after="0" w:line="207" w:lineRule="exact"/>
              <w:rPr>
                <w:sz w:val="20"/>
                <w:szCs w:val="20"/>
                <w:color w:val="auto"/>
              </w:rPr>
            </w:pPr>
            <w:r>
              <w:rPr>
                <w:rFonts w:ascii="Arial" w:cs="Arial" w:eastAsia="Arial" w:hAnsi="Arial"/>
                <w:sz w:val="21"/>
                <w:szCs w:val="21"/>
                <w:color w:val="0000FF"/>
                <w:w w:val="96"/>
              </w:rPr>
              <w:t>Other Information</w:t>
            </w:r>
          </w:p>
        </w:tc>
        <w:tc>
          <w:tcPr>
            <w:tcW w:w="6500" w:type="dxa"/>
            <w:vAlign w:val="bottom"/>
            <w:tcBorders>
              <w:bottom w:val="single" w:sz="8" w:color="CCEEFF"/>
            </w:tcBorders>
            <w:gridSpan w:val="16"/>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25</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6.</w:t>
            </w:r>
          </w:p>
        </w:tc>
        <w:tc>
          <w:tcPr>
            <w:tcW w:w="8100" w:type="dxa"/>
            <w:vAlign w:val="bottom"/>
            <w:gridSpan w:val="23"/>
          </w:tcPr>
          <w:p>
            <w:pPr>
              <w:spacing w:after="0" w:line="207" w:lineRule="exact"/>
              <w:rPr>
                <w:sz w:val="20"/>
                <w:szCs w:val="20"/>
                <w:color w:val="auto"/>
              </w:rPr>
            </w:pPr>
            <w:r>
              <w:rPr>
                <w:rFonts w:ascii="Arial" w:cs="Arial" w:eastAsia="Arial" w:hAnsi="Arial"/>
                <w:sz w:val="21"/>
                <w:szCs w:val="21"/>
                <w:color w:val="0000FF"/>
              </w:rPr>
              <w:t>Exhibits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25</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100" w:type="dxa"/>
            <w:vAlign w:val="bottom"/>
            <w:gridSpan w:val="23"/>
            <w:shd w:val="clear" w:color="auto" w:fill="CCEEFF"/>
          </w:tcPr>
          <w:p>
            <w:pPr>
              <w:spacing w:after="0" w:line="207" w:lineRule="exact"/>
              <w:rPr>
                <w:sz w:val="20"/>
                <w:szCs w:val="20"/>
                <w:color w:val="auto"/>
              </w:rPr>
            </w:pPr>
            <w:r>
              <w:rPr>
                <w:rFonts w:ascii="Arial" w:cs="Arial" w:eastAsia="Arial" w:hAnsi="Arial"/>
                <w:sz w:val="21"/>
                <w:szCs w:val="21"/>
                <w:color w:val="0000FF"/>
              </w:rPr>
              <w:t>Signatures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26</w:t>
            </w:r>
          </w:p>
        </w:tc>
        <w:tc>
          <w:tcPr>
            <w:tcW w:w="480" w:type="dxa"/>
            <w:vAlign w:val="bottom"/>
            <w:shd w:val="clear" w:color="auto" w:fill="CCEEFF"/>
          </w:tcPr>
          <w:p>
            <w:pPr>
              <w:spacing w:after="0"/>
              <w:rPr>
                <w:sz w:val="20"/>
                <w:szCs w:val="20"/>
                <w:color w:val="auto"/>
              </w:rPr>
            </w:pP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24"/>
          <w:szCs w:val="24"/>
          <w:b w:val="1"/>
          <w:bCs w:val="1"/>
          <w:color w:val="14AA40"/>
        </w:rPr>
        <w:t>PART I</w:t>
      </w:r>
      <w:r>
        <w:rPr>
          <w:sz w:val="20"/>
          <w:szCs w:val="20"/>
          <w:color w:val="auto"/>
        </w:rPr>
        <w:tab/>
      </w:r>
      <w:r>
        <w:rPr>
          <w:rFonts w:ascii="Arial" w:cs="Arial" w:eastAsia="Arial" w:hAnsi="Arial"/>
          <w:sz w:val="23"/>
          <w:szCs w:val="23"/>
          <w:b w:val="1"/>
          <w:bCs w:val="1"/>
          <w:color w:val="14AA40"/>
        </w:rPr>
        <w:t>FINANCIAL INFORMATION</w:t>
      </w:r>
    </w:p>
    <w:p>
      <w:pPr>
        <w:spacing w:after="0" w:line="111"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1.</w:t>
      </w:r>
      <w:r>
        <w:rPr>
          <w:sz w:val="20"/>
          <w:szCs w:val="20"/>
          <w:color w:val="auto"/>
        </w:rPr>
        <w:tab/>
      </w:r>
      <w:r>
        <w:rPr>
          <w:rFonts w:ascii="Arial" w:cs="Arial" w:eastAsia="Arial" w:hAnsi="Arial"/>
          <w:sz w:val="23"/>
          <w:szCs w:val="23"/>
          <w:b w:val="1"/>
          <w:bCs w:val="1"/>
          <w:color w:val="14AA40"/>
        </w:rPr>
        <w:t>FINANCIAL STATEMENTS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CONSOLIDATED STATEMENTS OF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right"/>
        <w:ind w:left="20" w:right="20"/>
        <w:spacing w:after="0" w:line="183" w:lineRule="auto"/>
        <w:rPr>
          <w:sz w:val="20"/>
          <w:szCs w:val="20"/>
          <w:color w:val="auto"/>
        </w:rPr>
      </w:pPr>
      <w:r>
        <w:rPr>
          <w:rFonts w:ascii="Arial" w:cs="Arial" w:eastAsia="Arial" w:hAnsi="Arial"/>
          <w:sz w:val="34"/>
          <w:szCs w:val="34"/>
          <w:b w:val="1"/>
          <w:bCs w:val="1"/>
          <w:color w:val="auto"/>
          <w:vertAlign w:val="subscript"/>
        </w:rPr>
        <w:t>COMPREHENSIVE LOSS:</w:t>
      </w:r>
      <w:r>
        <w:rPr>
          <w:rFonts w:ascii="Arial" w:cs="Arial" w:eastAsia="Arial" w:hAnsi="Arial"/>
          <w:sz w:val="12"/>
          <w:szCs w:val="12"/>
          <w:color w:val="auto"/>
        </w:rPr>
        <w:t xml:space="preserve">                                                 (unaudited, in 000s,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5"/>
          </w:tcPr>
          <w:p>
            <w:pPr>
              <w:ind w:left="160"/>
              <w:spacing w:after="0"/>
              <w:rPr>
                <w:sz w:val="20"/>
                <w:szCs w:val="20"/>
                <w:color w:val="auto"/>
              </w:rPr>
            </w:pPr>
            <w:r>
              <w:rPr>
                <w:rFonts w:ascii="Arial" w:cs="Arial" w:eastAsia="Arial" w:hAnsi="Arial"/>
                <w:sz w:val="15"/>
                <w:szCs w:val="15"/>
                <w:color w:val="auto"/>
              </w:rPr>
              <w:t>Three months ended December 31,</w:t>
            </w:r>
          </w:p>
        </w:tc>
        <w:tc>
          <w:tcPr>
            <w:tcW w:w="26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4"/>
          </w:tcPr>
          <w:p>
            <w:pPr>
              <w:jc w:val="right"/>
              <w:ind w:right="323"/>
              <w:spacing w:after="0"/>
              <w:rPr>
                <w:sz w:val="20"/>
                <w:szCs w:val="20"/>
                <w:color w:val="auto"/>
              </w:rPr>
            </w:pPr>
            <w:r>
              <w:rPr>
                <w:rFonts w:ascii="Arial" w:cs="Arial" w:eastAsia="Arial" w:hAnsi="Arial"/>
                <w:sz w:val="15"/>
                <w:szCs w:val="15"/>
                <w:color w:val="auto"/>
              </w:rPr>
              <w:t>Six months ended December 31,</w:t>
            </w:r>
          </w:p>
        </w:tc>
        <w:tc>
          <w:tcPr>
            <w:tcW w:w="0" w:type="dxa"/>
            <w:vAlign w:val="bottom"/>
          </w:tcPr>
          <w:p>
            <w:pPr>
              <w:spacing w:after="0"/>
              <w:rPr>
                <w:sz w:val="1"/>
                <w:szCs w:val="1"/>
                <w:color w:val="auto"/>
              </w:rPr>
            </w:pPr>
          </w:p>
        </w:tc>
      </w:tr>
      <w:tr>
        <w:trPr>
          <w:trHeight w:val="200"/>
        </w:trPr>
        <w:tc>
          <w:tcPr>
            <w:tcW w:w="4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Service revenues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139,565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133,725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306,759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310,702</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Royalty, product and other revenues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26,840</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25,091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39,631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40,738</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166,405</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158,816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346,390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351,440</w:t>
            </w:r>
          </w:p>
        </w:tc>
        <w:tc>
          <w:tcPr>
            <w:tcW w:w="0" w:type="dxa"/>
            <w:vAlign w:val="bottom"/>
          </w:tcPr>
          <w:p>
            <w:pPr>
              <w:spacing w:after="0"/>
              <w:rPr>
                <w:sz w:val="1"/>
                <w:szCs w:val="1"/>
                <w:color w:val="auto"/>
              </w:rPr>
            </w:pPr>
          </w:p>
        </w:tc>
      </w:tr>
      <w:tr>
        <w:trPr>
          <w:trHeight w:val="185"/>
        </w:trPr>
        <w:tc>
          <w:tcPr>
            <w:tcW w:w="482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Costs of revenues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298,345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289,323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559,007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530,855</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151,263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146,793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279,697</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272,657</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449,608</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436,116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838,704</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803,512</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4,185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7,796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1,751</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on borrowings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(18,985)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(23,085)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(34,809)</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(45,915)</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 benefit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(298,003)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(298,918)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(519,327)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(496,236)</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(77,140)</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(109,845)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(131,097)</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(157,218)</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(220,863)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(189,073)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(388,230)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(339,018)</w:t>
            </w:r>
          </w:p>
        </w:tc>
        <w:tc>
          <w:tcPr>
            <w:tcW w:w="0" w:type="dxa"/>
            <w:vAlign w:val="bottom"/>
          </w:tcPr>
          <w:p>
            <w:pPr>
              <w:spacing w:after="0"/>
              <w:rPr>
                <w:sz w:val="1"/>
                <w:szCs w:val="1"/>
                <w:color w:val="auto"/>
              </w:rPr>
            </w:pPr>
          </w:p>
        </w:tc>
      </w:tr>
      <w:tr>
        <w:trPr>
          <w:trHeight w:val="169"/>
        </w:trPr>
        <w:tc>
          <w:tcPr>
            <w:tcW w:w="4820" w:type="dxa"/>
            <w:vAlign w:val="bottom"/>
          </w:tcPr>
          <w:p>
            <w:pPr>
              <w:ind w:left="20"/>
              <w:spacing w:after="0" w:line="169" w:lineRule="exact"/>
              <w:rPr>
                <w:sz w:val="20"/>
                <w:szCs w:val="20"/>
                <w:color w:val="auto"/>
              </w:rPr>
            </w:pPr>
            <w:r>
              <w:rPr>
                <w:rFonts w:ascii="Arial" w:cs="Arial" w:eastAsia="Arial" w:hAnsi="Arial"/>
                <w:sz w:val="15"/>
                <w:szCs w:val="15"/>
                <w:color w:val="auto"/>
              </w:rPr>
              <w:t>Net loss from discontinued operations, net of tax benefits of $812,</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(2,716)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(3,770)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$461, $1,128 and $956</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(3,188)</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(223,579)</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(190,605)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(392,000)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(342,206)</w:t>
            </w:r>
          </w:p>
        </w:tc>
        <w:tc>
          <w:tcPr>
            <w:tcW w:w="0" w:type="dxa"/>
            <w:vAlign w:val="bottom"/>
          </w:tcPr>
          <w:p>
            <w:pPr>
              <w:spacing w:after="0"/>
              <w:rPr>
                <w:sz w:val="1"/>
                <w:szCs w:val="1"/>
                <w:color w:val="auto"/>
              </w:rPr>
            </w:pPr>
          </w:p>
        </w:tc>
      </w:tr>
      <w:tr>
        <w:trPr>
          <w:trHeight w:val="185"/>
        </w:trPr>
        <w:tc>
          <w:tcPr>
            <w:tcW w:w="4820" w:type="dxa"/>
            <w:vAlign w:val="bottom"/>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5"/>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Discontinued operations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(1.45)</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(2.50)</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ind w:right="3"/>
              <w:spacing w:after="0"/>
              <w:rPr>
                <w:sz w:val="20"/>
                <w:szCs w:val="20"/>
                <w:color w:val="auto"/>
              </w:rPr>
            </w:pPr>
            <w:r>
              <w:rPr>
                <w:rFonts w:ascii="Arial" w:cs="Arial" w:eastAsia="Arial" w:hAnsi="Arial"/>
                <w:sz w:val="15"/>
                <w:szCs w:val="15"/>
                <w:b w:val="1"/>
                <w:bCs w:val="1"/>
                <w:color w:val="auto"/>
              </w:rPr>
              <w:t>0.29</w:t>
            </w:r>
          </w:p>
        </w:tc>
        <w:tc>
          <w:tcPr>
            <w:tcW w:w="80" w:type="dxa"/>
            <w:vAlign w:val="bottom"/>
          </w:tcPr>
          <w:p>
            <w:pPr>
              <w:spacing w:after="0"/>
              <w:rPr>
                <w:sz w:val="17"/>
                <w:szCs w:val="17"/>
                <w:color w:val="auto"/>
              </w:rPr>
            </w:pPr>
          </w:p>
        </w:tc>
        <w:tc>
          <w:tcPr>
            <w:tcW w:w="50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0.27</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0.58</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20" w:type="dxa"/>
            <w:vAlign w:val="bottom"/>
          </w:tcPr>
          <w:p>
            <w:pPr>
              <w:ind w:left="14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(223,579)</w:t>
            </w:r>
          </w:p>
        </w:tc>
        <w:tc>
          <w:tcPr>
            <w:tcW w:w="80" w:type="dxa"/>
            <w:vAlign w:val="bottom"/>
          </w:tcPr>
          <w:p>
            <w:pPr>
              <w:spacing w:after="0"/>
              <w:rPr>
                <w:sz w:val="17"/>
                <w:szCs w:val="17"/>
                <w:color w:val="auto"/>
              </w:rPr>
            </w:pPr>
          </w:p>
        </w:tc>
        <w:tc>
          <w:tcPr>
            <w:tcW w:w="50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(190,605)</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(392,000)</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(342,206)</w:t>
            </w:r>
          </w:p>
        </w:tc>
        <w:tc>
          <w:tcPr>
            <w:tcW w:w="0" w:type="dxa"/>
            <w:vAlign w:val="bottom"/>
          </w:tcPr>
          <w:p>
            <w:pPr>
              <w:spacing w:after="0"/>
              <w:rPr>
                <w:sz w:val="1"/>
                <w:szCs w:val="1"/>
                <w:color w:val="auto"/>
              </w:rPr>
            </w:pPr>
          </w:p>
        </w:tc>
      </w:tr>
      <w:tr>
        <w:trPr>
          <w:trHeight w:val="206"/>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9,307</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1,656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(23,038)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(9,521)</w:t>
            </w:r>
          </w:p>
        </w:tc>
        <w:tc>
          <w:tcPr>
            <w:tcW w:w="0" w:type="dxa"/>
            <w:vAlign w:val="bottom"/>
          </w:tcPr>
          <w:p>
            <w:pPr>
              <w:spacing w:after="0"/>
              <w:rPr>
                <w:sz w:val="1"/>
                <w:szCs w:val="1"/>
                <w:color w:val="auto"/>
              </w:rPr>
            </w:pPr>
          </w:p>
        </w:tc>
      </w:tr>
      <w:tr>
        <w:trPr>
          <w:trHeight w:val="19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comprehensive income (loss)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9,307</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(23,038)</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(9,521)</w:t>
            </w:r>
          </w:p>
        </w:tc>
        <w:tc>
          <w:tcPr>
            <w:tcW w:w="0" w:type="dxa"/>
            <w:vAlign w:val="bottom"/>
          </w:tcPr>
          <w:p>
            <w:pPr>
              <w:spacing w:after="0"/>
              <w:rPr>
                <w:sz w:val="1"/>
                <w:szCs w:val="1"/>
                <w:color w:val="auto"/>
              </w:rPr>
            </w:pPr>
          </w:p>
        </w:tc>
      </w:tr>
      <w:tr>
        <w:trPr>
          <w:trHeight w:val="200"/>
        </w:trPr>
        <w:tc>
          <w:tcPr>
            <w:tcW w:w="48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(214,272)</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(188,949)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(415,038)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(351,727)</w:t>
            </w:r>
          </w:p>
        </w:tc>
        <w:tc>
          <w:tcPr>
            <w:tcW w:w="0" w:type="dxa"/>
            <w:vAlign w:val="bottom"/>
          </w:tcPr>
          <w:p>
            <w:pPr>
              <w:spacing w:after="0"/>
              <w:rPr>
                <w:sz w:val="1"/>
                <w:szCs w:val="1"/>
                <w:color w:val="auto"/>
              </w:rPr>
            </w:pPr>
          </w:p>
        </w:tc>
      </w:tr>
      <w:tr>
        <w:trPr>
          <w:trHeight w:val="32"/>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615315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sz w:val="20"/>
          <w:szCs w:val="20"/>
          <w:color w:val="auto"/>
        </w:rPr>
        <w:tab/>
      </w:r>
      <w:r>
        <w:rPr>
          <w:rFonts w:ascii="Arial" w:cs="Arial" w:eastAsia="Arial" w:hAnsi="Arial"/>
          <w:sz w:val="10"/>
          <w:szCs w:val="10"/>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4"/>
                <w:szCs w:val="24"/>
                <w:b w:val="1"/>
                <w:bCs w:val="1"/>
                <w:color w:val="auto"/>
              </w:rPr>
              <w:t>CONSOLIDATED BALANCE SHEETS</w:t>
            </w: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(unaudited, in 000s, except</w:t>
            </w:r>
          </w:p>
        </w:tc>
        <w:tc>
          <w:tcPr>
            <w:tcW w:w="0" w:type="dxa"/>
            <w:vAlign w:val="bottom"/>
          </w:tcPr>
          <w:p>
            <w:pPr>
              <w:spacing w:after="0"/>
              <w:rPr>
                <w:sz w:val="1"/>
                <w:szCs w:val="1"/>
                <w:color w:val="auto"/>
              </w:rPr>
            </w:pPr>
          </w:p>
        </w:tc>
      </w:tr>
      <w:tr>
        <w:trPr>
          <w:trHeight w:val="163"/>
        </w:trPr>
        <w:tc>
          <w:tcPr>
            <w:tcW w:w="728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198"/>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As of</w:t>
            </w:r>
          </w:p>
        </w:tc>
        <w:tc>
          <w:tcPr>
            <w:tcW w:w="300" w:type="dxa"/>
            <w:vAlign w:val="bottom"/>
          </w:tcPr>
          <w:p>
            <w:pPr>
              <w:spacing w:after="0"/>
              <w:rPr>
                <w:sz w:val="17"/>
                <w:szCs w:val="17"/>
                <w:color w:val="auto"/>
              </w:rPr>
            </w:pPr>
          </w:p>
        </w:tc>
        <w:tc>
          <w:tcPr>
            <w:tcW w:w="174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2022</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June 30, 2022</w:t>
            </w:r>
          </w:p>
        </w:tc>
        <w:tc>
          <w:tcPr>
            <w:tcW w:w="0" w:type="dxa"/>
            <w:vAlign w:val="bottom"/>
          </w:tcPr>
          <w:p>
            <w:pPr>
              <w:spacing w:after="0"/>
              <w:rPr>
                <w:sz w:val="1"/>
                <w:szCs w:val="1"/>
                <w:color w:val="auto"/>
              </w:rPr>
            </w:pPr>
          </w:p>
        </w:tc>
      </w:tr>
      <w:tr>
        <w:trPr>
          <w:trHeight w:val="199"/>
        </w:trPr>
        <w:tc>
          <w:tcPr>
            <w:tcW w:w="7160" w:type="dxa"/>
            <w:vAlign w:val="bottom"/>
            <w:tcBorders>
              <w:top w:val="single" w:sz="8" w:color="auto"/>
            </w:tcBorders>
          </w:tcPr>
          <w:p>
            <w:pPr>
              <w:ind w:left="3280"/>
              <w:spacing w:after="0"/>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264,455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885,015</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27,733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165,698</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$27,323 and $65,351</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328,616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58,447</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46,646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202,838</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108,405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72,460</w:t>
            </w:r>
          </w:p>
        </w:tc>
        <w:tc>
          <w:tcPr>
            <w:tcW w:w="0" w:type="dxa"/>
            <w:vAlign w:val="bottom"/>
          </w:tcPr>
          <w:p>
            <w:pPr>
              <w:spacing w:after="0"/>
              <w:rPr>
                <w:sz w:val="1"/>
                <w:szCs w:val="1"/>
                <w:color w:val="auto"/>
              </w:rPr>
            </w:pPr>
          </w:p>
        </w:tc>
      </w:tr>
      <w:tr>
        <w:trPr>
          <w:trHeight w:val="199"/>
        </w:trPr>
        <w:tc>
          <w:tcPr>
            <w:tcW w:w="7280" w:type="dxa"/>
            <w:vAlign w:val="bottom"/>
            <w:gridSpan w:val="2"/>
          </w:tcPr>
          <w:p>
            <w:pPr>
              <w:ind w:left="320"/>
              <w:spacing w:after="0"/>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775,855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1,384,458</w:t>
            </w: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5"/>
                <w:szCs w:val="15"/>
                <w:color w:val="auto"/>
              </w:rPr>
              <w:t>Property and equipment, at cost, less accumulated depreciation and amortization of $881,230 and</w:t>
            </w:r>
          </w:p>
        </w:tc>
        <w:tc>
          <w:tcPr>
            <w:tcW w:w="3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136,824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$857,468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123,912</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382,723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427,783</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304,539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309,644</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764,802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760,401</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181,721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208,948</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46,760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54,012</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2,593,224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3,269,158</w:t>
            </w:r>
          </w:p>
        </w:tc>
        <w:tc>
          <w:tcPr>
            <w:tcW w:w="0" w:type="dxa"/>
            <w:vAlign w:val="bottom"/>
          </w:tcPr>
          <w:p>
            <w:pPr>
              <w:spacing w:after="0"/>
              <w:rPr>
                <w:sz w:val="1"/>
                <w:szCs w:val="1"/>
                <w:color w:val="auto"/>
              </w:rPr>
            </w:pPr>
          </w:p>
        </w:tc>
      </w:tr>
      <w:tr>
        <w:trPr>
          <w:trHeight w:val="185"/>
        </w:trPr>
        <w:tc>
          <w:tcPr>
            <w:tcW w:w="7280" w:type="dxa"/>
            <w:vAlign w:val="bottom"/>
            <w:gridSpan w:val="2"/>
          </w:tcPr>
          <w:p>
            <w:pPr>
              <w:ind w:left="196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80" w:type="dxa"/>
            <w:vAlign w:val="bottom"/>
            <w:gridSpan w:val="2"/>
          </w:tcPr>
          <w:p>
            <w:pPr>
              <w:ind w:left="120"/>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137,118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160,929</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68,089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154,764</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73,572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280,115</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184,343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206,898</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182,711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196,107</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645,833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998,813</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Long-term debt and line of credit borrowings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2,067,937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1,486,876</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231,041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226,362</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205,409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228,820</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86,483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116,656</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3,236,703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3,057,527</w:t>
            </w:r>
          </w:p>
        </w:tc>
        <w:tc>
          <w:tcPr>
            <w:tcW w:w="0" w:type="dxa"/>
            <w:vAlign w:val="bottom"/>
          </w:tcPr>
          <w:p>
            <w:pPr>
              <w:spacing w:after="0"/>
              <w:rPr>
                <w:sz w:val="1"/>
                <w:szCs w:val="1"/>
                <w:color w:val="auto"/>
              </w:rPr>
            </w:pPr>
          </w:p>
        </w:tc>
      </w:tr>
      <w:tr>
        <w:trPr>
          <w:trHeight w:val="18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28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3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1,854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185,403,081 and 193,571,309</w:t>
            </w:r>
          </w:p>
        </w:tc>
        <w:tc>
          <w:tcPr>
            <w:tcW w:w="3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767,683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772,182</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(44,683)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(21,645)</w:t>
            </w:r>
          </w:p>
        </w:tc>
        <w:tc>
          <w:tcPr>
            <w:tcW w:w="0" w:type="dxa"/>
            <w:vAlign w:val="bottom"/>
          </w:tcPr>
          <w:p>
            <w:pPr>
              <w:spacing w:after="0"/>
              <w:rPr>
                <w:sz w:val="1"/>
                <w:szCs w:val="1"/>
                <w:color w:val="auto"/>
              </w:rPr>
            </w:pPr>
          </w:p>
        </w:tc>
      </w:tr>
      <w:tr>
        <w:trPr>
          <w:trHeight w:val="205"/>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Retained earnings (deficit)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(708,437)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120,405</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33,127,313 and 33,640,988</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(659,896)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(661,247)</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stockholders' equity (deficiency)</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(643,479)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211,631</w:t>
            </w:r>
          </w:p>
        </w:tc>
        <w:tc>
          <w:tcPr>
            <w:tcW w:w="0" w:type="dxa"/>
            <w:vAlign w:val="bottom"/>
          </w:tcPr>
          <w:p>
            <w:pPr>
              <w:spacing w:after="0"/>
              <w:rPr>
                <w:sz w:val="1"/>
                <w:szCs w:val="1"/>
                <w:color w:val="auto"/>
              </w:rPr>
            </w:pPr>
          </w:p>
        </w:tc>
      </w:tr>
      <w:tr>
        <w:trPr>
          <w:trHeight w:val="200"/>
        </w:trPr>
        <w:tc>
          <w:tcPr>
            <w:tcW w:w="72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2,593,224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3,269,158</w:t>
            </w:r>
          </w:p>
        </w:tc>
        <w:tc>
          <w:tcPr>
            <w:tcW w:w="0" w:type="dxa"/>
            <w:vAlign w:val="bottom"/>
          </w:tcPr>
          <w:p>
            <w:pPr>
              <w:spacing w:after="0"/>
              <w:rPr>
                <w:sz w:val="1"/>
                <w:szCs w:val="1"/>
                <w:color w:val="auto"/>
              </w:rPr>
            </w:pPr>
          </w:p>
        </w:tc>
      </w:tr>
      <w:tr>
        <w:trPr>
          <w:trHeight w:val="32"/>
        </w:trPr>
        <w:tc>
          <w:tcPr>
            <w:tcW w:w="7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hanging="235"/>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1"/>
                <w:szCs w:val="21"/>
                <w:b w:val="1"/>
                <w:bCs w:val="1"/>
                <w:color w:val="auto"/>
              </w:rPr>
              <w:t>CONSOLIDATED STATEMENTS OF CASH FLOWS</w:t>
            </w:r>
          </w:p>
        </w:tc>
        <w:tc>
          <w:tcPr>
            <w:tcW w:w="5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198"/>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Six months ended December 31,</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(392,000)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(342,206)</w:t>
            </w:r>
          </w:p>
        </w:tc>
      </w:tr>
      <w:tr>
        <w:trPr>
          <w:trHeight w:val="203"/>
        </w:trPr>
        <w:tc>
          <w:tcPr>
            <w:tcW w:w="7720" w:type="dxa"/>
            <w:vAlign w:val="bottom"/>
            <w:gridSpan w:val="2"/>
          </w:tcPr>
          <w:p>
            <w:pPr>
              <w:ind w:left="2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66,347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71,346</w:t>
            </w:r>
          </w:p>
        </w:tc>
      </w:tr>
      <w:tr>
        <w:trPr>
          <w:trHeight w:val="205"/>
        </w:trPr>
        <w:tc>
          <w:tcPr>
            <w:tcW w:w="7720" w:type="dxa"/>
            <w:vAlign w:val="bottom"/>
            <w:gridSpan w:val="2"/>
          </w:tcPr>
          <w:p>
            <w:pPr>
              <w:ind w:left="320"/>
              <w:spacing w:after="0"/>
              <w:rPr>
                <w:sz w:val="20"/>
                <w:szCs w:val="20"/>
                <w:color w:val="auto"/>
              </w:rPr>
            </w:pPr>
            <w:r>
              <w:rPr>
                <w:rFonts w:ascii="Arial" w:cs="Arial" w:eastAsia="Arial" w:hAnsi="Arial"/>
                <w:sz w:val="15"/>
                <w:szCs w:val="15"/>
                <w:color w:val="auto"/>
              </w:rPr>
              <w:t>Provision</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16,581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14,639</w:t>
            </w:r>
          </w:p>
        </w:tc>
      </w:tr>
      <w:tr>
        <w:trPr>
          <w:trHeight w:val="207"/>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Deferred taxes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41,534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16,685</w:t>
            </w:r>
          </w:p>
        </w:tc>
      </w:tr>
      <w:tr>
        <w:trPr>
          <w:trHeight w:val="205"/>
        </w:trPr>
        <w:tc>
          <w:tcPr>
            <w:tcW w:w="7720" w:type="dxa"/>
            <w:vAlign w:val="bottom"/>
            <w:gridSpan w:val="2"/>
          </w:tcPr>
          <w:p>
            <w:pPr>
              <w:ind w:left="320"/>
              <w:spacing w:after="0"/>
              <w:rPr>
                <w:sz w:val="20"/>
                <w:szCs w:val="20"/>
                <w:color w:val="auto"/>
              </w:rPr>
            </w:pPr>
            <w:r>
              <w:rPr>
                <w:rFonts w:ascii="Arial" w:cs="Arial" w:eastAsia="Arial" w:hAnsi="Arial"/>
                <w:sz w:val="15"/>
                <w:szCs w:val="15"/>
                <w:color w:val="auto"/>
              </w:rPr>
              <w:t>Stock-based compensation</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17,893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13,233</w:t>
            </w:r>
          </w:p>
        </w:tc>
      </w:tr>
      <w:tr>
        <w:trPr>
          <w:trHeight w:val="207"/>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Changes in assets and liabilities, net of acquisitions: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Receivables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(262,293)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(216,071)</w:t>
            </w:r>
          </w:p>
        </w:tc>
      </w:tr>
      <w:tr>
        <w:trPr>
          <w:trHeight w:val="207"/>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Prepaid expenses, other current and noncurrent assets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(32,983)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(46,928)</w:t>
            </w: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(121,156)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(121,926)</w:t>
            </w:r>
          </w:p>
        </w:tc>
      </w:tr>
      <w:tr>
        <w:trPr>
          <w:trHeight w:val="207"/>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Deferred revenue, other current and noncurrent liabilities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(52,703)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(50,882)</w:t>
            </w:r>
          </w:p>
        </w:tc>
      </w:tr>
      <w:tr>
        <w:trPr>
          <w:trHeight w:val="205"/>
        </w:trPr>
        <w:tc>
          <w:tcPr>
            <w:tcW w:w="7720" w:type="dxa"/>
            <w:vAlign w:val="bottom"/>
            <w:gridSpan w:val="2"/>
          </w:tcPr>
          <w:p>
            <w:pPr>
              <w:ind w:left="44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(60,163)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(247,088)</w:t>
            </w:r>
          </w:p>
        </w:tc>
      </w:tr>
      <w:tr>
        <w:trPr>
          <w:trHeight w:val="206"/>
        </w:trPr>
        <w:tc>
          <w:tcPr>
            <w:tcW w:w="77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(4,373)</w:t>
            </w:r>
          </w:p>
        </w:tc>
      </w:tr>
      <w:tr>
        <w:trPr>
          <w:trHeight w:val="199"/>
        </w:trPr>
        <w:tc>
          <w:tcPr>
            <w:tcW w:w="772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color w:val="auto"/>
              </w:rPr>
              <w:t>Net cash used in operating activities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(780,458)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(913,571)</w:t>
            </w:r>
          </w:p>
        </w:tc>
      </w:tr>
      <w:tr>
        <w:trPr>
          <w:trHeight w:val="18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Capital expenditures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(41,495)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(39,371)</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made for business acquisitions, net of cash acquired</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(39,757)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(19,333)</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Franchise loans funded</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(17,491)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(14,480)</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from franchisees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6,213</w:t>
            </w:r>
          </w:p>
        </w:tc>
      </w:tr>
      <w:tr>
        <w:trPr>
          <w:trHeight w:val="205"/>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(4,208)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9,527</w:t>
            </w:r>
          </w:p>
        </w:tc>
      </w:tr>
      <w:tr>
        <w:trPr>
          <w:trHeight w:val="200"/>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investing activities</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(99,090)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(57,444)</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Repayments of line of credit borrowings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(210,000)</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Proceeds from line of credit borrowings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750,000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485,000</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Dividends paid</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(89,193)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(96,938)</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Repurchase of common stock, including shares surrendered</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(365,633)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(324,589)</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exercise of stock options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4,067</w:t>
            </w:r>
          </w:p>
        </w:tc>
      </w:tr>
      <w:tr>
        <w:trPr>
          <w:trHeight w:val="205"/>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(7,423)</w:t>
            </w:r>
          </w:p>
        </w:tc>
      </w:tr>
      <w:tr>
        <w:trPr>
          <w:trHeight w:val="199"/>
        </w:trPr>
        <w:tc>
          <w:tcPr>
            <w:tcW w:w="7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provided by (used in) financing activities</w:t>
            </w: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128,813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(149,883)</w:t>
            </w:r>
          </w:p>
        </w:tc>
      </w:tr>
      <w:tr>
        <w:trPr>
          <w:trHeight w:val="199"/>
        </w:trPr>
        <w:tc>
          <w:tcPr>
            <w:tcW w:w="7720" w:type="dxa"/>
            <w:vAlign w:val="bottom"/>
            <w:gridSpan w:val="2"/>
          </w:tcPr>
          <w:p>
            <w:pPr>
              <w:ind w:left="20"/>
              <w:spacing w:after="0"/>
              <w:rPr>
                <w:sz w:val="20"/>
                <w:szCs w:val="20"/>
                <w:color w:val="auto"/>
              </w:rPr>
            </w:pPr>
            <w:r>
              <w:rPr>
                <w:rFonts w:ascii="Arial" w:cs="Arial" w:eastAsia="Arial" w:hAnsi="Arial"/>
                <w:sz w:val="15"/>
                <w:szCs w:val="15"/>
                <w:color w:val="auto"/>
              </w:rPr>
              <w:t>Effects of exchange rate changes on cash</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(7,790)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(3,330)</w:t>
            </w:r>
          </w:p>
        </w:tc>
      </w:tr>
      <w:tr>
        <w:trPr>
          <w:trHeight w:val="20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(758,525)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(1,124,228)</w:t>
            </w:r>
          </w:p>
        </w:tc>
      </w:tr>
      <w:tr>
        <w:trPr>
          <w:trHeight w:val="205"/>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1,050,713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1,584,164</w:t>
            </w:r>
          </w:p>
        </w:tc>
      </w:tr>
      <w:tr>
        <w:trPr>
          <w:trHeight w:val="20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292,188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459,936</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SUPPLEMENTARY CASH FLOW DATA:</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Income taxes paid (received), net</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(114,385)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72,169</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Interest paid on borrowings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31,812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36,539</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Accrued additions to property and equipment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1,393</w:t>
            </w:r>
          </w:p>
        </w:tc>
      </w:tr>
      <w:tr>
        <w:trPr>
          <w:trHeight w:val="205"/>
        </w:trPr>
        <w:tc>
          <w:tcPr>
            <w:tcW w:w="7720" w:type="dxa"/>
            <w:vAlign w:val="bottom"/>
            <w:gridSpan w:val="2"/>
          </w:tcPr>
          <w:p>
            <w:pPr>
              <w:ind w:left="120"/>
              <w:spacing w:after="0"/>
              <w:rPr>
                <w:sz w:val="20"/>
                <w:szCs w:val="20"/>
                <w:color w:val="auto"/>
              </w:rPr>
            </w:pPr>
            <w:r>
              <w:rPr>
                <w:rFonts w:ascii="Arial" w:cs="Arial" w:eastAsia="Arial" w:hAnsi="Arial"/>
                <w:sz w:val="15"/>
                <w:szCs w:val="15"/>
                <w:color w:val="auto"/>
              </w:rPr>
              <w:t>New operating right of use assets and related lease liabilities</w:t>
            </w: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79,917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73,710</w:t>
            </w:r>
          </w:p>
        </w:tc>
      </w:tr>
      <w:tr>
        <w:trPr>
          <w:trHeight w:val="207"/>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Accrued dividends payable to common shareholders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44,569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46,497</w:t>
            </w:r>
          </w:p>
        </w:tc>
      </w:tr>
      <w:tr>
        <w:trPr>
          <w:trHeight w:val="238"/>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Accrued purchase of common stock</w:t>
            </w:r>
          </w:p>
        </w:tc>
        <w:tc>
          <w:tcPr>
            <w:tcW w:w="5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4,845</w:t>
            </w:r>
          </w:p>
        </w:tc>
      </w:tr>
      <w:tr>
        <w:trPr>
          <w:trHeight w:val="20"/>
        </w:trPr>
        <w:tc>
          <w:tcPr>
            <w:tcW w:w="7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607060</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34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FY2023 Form 10-Q</w:t>
      </w:r>
      <w:r>
        <w:rPr>
          <w:sz w:val="20"/>
          <w:szCs w:val="20"/>
          <w:color w:val="auto"/>
        </w:rPr>
        <w:tab/>
      </w:r>
      <w:r>
        <w:rPr>
          <w:rFonts w:ascii="Arial" w:cs="Arial" w:eastAsia="Arial" w:hAnsi="Arial"/>
          <w:sz w:val="10"/>
          <w:szCs w:val="10"/>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7460" w:type="dxa"/>
            <w:vAlign w:val="bottom"/>
            <w:tcBorders>
              <w:top w:val="single" w:sz="8" w:color="auto"/>
              <w:bottom w:val="single" w:sz="8" w:color="auto"/>
            </w:tcBorders>
            <w:gridSpan w:val="13"/>
          </w:tcPr>
          <w:p>
            <w:pPr>
              <w:ind w:left="20"/>
              <w:spacing w:after="0"/>
              <w:rPr>
                <w:sz w:val="20"/>
                <w:szCs w:val="20"/>
                <w:color w:val="auto"/>
              </w:rPr>
            </w:pPr>
            <w:r>
              <w:rPr>
                <w:rFonts w:ascii="Arial" w:cs="Arial" w:eastAsia="Arial" w:hAnsi="Arial"/>
                <w:sz w:val="24"/>
                <w:szCs w:val="24"/>
                <w:b w:val="1"/>
                <w:bCs w:val="1"/>
                <w:color w:val="auto"/>
              </w:rPr>
              <w:t>CONSOLIDATED STATEMENTS OF STOCKHOLDERS' EQUITY</w:t>
            </w: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color w:val="auto"/>
                <w:w w:val="97"/>
              </w:rPr>
              <w:t>(amounts in 000s, except per share amounts)</w:t>
            </w:r>
          </w:p>
        </w:tc>
        <w:tc>
          <w:tcPr>
            <w:tcW w:w="0" w:type="dxa"/>
            <w:vAlign w:val="bottom"/>
          </w:tcPr>
          <w:p>
            <w:pPr>
              <w:spacing w:after="0"/>
              <w:rPr>
                <w:sz w:val="1"/>
                <w:szCs w:val="1"/>
                <w:color w:val="auto"/>
              </w:rPr>
            </w:pPr>
          </w:p>
        </w:tc>
      </w:tr>
      <w:tr>
        <w:trPr>
          <w:trHeight w:val="289"/>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Retained</w:t>
            </w:r>
          </w:p>
        </w:tc>
        <w:tc>
          <w:tcPr>
            <w:tcW w:w="18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3"/>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00"/>
              <w:spacing w:after="0" w:line="114" w:lineRule="exact"/>
              <w:rPr>
                <w:sz w:val="20"/>
                <w:szCs w:val="20"/>
                <w:color w:val="auto"/>
              </w:rPr>
            </w:pPr>
            <w:r>
              <w:rPr>
                <w:rFonts w:ascii="Arial" w:cs="Arial" w:eastAsia="Arial" w:hAnsi="Arial"/>
                <w:sz w:val="13"/>
                <w:szCs w:val="13"/>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20"/>
              <w:spacing w:after="0" w:line="114" w:lineRule="exact"/>
              <w:rPr>
                <w:sz w:val="20"/>
                <w:szCs w:val="20"/>
                <w:color w:val="auto"/>
              </w:rPr>
            </w:pPr>
            <w:r>
              <w:rPr>
                <w:rFonts w:ascii="Arial" w:cs="Arial" w:eastAsia="Arial" w:hAnsi="Arial"/>
                <w:sz w:val="13"/>
                <w:szCs w:val="13"/>
                <w:color w:val="auto"/>
              </w:rPr>
              <w:t>Comprehensive</w:t>
            </w:r>
          </w:p>
        </w:tc>
        <w:tc>
          <w:tcPr>
            <w:tcW w:w="180" w:type="dxa"/>
            <w:vAlign w:val="bottom"/>
          </w:tcPr>
          <w:p>
            <w:pPr>
              <w:spacing w:after="0"/>
              <w:rPr>
                <w:sz w:val="9"/>
                <w:szCs w:val="9"/>
                <w:color w:val="auto"/>
              </w:rPr>
            </w:pPr>
          </w:p>
        </w:tc>
        <w:tc>
          <w:tcPr>
            <w:tcW w:w="800" w:type="dxa"/>
            <w:vAlign w:val="bottom"/>
            <w:gridSpan w:val="2"/>
          </w:tcPr>
          <w:p>
            <w:pPr>
              <w:ind w:left="120"/>
              <w:spacing w:after="0" w:line="114" w:lineRule="exact"/>
              <w:rPr>
                <w:sz w:val="20"/>
                <w:szCs w:val="20"/>
                <w:color w:val="auto"/>
              </w:rPr>
            </w:pPr>
            <w:r>
              <w:rPr>
                <w:rFonts w:ascii="Arial" w:cs="Arial" w:eastAsia="Arial" w:hAnsi="Arial"/>
                <w:sz w:val="13"/>
                <w:szCs w:val="13"/>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88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r>
              <w:rPr>
                <w:rFonts w:ascii="Arial" w:cs="Arial" w:eastAsia="Arial" w:hAnsi="Arial"/>
                <w:sz w:val="8"/>
                <w:szCs w:val="8"/>
                <w:color w:val="auto"/>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193,571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1,936</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772,182</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(21,645)</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120,405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(33,641)</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(661,247)</w:t>
            </w:r>
          </w:p>
        </w:tc>
        <w:tc>
          <w:tcPr>
            <w:tcW w:w="80" w:type="dxa"/>
            <w:vAlign w:val="bottom"/>
          </w:tcPr>
          <w:p>
            <w:pPr>
              <w:spacing w:after="0"/>
              <w:rPr>
                <w:sz w:val="16"/>
                <w:szCs w:val="16"/>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211,631</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(168,421)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(168,421)</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(32,345)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(32,345)</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5,630</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(15,276)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(742)</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805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15,839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(15,432)</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(4,927)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(216,813)</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(219,769)</w:t>
            </w:r>
          </w:p>
        </w:tc>
        <w:tc>
          <w:tcPr>
            <w:tcW w:w="0" w:type="dxa"/>
            <w:vAlign w:val="bottom"/>
          </w:tcPr>
          <w:p>
            <w:pPr>
              <w:spacing w:after="0"/>
              <w:rPr>
                <w:sz w:val="1"/>
                <w:szCs w:val="1"/>
                <w:color w:val="auto"/>
              </w:rPr>
            </w:pPr>
          </w:p>
        </w:tc>
      </w:tr>
      <w:tr>
        <w:trPr>
          <w:trHeight w:val="19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$0.29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(46,100)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(46,100)</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188,644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1,887</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759,629</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(53,990)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(311,671)</w:t>
            </w:r>
          </w:p>
        </w:tc>
        <w:tc>
          <w:tcPr>
            <w:tcW w:w="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(33,177)</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(660,840)</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(264,985)</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(223,579)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(223,579)</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9,307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9,307</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9,544</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1,235</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(1,911)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(128,409)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(130,353)</w:t>
            </w:r>
          </w:p>
        </w:tc>
        <w:tc>
          <w:tcPr>
            <w:tcW w:w="0" w:type="dxa"/>
            <w:vAlign w:val="bottom"/>
          </w:tcPr>
          <w:p>
            <w:pPr>
              <w:spacing w:after="0"/>
              <w:rPr>
                <w:sz w:val="1"/>
                <w:szCs w:val="1"/>
                <w:color w:val="auto"/>
              </w:rPr>
            </w:pPr>
          </w:p>
        </w:tc>
      </w:tr>
      <w:tr>
        <w:trPr>
          <w:trHeight w:val="19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$0.29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(44,569)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(44,569)</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185,403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767,683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(708,437)</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(659,896)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(643,479)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balance of our accumulated other comprehensive income (loss) consists of foreign currency translation adjustments.</w:t>
      </w:r>
    </w:p>
    <w:p>
      <w:pPr>
        <w:ind w:left="140" w:hanging="137"/>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58" w:lineRule="exact"/>
        <w:rPr>
          <w:sz w:val="20"/>
          <w:szCs w:val="20"/>
          <w:color w:val="auto"/>
        </w:rPr>
      </w:pPr>
    </w:p>
    <w:p>
      <w:pPr>
        <w:ind w:left="74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663575</wp:posOffset>
            </wp:positionV>
            <wp:extent cx="155575" cy="122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hanging="173"/>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659130</wp:posOffset>
            </wp:positionV>
            <wp:extent cx="7138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460"/>
        <w:spacing w:after="0"/>
        <w:rPr>
          <w:sz w:val="20"/>
          <w:szCs w:val="20"/>
          <w:color w:val="auto"/>
        </w:rPr>
      </w:pPr>
      <w:r>
        <w:rPr>
          <w:rFonts w:ascii="Arial" w:cs="Arial" w:eastAsia="Arial" w:hAnsi="Arial"/>
          <w:sz w:val="13"/>
          <w:szCs w:val="13"/>
          <w:color w:val="auto"/>
        </w:rPr>
        <w:t>(amounts 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Retained</w:t>
            </w:r>
          </w:p>
        </w:tc>
        <w:tc>
          <w:tcPr>
            <w:tcW w:w="18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3"/>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00"/>
              <w:spacing w:after="0" w:line="114" w:lineRule="exact"/>
              <w:rPr>
                <w:sz w:val="20"/>
                <w:szCs w:val="20"/>
                <w:color w:val="auto"/>
              </w:rPr>
            </w:pPr>
            <w:r>
              <w:rPr>
                <w:rFonts w:ascii="Arial" w:cs="Arial" w:eastAsia="Arial" w:hAnsi="Arial"/>
                <w:sz w:val="13"/>
                <w:szCs w:val="13"/>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20"/>
              <w:spacing w:after="0" w:line="114" w:lineRule="exact"/>
              <w:rPr>
                <w:sz w:val="20"/>
                <w:szCs w:val="20"/>
                <w:color w:val="auto"/>
              </w:rPr>
            </w:pPr>
            <w:r>
              <w:rPr>
                <w:rFonts w:ascii="Arial" w:cs="Arial" w:eastAsia="Arial" w:hAnsi="Arial"/>
                <w:sz w:val="13"/>
                <w:szCs w:val="13"/>
                <w:color w:val="auto"/>
              </w:rPr>
              <w:t>Comprehensive</w:t>
            </w:r>
          </w:p>
        </w:tc>
        <w:tc>
          <w:tcPr>
            <w:tcW w:w="180" w:type="dxa"/>
            <w:vAlign w:val="bottom"/>
          </w:tcPr>
          <w:p>
            <w:pPr>
              <w:spacing w:after="0"/>
              <w:rPr>
                <w:sz w:val="9"/>
                <w:szCs w:val="9"/>
                <w:color w:val="auto"/>
              </w:rPr>
            </w:pPr>
          </w:p>
        </w:tc>
        <w:tc>
          <w:tcPr>
            <w:tcW w:w="800" w:type="dxa"/>
            <w:vAlign w:val="bottom"/>
            <w:gridSpan w:val="2"/>
          </w:tcPr>
          <w:p>
            <w:pPr>
              <w:ind w:left="120"/>
              <w:spacing w:after="0" w:line="114" w:lineRule="exact"/>
              <w:rPr>
                <w:sz w:val="20"/>
                <w:szCs w:val="20"/>
                <w:color w:val="auto"/>
              </w:rPr>
            </w:pPr>
            <w:r>
              <w:rPr>
                <w:rFonts w:ascii="Arial" w:cs="Arial" w:eastAsia="Arial" w:hAnsi="Arial"/>
                <w:sz w:val="13"/>
                <w:szCs w:val="13"/>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88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r>
              <w:rPr>
                <w:rFonts w:ascii="Arial" w:cs="Arial" w:eastAsia="Arial" w:hAnsi="Arial"/>
                <w:sz w:val="8"/>
                <w:szCs w:val="8"/>
                <w:color w:val="auto"/>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Pr>
          <w:p>
            <w:pPr>
              <w:jc w:val="right"/>
              <w:spacing w:after="0"/>
              <w:rPr>
                <w:sz w:val="20"/>
                <w:szCs w:val="20"/>
                <w:color w:val="auto"/>
              </w:rPr>
            </w:pPr>
            <w:r>
              <w:rPr>
                <w:rFonts w:ascii="Arial" w:cs="Arial" w:eastAsia="Arial" w:hAnsi="Arial"/>
                <w:sz w:val="14"/>
                <w:szCs w:val="14"/>
                <w:color w:val="auto"/>
              </w:rPr>
              <w:t>216,656</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779,465</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286,694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(34,842)</w:t>
            </w:r>
          </w:p>
        </w:tc>
        <w:tc>
          <w:tcPr>
            <w:tcW w:w="8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(680,356)</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388,058</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(151,601)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(151,601)</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(11,177)</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3,146</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(6,802)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(161,619)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(165,768)</w:t>
            </w:r>
          </w:p>
        </w:tc>
        <w:tc>
          <w:tcPr>
            <w:tcW w:w="0" w:type="dxa"/>
            <w:vAlign w:val="bottom"/>
          </w:tcPr>
          <w:p>
            <w:pPr>
              <w:spacing w:after="0"/>
              <w:rPr>
                <w:sz w:val="1"/>
                <w:szCs w:val="1"/>
                <w:color w:val="auto"/>
              </w:rPr>
            </w:pPr>
          </w:p>
        </w:tc>
      </w:tr>
      <w:tr>
        <w:trPr>
          <w:trHeight w:val="19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(47,940)</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209,854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2,099</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770,683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(74,757)</w:t>
            </w:r>
          </w:p>
        </w:tc>
        <w:tc>
          <w:tcPr>
            <w:tcW w:w="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(34,342)</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(671,408)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(190,605)</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(190,605)</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(6,589)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(154,778)</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(158,797)</w:t>
            </w:r>
          </w:p>
        </w:tc>
        <w:tc>
          <w:tcPr>
            <w:tcW w:w="0" w:type="dxa"/>
            <w:vAlign w:val="bottom"/>
          </w:tcPr>
          <w:p>
            <w:pPr>
              <w:spacing w:after="0"/>
              <w:rPr>
                <w:sz w:val="1"/>
                <w:szCs w:val="1"/>
                <w:color w:val="auto"/>
              </w:rPr>
            </w:pPr>
          </w:p>
        </w:tc>
      </w:tr>
      <w:tr>
        <w:trPr>
          <w:trHeight w:val="19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203,265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770,661</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(9,433)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(466,856)</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(34,222)</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(669,060)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(372,655)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0" w:hanging="137"/>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The balance of our accumulated other comprehensive income (loss) consists of foreign currency translation adjustments.</w:t>
      </w:r>
    </w:p>
    <w:p>
      <w:pPr>
        <w:ind w:left="140" w:hanging="137"/>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6976745</wp:posOffset>
            </wp:positionH>
            <wp:positionV relativeFrom="paragraph">
              <wp:posOffset>655955</wp:posOffset>
            </wp:positionV>
            <wp:extent cx="16383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83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6960" w:val="left"/>
        </w:tabs>
        <w:rPr>
          <w:sz w:val="20"/>
          <w:szCs w:val="20"/>
          <w:color w:val="auto"/>
        </w:rPr>
      </w:pPr>
      <w:r>
        <w:rPr>
          <w:rFonts w:ascii="Arial" w:cs="Arial" w:eastAsia="Arial" w:hAnsi="Arial"/>
          <w:sz w:val="24"/>
          <w:szCs w:val="24"/>
          <w:b w:val="1"/>
          <w:bCs w:val="1"/>
          <w:color w:val="14AA40"/>
        </w:rPr>
        <w:t>NOTES TO CONSOLIDATED FINANCIAL STATEMENTS</w:t>
      </w:r>
      <w:r>
        <w:rPr>
          <w:sz w:val="20"/>
          <w:szCs w:val="20"/>
          <w:color w:val="auto"/>
        </w:rPr>
        <w:tab/>
      </w:r>
      <w:r>
        <w:rPr>
          <w:rFonts w:ascii="Arial" w:cs="Arial" w:eastAsia="Arial" w:hAnsi="Arial"/>
          <w:sz w:val="20"/>
          <w:szCs w:val="20"/>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 SUMMARY OF SIGNIFICANT ACCOUNTING POLICIES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consolidated balance sheets as of December 31, 2022 and June 30, 2022, the consolidated statements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comprehensive loss for the three and six months ended December 31, 2022 and 2021, the consolidated statements of cash flows for the six months ended December 31, 2022 and 2021, and the consolidated statements of stockholders' equity for the three and six months ended December 31, 2022 and 2021 have been prepared by the Company, without audit. In the opinion of management, all adjustments, which include only normal recurring adjustments, necessary to present fairly the financial position, results of operations, and cash flows as of December 31, 2022 and 2021 and for all periods presented, have been made.</w:t>
      </w:r>
    </w:p>
    <w:p>
      <w:pPr>
        <w:spacing w:after="0" w:line="90"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"H&amp;R Block," "the Company," "we," "our," and "us" are used interchangeably to refer to H&amp;R Block, Inc., to H&amp;R Block, Inc. and its subsidiaries, or to H&amp;R Block, Inc.'s operating subsidiaries, as appropriate to the context.</w:t>
      </w:r>
    </w:p>
    <w:p>
      <w:pPr>
        <w:spacing w:after="0" w:line="8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2022 Annual Report to Shareholders on Form 10-K. All amounts presented herein as of June 30, 2022 or for the year then ended are derived from our Annual Report on Form 10-K.</w:t>
      </w:r>
    </w:p>
    <w:p>
      <w:pPr>
        <w:spacing w:after="0" w:line="71"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b w:val="1"/>
          <w:bCs w:val="1"/>
          <w:color w:val="auto"/>
        </w:rPr>
        <w:t xml:space="preserve">MANAGEMENT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0"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b w:val="1"/>
          <w:bCs w:val="1"/>
          <w:color w:val="auto"/>
        </w:rPr>
        <w:t xml:space="preserve">SEASONALITY OF BUSINESS </w:t>
      </w:r>
      <w:r>
        <w:rPr>
          <w:rFonts w:ascii="Arial" w:cs="Arial" w:eastAsia="Arial" w:hAnsi="Arial"/>
          <w:sz w:val="17"/>
          <w:szCs w:val="17"/>
          <w:color w:val="auto"/>
        </w:rPr>
        <w:t>– Our operating revenues are seasonal in nature with peak revenues typically occurring in the months of</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through April. Therefore, results for interim periods are not indicative of results to be expected for the full year.</w:t>
      </w:r>
    </w:p>
    <w:p>
      <w:pPr>
        <w:spacing w:after="0" w:line="43"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Our discontinued operations include the results of operations of Sand Canyon Corporation, previously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Option One Mortgage Corporation (including its subsidiaries, collectively, SCC), which exited its mortgage business in fiscal year 2008.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9</w:t>
      </w:r>
      <w:r>
        <w:rPr>
          <w:rFonts w:ascii="Arial" w:cs="Arial" w:eastAsia="Arial" w:hAnsi="Arial"/>
          <w:sz w:val="17"/>
          <w:szCs w:val="17"/>
          <w:color w:val="0000FF"/>
        </w:rPr>
        <w:t xml:space="preserve"> </w:t>
      </w:r>
      <w:r>
        <w:rPr>
          <w:rFonts w:ascii="Arial" w:cs="Arial" w:eastAsia="Arial" w:hAnsi="Arial"/>
          <w:sz w:val="17"/>
          <w:szCs w:val="17"/>
          <w:color w:val="000000"/>
        </w:rPr>
        <w:t>for additional information on loss contingencies related to our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212725"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hanging="228"/>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2: REVENUE RECOGNITION</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4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5"/>
          </w:tcPr>
          <w:p>
            <w:pPr>
              <w:ind w:left="180"/>
              <w:spacing w:after="0"/>
              <w:rPr>
                <w:sz w:val="20"/>
                <w:szCs w:val="20"/>
                <w:color w:val="auto"/>
              </w:rPr>
            </w:pPr>
            <w:r>
              <w:rPr>
                <w:rFonts w:ascii="Arial" w:cs="Arial" w:eastAsia="Arial" w:hAnsi="Arial"/>
                <w:sz w:val="15"/>
                <w:szCs w:val="15"/>
                <w:color w:val="auto"/>
              </w:rPr>
              <w:t>Three months ended December 31,</w:t>
            </w:r>
          </w:p>
        </w:tc>
        <w:tc>
          <w:tcPr>
            <w:tcW w:w="320" w:type="dxa"/>
            <w:vAlign w:val="bottom"/>
          </w:tcPr>
          <w:p>
            <w:pPr>
              <w:spacing w:after="0"/>
              <w:rPr>
                <w:sz w:val="17"/>
                <w:szCs w:val="17"/>
                <w:color w:val="auto"/>
              </w:rPr>
            </w:pPr>
          </w:p>
        </w:tc>
        <w:tc>
          <w:tcPr>
            <w:tcW w:w="3020" w:type="dxa"/>
            <w:vAlign w:val="bottom"/>
            <w:gridSpan w:val="4"/>
          </w:tcPr>
          <w:p>
            <w:pPr>
              <w:jc w:val="right"/>
              <w:ind w:right="463"/>
              <w:spacing w:after="0"/>
              <w:rPr>
                <w:sz w:val="20"/>
                <w:szCs w:val="20"/>
                <w:color w:val="auto"/>
              </w:rPr>
            </w:pPr>
            <w:r>
              <w:rPr>
                <w:rFonts w:ascii="Arial" w:cs="Arial" w:eastAsia="Arial" w:hAnsi="Arial"/>
                <w:sz w:val="15"/>
                <w:szCs w:val="15"/>
                <w:color w:val="auto"/>
              </w:rPr>
              <w:t>Six months ended December 31,</w:t>
            </w:r>
          </w:p>
        </w:tc>
      </w:tr>
      <w:tr>
        <w:trPr>
          <w:trHeight w:val="201"/>
        </w:trPr>
        <w:tc>
          <w:tcPr>
            <w:tcW w:w="4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8"/>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assisted tax preparation</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41,216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30,845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77,528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64,452</w:t>
            </w:r>
          </w:p>
        </w:tc>
      </w:tr>
      <w:tr>
        <w:trPr>
          <w:trHeight w:val="205"/>
        </w:trPr>
        <w:tc>
          <w:tcPr>
            <w:tcW w:w="4460" w:type="dxa"/>
            <w:vAlign w:val="bottom"/>
            <w:gridSpan w:val="2"/>
          </w:tcPr>
          <w:p>
            <w:pPr>
              <w:ind w:left="140"/>
              <w:spacing w:after="0"/>
              <w:rPr>
                <w:sz w:val="20"/>
                <w:szCs w:val="20"/>
                <w:color w:val="auto"/>
              </w:rPr>
            </w:pPr>
            <w:r>
              <w:rPr>
                <w:rFonts w:ascii="Arial" w:cs="Arial" w:eastAsia="Arial" w:hAnsi="Arial"/>
                <w:sz w:val="15"/>
                <w:szCs w:val="15"/>
                <w:color w:val="auto"/>
              </w:rPr>
              <w:t>U.S. royalties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4,946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3,404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11,174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10,762</w:t>
            </w:r>
          </w:p>
        </w:tc>
      </w:tr>
      <w:tr>
        <w:trPr>
          <w:trHeight w:val="207"/>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DIY tax preparation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12,150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15,308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13,271</w:t>
            </w:r>
          </w:p>
        </w:tc>
      </w:tr>
      <w:tr>
        <w:trPr>
          <w:trHeight w:val="205"/>
        </w:trPr>
        <w:tc>
          <w:tcPr>
            <w:tcW w:w="4460" w:type="dxa"/>
            <w:vAlign w:val="bottom"/>
            <w:gridSpan w:val="2"/>
          </w:tcPr>
          <w:p>
            <w:pPr>
              <w:ind w:left="140"/>
              <w:spacing w:after="0"/>
              <w:rPr>
                <w:sz w:val="20"/>
                <w:szCs w:val="20"/>
                <w:color w:val="auto"/>
              </w:rPr>
            </w:pPr>
            <w:r>
              <w:rPr>
                <w:rFonts w:ascii="Arial" w:cs="Arial" w:eastAsia="Arial" w:hAnsi="Arial"/>
                <w:sz w:val="15"/>
                <w:szCs w:val="15"/>
                <w:color w:val="auto"/>
              </w:rPr>
              <w:t>Refund Transfers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1,542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2,826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2,442</w:t>
            </w:r>
          </w:p>
        </w:tc>
      </w:tr>
      <w:tr>
        <w:trPr>
          <w:trHeight w:val="207"/>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Peace of Mind® Extended Service Plan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17,320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42,090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42,151</w:t>
            </w:r>
          </w:p>
        </w:tc>
      </w:tr>
      <w:tr>
        <w:trPr>
          <w:trHeight w:val="205"/>
        </w:trPr>
        <w:tc>
          <w:tcPr>
            <w:tcW w:w="4460" w:type="dxa"/>
            <w:vAlign w:val="bottom"/>
            <w:gridSpan w:val="2"/>
          </w:tcPr>
          <w:p>
            <w:pPr>
              <w:ind w:left="140"/>
              <w:spacing w:after="0"/>
              <w:rPr>
                <w:sz w:val="20"/>
                <w:szCs w:val="20"/>
                <w:color w:val="auto"/>
              </w:rPr>
            </w:pPr>
            <w:r>
              <w:rPr>
                <w:rFonts w:ascii="Arial" w:cs="Arial" w:eastAsia="Arial" w:hAnsi="Arial"/>
                <w:sz w:val="15"/>
                <w:szCs w:val="15"/>
                <w:color w:val="auto"/>
              </w:rPr>
              <w:t>Tax Identity Shield®</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5,350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5,200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10,517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10,353</w:t>
            </w:r>
          </w:p>
        </w:tc>
      </w:tr>
      <w:tr>
        <w:trPr>
          <w:trHeight w:val="207"/>
        </w:trPr>
        <w:tc>
          <w:tcPr>
            <w:tcW w:w="446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24,090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53,088</w:t>
            </w:r>
          </w:p>
        </w:tc>
      </w:tr>
      <w:tr>
        <w:trPr>
          <w:trHeight w:val="206"/>
        </w:trPr>
        <w:tc>
          <w:tcPr>
            <w:tcW w:w="44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20"/>
                <w:szCs w:val="20"/>
                <w:color w:val="auto"/>
                <w:vertAlign w:val="superscript"/>
              </w:rPr>
              <w:t>SM</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12,903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12,424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13,517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12,903</w:t>
            </w:r>
          </w:p>
        </w:tc>
      </w:tr>
      <w:tr>
        <w:trPr>
          <w:trHeight w:val="20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28,046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27,907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86,880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86,232</w:t>
            </w:r>
          </w:p>
        </w:tc>
      </w:tr>
      <w:tr>
        <w:trPr>
          <w:trHeight w:val="205"/>
        </w:trPr>
        <w:tc>
          <w:tcPr>
            <w:tcW w:w="4460" w:type="dxa"/>
            <w:vAlign w:val="bottom"/>
            <w:gridSpan w:val="2"/>
          </w:tcPr>
          <w:p>
            <w:pPr>
              <w:ind w:left="140"/>
              <w:spacing w:after="0"/>
              <w:rPr>
                <w:sz w:val="20"/>
                <w:szCs w:val="20"/>
                <w:color w:val="auto"/>
              </w:rPr>
            </w:pPr>
            <w:r>
              <w:rPr>
                <w:rFonts w:ascii="Arial" w:cs="Arial" w:eastAsia="Arial" w:hAnsi="Arial"/>
                <w:sz w:val="15"/>
                <w:szCs w:val="15"/>
                <w:color w:val="auto"/>
              </w:rPr>
              <w:t>Wave</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21,941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19,497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44,587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38,634</w:t>
            </w:r>
          </w:p>
        </w:tc>
      </w:tr>
      <w:tr>
        <w:trPr>
          <w:trHeight w:val="206"/>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8,513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7,407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17,873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17,152</w:t>
            </w:r>
          </w:p>
        </w:tc>
      </w:tr>
      <w:tr>
        <w:trPr>
          <w:trHeight w:val="237"/>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revenues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166,405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158,816</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346,390</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351,440</w:t>
            </w:r>
          </w:p>
        </w:tc>
      </w:tr>
      <w:tr>
        <w:trPr>
          <w:trHeight w:val="20"/>
        </w:trPr>
        <w:tc>
          <w:tcPr>
            <w:tcW w:w="43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Changes in the balances of deferred revenue and wages for our Peace of Mind® Extended Service Plan (POM)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POM</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Revenue</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Wages</w:t>
            </w:r>
          </w:p>
        </w:tc>
      </w:tr>
      <w:tr>
        <w:trPr>
          <w:trHeight w:val="19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Six months ended December 31,</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Balance, beginning of the period</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173,486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172,759</w:t>
            </w:r>
          </w:p>
        </w:tc>
        <w:tc>
          <w:tcPr>
            <w:tcW w:w="12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19,495</w:t>
            </w:r>
          </w:p>
        </w:tc>
        <w:tc>
          <w:tcPr>
            <w:tcW w:w="1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17,867</w:t>
            </w:r>
          </w:p>
        </w:tc>
      </w:tr>
      <w:tr>
        <w:trPr>
          <w:trHeight w:val="20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Amounts deferred</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5"/>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Amounts recognized on previous deferrals</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(47,811)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(49,034)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(4,805)</w:t>
            </w:r>
          </w:p>
        </w:tc>
      </w:tr>
      <w:tr>
        <w:trPr>
          <w:trHeight w:val="20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128,937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126,686</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14,493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13,072</w:t>
            </w:r>
          </w:p>
        </w:tc>
      </w:tr>
      <w:tr>
        <w:trPr>
          <w:trHeight w:val="32"/>
        </w:trPr>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As of December 31, 2022, deferred revenue related to POM was $128.9 million. We expect that $94.8 million will be recognized over the next twelve months, while the remaining balance will be recognized over the following five years.</w:t>
      </w:r>
    </w:p>
    <w:p>
      <w:pPr>
        <w:spacing w:after="0" w:line="84"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As of December 31, 2022 and 2021, Tax Identity Shield® (TIS) deferred revenue was $16.8 million and $18.5 million, respectively. Deferred revenue related to TIS was $25.8 million and $28.3 million as of June 30, 2022 and June 30, 2021, respectively. All deferred revenue related to TIS will be recognized by April 2023.</w:t>
      </w:r>
    </w:p>
    <w:p>
      <w:pPr>
        <w:spacing w:after="0" w:line="6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3: EARNINGS PER SHARE AND STOCKHOLDERS' EQUITY</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Basic and diluted earnings (loss) per share is computed using the two-class method. The two-class method is an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4.5 million shares for the three and six months ended December 31, 2022 and 5.1 million shares for the three and six months ended December 31, 2021, as the effect would be antidilutive due to the net loss from continuing operations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606425</wp:posOffset>
            </wp:positionV>
            <wp:extent cx="22098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sz w:val="20"/>
          <w:szCs w:val="20"/>
          <w:color w:val="auto"/>
        </w:rPr>
        <w:tab/>
      </w:r>
      <w:r>
        <w:rPr>
          <w:rFonts w:ascii="Arial" w:cs="Arial" w:eastAsia="Arial" w:hAnsi="Arial"/>
          <w:sz w:val="10"/>
          <w:szCs w:val="10"/>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computations of basic and diluted earnings (loss) per share from continuing operations are as follows:</w:t>
      </w:r>
    </w:p>
    <w:p>
      <w:pPr>
        <w:spacing w:after="0" w:line="145" w:lineRule="exact"/>
        <w:rPr>
          <w:sz w:val="20"/>
          <w:szCs w:val="20"/>
          <w:color w:val="auto"/>
        </w:rPr>
      </w:pPr>
    </w:p>
    <w:p>
      <w:pPr>
        <w:ind w:left="9000"/>
        <w:spacing w:after="0"/>
        <w:rPr>
          <w:sz w:val="20"/>
          <w:szCs w:val="20"/>
          <w:color w:val="auto"/>
        </w:rPr>
      </w:pPr>
      <w:r>
        <w:rPr>
          <w:rFonts w:ascii="Arial" w:cs="Arial" w:eastAsia="Arial" w:hAnsi="Arial"/>
          <w:sz w:val="13"/>
          <w:szCs w:val="13"/>
          <w:color w:val="auto"/>
        </w:rPr>
        <w:t>(in 000s,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160"/>
              <w:spacing w:after="0"/>
              <w:rPr>
                <w:sz w:val="20"/>
                <w:szCs w:val="20"/>
                <w:color w:val="auto"/>
              </w:rPr>
            </w:pPr>
            <w:r>
              <w:rPr>
                <w:rFonts w:ascii="Arial" w:cs="Arial" w:eastAsia="Arial" w:hAnsi="Arial"/>
                <w:sz w:val="15"/>
                <w:szCs w:val="15"/>
                <w:color w:val="auto"/>
              </w:rPr>
              <w:t>Three months ended December 31,</w:t>
            </w:r>
          </w:p>
        </w:tc>
        <w:tc>
          <w:tcPr>
            <w:tcW w:w="3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423"/>
              <w:spacing w:after="0"/>
              <w:rPr>
                <w:sz w:val="20"/>
                <w:szCs w:val="20"/>
                <w:color w:val="auto"/>
              </w:rPr>
            </w:pPr>
            <w:r>
              <w:rPr>
                <w:rFonts w:ascii="Arial" w:cs="Arial" w:eastAsia="Arial" w:hAnsi="Arial"/>
                <w:sz w:val="15"/>
                <w:szCs w:val="15"/>
                <w:color w:val="auto"/>
              </w:rPr>
              <w:t>Six months ended December 31,</w:t>
            </w:r>
          </w:p>
        </w:tc>
        <w:tc>
          <w:tcPr>
            <w:tcW w:w="0" w:type="dxa"/>
            <w:vAlign w:val="bottom"/>
          </w:tcPr>
          <w:p>
            <w:pPr>
              <w:spacing w:after="0"/>
              <w:rPr>
                <w:sz w:val="1"/>
                <w:szCs w:val="1"/>
                <w:color w:val="auto"/>
              </w:rPr>
            </w:pPr>
          </w:p>
        </w:tc>
      </w:tr>
      <w:tr>
        <w:trPr>
          <w:trHeight w:val="201"/>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9"/>
        </w:trPr>
        <w:tc>
          <w:tcPr>
            <w:tcW w:w="4600" w:type="dxa"/>
            <w:vAlign w:val="bottom"/>
          </w:tcPr>
          <w:p>
            <w:pPr>
              <w:ind w:left="20"/>
              <w:spacing w:after="0"/>
              <w:rPr>
                <w:sz w:val="20"/>
                <w:szCs w:val="20"/>
                <w:color w:val="auto"/>
              </w:rPr>
            </w:pPr>
            <w:r>
              <w:rPr>
                <w:rFonts w:ascii="Arial" w:cs="Arial" w:eastAsia="Arial" w:hAnsi="Arial"/>
                <w:sz w:val="15"/>
                <w:szCs w:val="15"/>
                <w:color w:val="auto"/>
              </w:rPr>
              <w:t>Net loss from continuing operations attributable to shareholders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b w:val="1"/>
                <w:bCs w:val="1"/>
                <w:color w:val="auto"/>
              </w:rPr>
              <w:t>(220,863)</w:t>
            </w:r>
          </w:p>
        </w:tc>
        <w:tc>
          <w:tcPr>
            <w:tcW w:w="8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(189,073)</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(388,230)</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(339,018)</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allocated to participating securities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49"/>
        </w:trPr>
        <w:tc>
          <w:tcPr>
            <w:tcW w:w="4600" w:type="dxa"/>
            <w:vAlign w:val="bottom"/>
          </w:tcPr>
          <w:p>
            <w:pPr>
              <w:ind w:left="20"/>
              <w:spacing w:after="0" w:line="149" w:lineRule="exact"/>
              <w:rPr>
                <w:sz w:val="20"/>
                <w:szCs w:val="20"/>
                <w:color w:val="auto"/>
              </w:rPr>
            </w:pPr>
            <w:r>
              <w:rPr>
                <w:rFonts w:ascii="Arial" w:cs="Arial" w:eastAsia="Arial" w:hAnsi="Arial"/>
                <w:sz w:val="15"/>
                <w:szCs w:val="15"/>
                <w:color w:val="auto"/>
              </w:rPr>
              <w:t>Net loss from continuing operations attributable to common</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(221,055)</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(388,601)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shareholders</w:t>
            </w:r>
          </w:p>
        </w:tc>
        <w:tc>
          <w:tcPr>
            <w:tcW w:w="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(189,283)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(339,467)</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154,119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173,378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156,701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175,739</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rPr>
                <w:sz w:val="20"/>
                <w:szCs w:val="20"/>
                <w:color w:val="auto"/>
              </w:rPr>
            </w:pPr>
            <w:r>
              <w:rPr>
                <w:rFonts w:ascii="Arial" w:cs="Arial" w:eastAsia="Arial" w:hAnsi="Arial"/>
                <w:sz w:val="15"/>
                <w:szCs w:val="15"/>
                <w:color w:val="auto"/>
              </w:rPr>
              <w:t>Potential dilutive shares</w:t>
            </w:r>
          </w:p>
        </w:tc>
        <w:tc>
          <w:tcPr>
            <w:tcW w:w="26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Dilutive weighted average common shares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154,119</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173,378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156,701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175,739</w:t>
            </w:r>
          </w:p>
        </w:tc>
        <w:tc>
          <w:tcPr>
            <w:tcW w:w="0" w:type="dxa"/>
            <w:vAlign w:val="bottom"/>
          </w:tcPr>
          <w:p>
            <w:pPr>
              <w:spacing w:after="0"/>
              <w:rPr>
                <w:sz w:val="1"/>
                <w:szCs w:val="1"/>
                <w:color w:val="auto"/>
              </w:rPr>
            </w:pPr>
          </w:p>
        </w:tc>
      </w:tr>
      <w:tr>
        <w:trPr>
          <w:trHeight w:val="149"/>
        </w:trPr>
        <w:tc>
          <w:tcPr>
            <w:tcW w:w="4600" w:type="dxa"/>
            <w:vAlign w:val="bottom"/>
          </w:tcPr>
          <w:p>
            <w:pPr>
              <w:ind w:left="20"/>
              <w:spacing w:after="0" w:line="149" w:lineRule="exact"/>
              <w:rPr>
                <w:sz w:val="20"/>
                <w:szCs w:val="20"/>
                <w:color w:val="auto"/>
              </w:rPr>
            </w:pPr>
            <w:r>
              <w:rPr>
                <w:rFonts w:ascii="Arial" w:cs="Arial" w:eastAsia="Arial" w:hAnsi="Arial"/>
                <w:sz w:val="15"/>
                <w:szCs w:val="15"/>
                <w:color w:val="auto"/>
              </w:rPr>
              <w:t>Loss per share from continuing operations attributable to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80"/>
              <w:spacing w:after="0"/>
              <w:rPr>
                <w:sz w:val="20"/>
                <w:szCs w:val="20"/>
                <w:color w:val="auto"/>
              </w:rPr>
            </w:pPr>
            <w:r>
              <w:rPr>
                <w:rFonts w:ascii="Arial" w:cs="Arial" w:eastAsia="Arial" w:hAnsi="Arial"/>
                <w:sz w:val="15"/>
                <w:szCs w:val="15"/>
                <w:color w:val="auto"/>
              </w:rPr>
              <w:t>common shareholders: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Diluted</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(1.43)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(2.48)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4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decrease in the weighted average shares outstanding is due to share repurchases completed in the current and prior fiscal years.</w:t>
      </w:r>
    </w:p>
    <w:p>
      <w:pPr>
        <w:spacing w:after="0" w:line="94" w:lineRule="exact"/>
        <w:rPr>
          <w:sz w:val="20"/>
          <w:szCs w:val="20"/>
          <w:color w:val="auto"/>
        </w:rPr>
      </w:pPr>
    </w:p>
    <w:p>
      <w:pPr>
        <w:jc w:val="both"/>
        <w:ind w:firstLine="232"/>
        <w:spacing w:after="0" w:line="26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During the six months ended December 31, 2022, we granted 1.0 million shares under our stock-based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plan. We granted awards of 1.5 million shares under our stock-based compensation plans during the six months ended December 31, 2021. Stock-based compensation expense of our continuing operations totaled $10.2 million and $17.9 million for the three and six months ended December 31, 2022, respectively, and $6.4 million and $13.2 million for the three and six months ended December 31, 2021, respectively. As of December 31, 2022, unrecognized compensation cost for stock options totaled $0.3 million, and for nonvested shares and units totaled $66.9 million.</w:t>
      </w:r>
    </w:p>
    <w:p>
      <w:pPr>
        <w:spacing w:after="0" w:line="270"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4: RECEIVABLES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Receivables, net of their related allowance,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5"/>
                <w:szCs w:val="15"/>
                <w:b w:val="1"/>
                <w:bCs w:val="1"/>
                <w:color w:val="auto"/>
              </w:rPr>
              <w:t>December 31, 2022</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color w:val="auto"/>
              </w:rPr>
              <w:t>June 30, 2022</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5"/>
                <w:szCs w:val="15"/>
                <w:color w:val="auto"/>
              </w:rPr>
              <w:t>Short-term</w:t>
            </w:r>
          </w:p>
        </w:tc>
        <w:tc>
          <w:tcPr>
            <w:tcW w:w="80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color w:val="auto"/>
              </w:rPr>
              <w:t>Long-term</w:t>
            </w:r>
          </w:p>
        </w:tc>
        <w:tc>
          <w:tcPr>
            <w:tcW w:w="52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5"/>
                <w:szCs w:val="15"/>
                <w:color w:val="auto"/>
              </w:rPr>
              <w:t>Short-term</w:t>
            </w: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201"/>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Loans to franchisees</w:t>
            </w: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16,304</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6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26,587</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6,194</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ind w:right="503"/>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22,036</w:t>
            </w:r>
          </w:p>
        </w:tc>
        <w:tc>
          <w:tcPr>
            <w:tcW w:w="0" w:type="dxa"/>
            <w:vAlign w:val="bottom"/>
          </w:tcPr>
          <w:p>
            <w:pPr>
              <w:spacing w:after="0"/>
              <w:rPr>
                <w:sz w:val="1"/>
                <w:szCs w:val="1"/>
                <w:color w:val="auto"/>
              </w:rPr>
            </w:pPr>
          </w:p>
        </w:tc>
      </w:tr>
      <w:tr>
        <w:trPr>
          <w:trHeight w:val="171"/>
        </w:trPr>
        <w:tc>
          <w:tcPr>
            <w:tcW w:w="42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5"/>
                <w:szCs w:val="15"/>
                <w:color w:val="auto"/>
              </w:rPr>
              <w:t>Receivables for U.S. assisted and DIY tax preparation and</w:t>
            </w:r>
          </w:p>
        </w:tc>
        <w:tc>
          <w:tcPr>
            <w:tcW w:w="5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10,427</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2,182</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related fees</w:t>
            </w:r>
          </w:p>
        </w:tc>
        <w:tc>
          <w:tcPr>
            <w:tcW w:w="5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18,893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206"/>
        </w:trPr>
        <w:tc>
          <w:tcPr>
            <w:tcW w:w="42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H&amp;R Block's Instant Refund</w:t>
            </w:r>
            <w:r>
              <w:rPr>
                <w:rFonts w:ascii="Arial" w:cs="Arial" w:eastAsia="Arial" w:hAnsi="Arial"/>
                <w:sz w:val="20"/>
                <w:szCs w:val="20"/>
                <w:color w:val="auto"/>
                <w:vertAlign w:val="superscript"/>
              </w:rPr>
              <w:t>SM</w:t>
            </w:r>
            <w:r>
              <w:rPr>
                <w:rFonts w:ascii="Arial" w:cs="Arial" w:eastAsia="Arial" w:hAnsi="Arial"/>
                <w:sz w:val="15"/>
                <w:szCs w:val="15"/>
                <w:color w:val="auto"/>
              </w:rPr>
              <w:t xml:space="preserve"> receivables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1,193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103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3,491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H&amp;R Block Emerald Advance® lines of credit</w:t>
            </w: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268,623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2,923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6,691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8,825</w:t>
            </w:r>
          </w:p>
        </w:tc>
        <w:tc>
          <w:tcPr>
            <w:tcW w:w="0" w:type="dxa"/>
            <w:vAlign w:val="bottom"/>
          </w:tcPr>
          <w:p>
            <w:pPr>
              <w:spacing w:after="0"/>
              <w:rPr>
                <w:sz w:val="1"/>
                <w:szCs w:val="1"/>
                <w:color w:val="auto"/>
              </w:rPr>
            </w:pPr>
          </w:p>
        </w:tc>
      </w:tr>
      <w:tr>
        <w:trPr>
          <w:trHeight w:val="205"/>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Software receivables from retailers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2,165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3,992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Royalties and other receivables from franchisees</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6,380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3,682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5"/>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Wave payment processing receivables</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1,024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1,393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22,500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1,528</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14,111</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328,616</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33,323</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58,447</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Balances presented above as short-term are included in receivables, while the long-term portions are included in other noncurrent assets in the consolidated balance sheets.</w:t>
      </w:r>
    </w:p>
    <w:p>
      <w:pPr>
        <w:spacing w:after="0" w:line="64"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b w:val="1"/>
          <w:bCs w:val="1"/>
          <w:color w:val="auto"/>
        </w:rPr>
        <w:t xml:space="preserve">LOANS TO FRANCHISEES </w:t>
      </w:r>
      <w:r>
        <w:rPr>
          <w:rFonts w:ascii="Arial" w:cs="Arial" w:eastAsia="Arial" w:hAnsi="Arial"/>
          <w:sz w:val="17"/>
          <w:szCs w:val="17"/>
          <w:color w:val="auto"/>
        </w:rPr>
        <w:t>– Franchisee loan balances consist of term loans made primarily to finance the purchase of franchises and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lines of credit primarily for the purpose of funding working capital needs.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581025</wp:posOffset>
            </wp:positionV>
            <wp:extent cx="212725"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hanging="228"/>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2022 and June 30, 2022, loans with a principal balance more than 90 days past due, or on non-accrual status, are not material.</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H&amp;R BLOCK'S INSTANT REFUND</w:t>
      </w:r>
      <w:r>
        <w:rPr>
          <w:rFonts w:ascii="Arial" w:cs="Arial" w:eastAsia="Arial" w:hAnsi="Arial"/>
          <w:sz w:val="10"/>
          <w:szCs w:val="10"/>
          <w:b w:val="1"/>
          <w:bCs w:val="1"/>
          <w:color w:val="auto"/>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 H&amp;R Block's Instant Refund</w:t>
      </w:r>
      <w:r>
        <w:rPr>
          <w:rFonts w:ascii="Arial" w:cs="Arial" w:eastAsia="Arial" w:hAnsi="Arial"/>
          <w:sz w:val="10"/>
          <w:szCs w:val="10"/>
          <w:color w:val="auto"/>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are generally received from the Canada Revenue Agency within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60 days of filing the client's return, with the remaining balance collectible from the client.</w:t>
      </w:r>
    </w:p>
    <w:p>
      <w:pPr>
        <w:spacing w:after="0" w:line="114"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tax return year of origination, as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Tax return year of origination</w:t>
            </w:r>
          </w:p>
        </w:tc>
        <w:tc>
          <w:tcPr>
            <w:tcW w:w="5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Current Balance</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5"/>
                <w:szCs w:val="15"/>
                <w:color w:val="auto"/>
              </w:rPr>
              <w:t>More Than 60 Days Past Due</w:t>
            </w:r>
          </w:p>
        </w:tc>
      </w:tr>
      <w:tr>
        <w:trPr>
          <w:trHeight w:val="201"/>
        </w:trPr>
        <w:tc>
          <w:tcPr>
            <w:tcW w:w="6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1,194</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815</w:t>
            </w:r>
          </w:p>
        </w:tc>
      </w:tr>
      <w:tr>
        <w:trPr>
          <w:trHeight w:val="207"/>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2020 and prior</w:t>
            </w:r>
          </w:p>
        </w:tc>
        <w:tc>
          <w:tcPr>
            <w:tcW w:w="5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w:t>
            </w:r>
          </w:p>
        </w:tc>
      </w:tr>
      <w:tr>
        <w:trPr>
          <w:trHeight w:val="198"/>
        </w:trPr>
        <w:tc>
          <w:tcPr>
            <w:tcW w:w="6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1,296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917</w:t>
            </w:r>
          </w:p>
        </w:tc>
      </w:tr>
      <w:tr>
        <w:trPr>
          <w:trHeight w:val="18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5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23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r>
      <w:tr>
        <w:trPr>
          <w:trHeight w:val="20"/>
        </w:trPr>
        <w:tc>
          <w:tcPr>
            <w:tcW w:w="61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6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2300" w:type="dxa"/>
            <w:vAlign w:val="bottom"/>
            <w:tcBorders>
              <w:top w:val="single" w:sz="8" w:color="CCEEFF"/>
            </w:tcBorders>
            <w:shd w:val="clear" w:color="auto" w:fill="000000"/>
          </w:tcPr>
          <w:p>
            <w:pPr>
              <w:spacing w:after="0" w:line="20" w:lineRule="exact"/>
              <w:rPr>
                <w:sz w:val="1"/>
                <w:szCs w:val="1"/>
                <w:color w:val="auto"/>
              </w:rPr>
            </w:pPr>
          </w:p>
        </w:tc>
      </w:tr>
    </w:tbl>
    <w:p>
      <w:pPr>
        <w:spacing w:after="0" w:line="160" w:lineRule="exact"/>
        <w:rPr>
          <w:sz w:val="20"/>
          <w:szCs w:val="20"/>
          <w:color w:val="auto"/>
        </w:rPr>
      </w:pPr>
    </w:p>
    <w:p>
      <w:pPr>
        <w:jc w:val="both"/>
        <w:ind w:firstLine="232"/>
        <w:spacing w:after="0" w:line="241" w:lineRule="auto"/>
        <w:rPr>
          <w:sz w:val="20"/>
          <w:szCs w:val="20"/>
          <w:color w:val="auto"/>
        </w:rPr>
      </w:pPr>
      <w:r>
        <w:rPr>
          <w:rFonts w:ascii="Arial" w:cs="Arial" w:eastAsia="Arial" w:hAnsi="Arial"/>
          <w:sz w:val="17"/>
          <w:szCs w:val="17"/>
          <w:b w:val="1"/>
          <w:bCs w:val="1"/>
          <w:color w:val="auto"/>
        </w:rPr>
        <w:t>H&amp;R BLOCK EMERALD ADVANCE</w:t>
      </w:r>
      <w:r>
        <w:rPr>
          <w:rFonts w:ascii="Arial" w:cs="Arial" w:eastAsia="Arial" w:hAnsi="Arial"/>
          <w:sz w:val="17"/>
          <w:szCs w:val="17"/>
          <w:color w:val="auto"/>
        </w:rPr>
        <w:t>®</w:t>
      </w:r>
      <w:r>
        <w:rPr>
          <w:rFonts w:ascii="Arial" w:cs="Arial" w:eastAsia="Arial" w:hAnsi="Arial"/>
          <w:sz w:val="17"/>
          <w:szCs w:val="17"/>
          <w:b w:val="1"/>
          <w:bCs w:val="1"/>
          <w:color w:val="auto"/>
        </w:rPr>
        <w:t xml:space="preserve"> LINES OF CREDIT </w:t>
      </w:r>
      <w:r>
        <w:rPr>
          <w:rFonts w:ascii="Arial" w:cs="Arial" w:eastAsia="Arial" w:hAnsi="Arial"/>
          <w:sz w:val="17"/>
          <w:szCs w:val="17"/>
          <w:color w:val="auto"/>
        </w:rPr>
        <w:t>– We review the credit quality of our purchased participation interests in Emerald</w:t>
      </w:r>
      <w:r>
        <w:rPr>
          <w:rFonts w:ascii="Arial" w:cs="Arial" w:eastAsia="Arial" w:hAnsi="Arial"/>
          <w:sz w:val="17"/>
          <w:szCs w:val="17"/>
          <w:b w:val="1"/>
          <w:bCs w:val="1"/>
          <w:color w:val="auto"/>
        </w:rPr>
        <w:t xml:space="preserve"> </w:t>
      </w:r>
      <w:r>
        <w:rPr>
          <w:rFonts w:ascii="Arial" w:cs="Arial" w:eastAsia="Arial" w:hAnsi="Arial"/>
          <w:sz w:val="17"/>
          <w:szCs w:val="17"/>
          <w:color w:val="auto"/>
        </w:rPr>
        <w:t>Advance</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(EA) receivables based on pools, which are segregated by the fiscal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fiscal year of origination, as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6780" w:type="dxa"/>
            <w:vAlign w:val="bottom"/>
            <w:gridSpan w:val="2"/>
          </w:tcPr>
          <w:p>
            <w:pPr>
              <w:ind w:left="20"/>
              <w:spacing w:after="0"/>
              <w:rPr>
                <w:sz w:val="20"/>
                <w:szCs w:val="20"/>
                <w:color w:val="auto"/>
              </w:rPr>
            </w:pPr>
            <w:r>
              <w:rPr>
                <w:rFonts w:ascii="Arial" w:cs="Arial" w:eastAsia="Arial" w:hAnsi="Arial"/>
                <w:sz w:val="15"/>
                <w:szCs w:val="15"/>
                <w:color w:val="auto"/>
              </w:rPr>
              <w:t>Fiscal year of origination</w:t>
            </w:r>
          </w:p>
        </w:tc>
        <w:tc>
          <w:tcPr>
            <w:tcW w:w="5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Current Balance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Non-Accrual</w:t>
            </w:r>
          </w:p>
        </w:tc>
      </w:tr>
      <w:tr>
        <w:trPr>
          <w:trHeight w:val="201"/>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2023</w:t>
            </w: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266,271</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0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 and prior</w:t>
            </w:r>
          </w:p>
        </w:tc>
        <w:tc>
          <w:tcPr>
            <w:tcW w:w="5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8,278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8,278</w:t>
            </w:r>
          </w:p>
        </w:tc>
      </w:tr>
      <w:tr>
        <w:trPr>
          <w:trHeight w:val="20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Revolving loans</w:t>
            </w: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23,405</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15,030</w:t>
            </w:r>
          </w:p>
        </w:tc>
      </w:tr>
      <w:tr>
        <w:trPr>
          <w:trHeight w:val="200"/>
        </w:trPr>
        <w:tc>
          <w:tcPr>
            <w:tcW w:w="6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297,954</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23,308</w:t>
            </w:r>
          </w:p>
        </w:tc>
      </w:tr>
      <w:tr>
        <w:trPr>
          <w:trHeight w:val="18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Allowance</w:t>
            </w: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(26,408)</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r>
      <w:tr>
        <w:trPr>
          <w:trHeight w:val="20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balance</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271,546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32"/>
        </w:trPr>
        <w:tc>
          <w:tcPr>
            <w:tcW w:w="6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b w:val="1"/>
          <w:bCs w:val="1"/>
          <w:color w:val="auto"/>
        </w:rPr>
        <w:t xml:space="preserve">ALLOWANCE FOR CREDIT LOSSES </w:t>
      </w:r>
      <w:r>
        <w:rPr>
          <w:rFonts w:ascii="Arial" w:cs="Arial" w:eastAsia="Arial" w:hAnsi="Arial"/>
          <w:sz w:val="17"/>
          <w:szCs w:val="17"/>
          <w:color w:val="auto"/>
        </w:rPr>
        <w:t>– Activity in the allowance for credit losses for our EA and all other short-term and long-term receivables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six months ended December 31, 2022 and 2021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5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EAs</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All Other</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Total</w:t>
            </w:r>
          </w:p>
        </w:tc>
      </w:tr>
      <w:tr>
        <w:trPr>
          <w:trHeight w:val="201"/>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2022</w:t>
            </w:r>
          </w:p>
        </w:tc>
        <w:tc>
          <w:tcPr>
            <w:tcW w:w="640" w:type="dxa"/>
            <w:vAlign w:val="bottom"/>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center"/>
              <w:ind w:left="463"/>
              <w:spacing w:after="0"/>
              <w:rPr>
                <w:sz w:val="20"/>
                <w:szCs w:val="20"/>
                <w:color w:val="auto"/>
              </w:rPr>
            </w:pPr>
            <w:r>
              <w:rPr>
                <w:rFonts w:ascii="Arial" w:cs="Arial" w:eastAsia="Arial" w:hAnsi="Arial"/>
                <w:sz w:val="15"/>
                <w:szCs w:val="15"/>
                <w:b w:val="1"/>
                <w:bCs w:val="1"/>
                <w:color w:val="auto"/>
              </w:rPr>
              <w:t>26,141</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b w:val="1"/>
                <w:bCs w:val="1"/>
                <w:color w:val="auto"/>
              </w:rPr>
              <w:t>51,126</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center"/>
              <w:ind w:left="484"/>
              <w:spacing w:after="0"/>
              <w:rPr>
                <w:sz w:val="20"/>
                <w:szCs w:val="20"/>
                <w:color w:val="auto"/>
              </w:rPr>
            </w:pPr>
            <w:r>
              <w:rPr>
                <w:rFonts w:ascii="Arial" w:cs="Arial" w:eastAsia="Arial" w:hAnsi="Arial"/>
                <w:sz w:val="15"/>
                <w:szCs w:val="15"/>
                <w:b w:val="1"/>
                <w:bCs w:val="1"/>
                <w:color w:val="auto"/>
              </w:rPr>
              <w:t>77,267</w:t>
            </w:r>
          </w:p>
        </w:tc>
      </w:tr>
      <w:tr>
        <w:trPr>
          <w:trHeight w:val="20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63"/>
              <w:spacing w:after="0"/>
              <w:rPr>
                <w:sz w:val="20"/>
                <w:szCs w:val="20"/>
                <w:color w:val="auto"/>
              </w:rPr>
            </w:pPr>
            <w:r>
              <w:rPr>
                <w:rFonts w:ascii="Arial" w:cs="Arial" w:eastAsia="Arial" w:hAnsi="Arial"/>
                <w:sz w:val="15"/>
                <w:szCs w:val="15"/>
                <w:b w:val="1"/>
                <w:bCs w:val="1"/>
                <w:color w:val="auto"/>
              </w:rPr>
              <w:t>15,081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84"/>
              <w:spacing w:after="0"/>
              <w:rPr>
                <w:sz w:val="20"/>
                <w:szCs w:val="20"/>
                <w:color w:val="auto"/>
              </w:rPr>
            </w:pPr>
            <w:r>
              <w:rPr>
                <w:rFonts w:ascii="Arial" w:cs="Arial" w:eastAsia="Arial" w:hAnsi="Arial"/>
                <w:sz w:val="15"/>
                <w:szCs w:val="15"/>
                <w:b w:val="1"/>
                <w:bCs w:val="1"/>
                <w:color w:val="auto"/>
              </w:rPr>
              <w:t>16,581</w:t>
            </w:r>
          </w:p>
        </w:tc>
      </w:tr>
      <w:tr>
        <w:trPr>
          <w:trHeight w:val="205"/>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63"/>
              <w:spacing w:after="0"/>
              <w:rPr>
                <w:sz w:val="20"/>
                <w:szCs w:val="20"/>
                <w:color w:val="auto"/>
              </w:rPr>
            </w:pPr>
            <w:r>
              <w:rPr>
                <w:rFonts w:ascii="Arial" w:cs="Arial" w:eastAsia="Arial" w:hAnsi="Arial"/>
                <w:sz w:val="15"/>
                <w:szCs w:val="15"/>
                <w:b w:val="1"/>
                <w:bCs w:val="1"/>
                <w:color w:val="auto"/>
              </w:rPr>
              <w:t>(14,814)</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(51,429)</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b w:val="1"/>
                <w:bCs w:val="1"/>
                <w:color w:val="auto"/>
              </w:rPr>
              <w:t>(66,243)</w:t>
            </w:r>
          </w:p>
        </w:tc>
      </w:tr>
      <w:tr>
        <w:trPr>
          <w:trHeight w:val="19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December 31, 2022</w:t>
            </w: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center"/>
              <w:ind w:left="463"/>
              <w:spacing w:after="0"/>
              <w:rPr>
                <w:sz w:val="20"/>
                <w:szCs w:val="20"/>
                <w:color w:val="auto"/>
              </w:rPr>
            </w:pPr>
            <w:r>
              <w:rPr>
                <w:rFonts w:ascii="Arial" w:cs="Arial" w:eastAsia="Arial" w:hAnsi="Arial"/>
                <w:sz w:val="15"/>
                <w:szCs w:val="15"/>
                <w:b w:val="1"/>
                <w:bCs w:val="1"/>
                <w:color w:val="auto"/>
              </w:rPr>
              <w:t>26,408</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1,197</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center"/>
              <w:ind w:left="484"/>
              <w:spacing w:after="0"/>
              <w:rPr>
                <w:sz w:val="20"/>
                <w:szCs w:val="20"/>
                <w:color w:val="auto"/>
              </w:rPr>
            </w:pPr>
            <w:r>
              <w:rPr>
                <w:rFonts w:ascii="Arial" w:cs="Arial" w:eastAsia="Arial" w:hAnsi="Arial"/>
                <w:sz w:val="15"/>
                <w:szCs w:val="15"/>
                <w:b w:val="1"/>
                <w:bCs w:val="1"/>
                <w:color w:val="auto"/>
              </w:rPr>
              <w:t>27,605</w:t>
            </w:r>
          </w:p>
        </w:tc>
      </w:tr>
      <w:tr>
        <w:trPr>
          <w:trHeight w:val="198"/>
        </w:trPr>
        <w:tc>
          <w:tcPr>
            <w:tcW w:w="55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2021</w:t>
            </w: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center"/>
              <w:ind w:left="463"/>
              <w:spacing w:after="0"/>
              <w:rPr>
                <w:sz w:val="20"/>
                <w:szCs w:val="20"/>
                <w:color w:val="auto"/>
              </w:rPr>
            </w:pPr>
            <w:r>
              <w:rPr>
                <w:rFonts w:ascii="Arial" w:cs="Arial" w:eastAsia="Arial" w:hAnsi="Arial"/>
                <w:sz w:val="15"/>
                <w:szCs w:val="15"/>
                <w:color w:val="auto"/>
              </w:rPr>
              <w:t>27,704</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60,272</w:t>
            </w:r>
          </w:p>
        </w:tc>
        <w:tc>
          <w:tcPr>
            <w:tcW w:w="120" w:type="dxa"/>
            <w:vAlign w:val="bottom"/>
          </w:tcPr>
          <w:p>
            <w:pPr>
              <w:spacing w:after="0"/>
              <w:rPr>
                <w:sz w:val="17"/>
                <w:szCs w:val="17"/>
                <w:color w:val="auto"/>
              </w:rPr>
            </w:pPr>
          </w:p>
        </w:tc>
        <w:tc>
          <w:tcPr>
            <w:tcW w:w="640" w:type="dxa"/>
            <w:vAlign w:val="bottom"/>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center"/>
              <w:ind w:left="484"/>
              <w:spacing w:after="0"/>
              <w:rPr>
                <w:sz w:val="20"/>
                <w:szCs w:val="20"/>
                <w:color w:val="auto"/>
              </w:rPr>
            </w:pPr>
            <w:r>
              <w:rPr>
                <w:rFonts w:ascii="Arial" w:cs="Arial" w:eastAsia="Arial" w:hAnsi="Arial"/>
                <w:sz w:val="15"/>
                <w:szCs w:val="15"/>
                <w:color w:val="auto"/>
              </w:rPr>
              <w:t>87,976</w:t>
            </w:r>
          </w:p>
        </w:tc>
      </w:tr>
      <w:tr>
        <w:trPr>
          <w:trHeight w:val="20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63"/>
              <w:spacing w:after="0"/>
              <w:rPr>
                <w:sz w:val="20"/>
                <w:szCs w:val="20"/>
                <w:color w:val="auto"/>
              </w:rPr>
            </w:pPr>
            <w:r>
              <w:rPr>
                <w:rFonts w:ascii="Arial" w:cs="Arial" w:eastAsia="Arial" w:hAnsi="Arial"/>
                <w:sz w:val="15"/>
                <w:szCs w:val="15"/>
                <w:color w:val="auto"/>
              </w:rPr>
              <w:t>12,429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2,210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84"/>
              <w:spacing w:after="0"/>
              <w:rPr>
                <w:sz w:val="20"/>
                <w:szCs w:val="20"/>
                <w:color w:val="auto"/>
              </w:rPr>
            </w:pPr>
            <w:r>
              <w:rPr>
                <w:rFonts w:ascii="Arial" w:cs="Arial" w:eastAsia="Arial" w:hAnsi="Arial"/>
                <w:sz w:val="15"/>
                <w:szCs w:val="15"/>
                <w:color w:val="auto"/>
              </w:rPr>
              <w:t>14,639</w:t>
            </w:r>
          </w:p>
        </w:tc>
      </w:tr>
      <w:tr>
        <w:trPr>
          <w:trHeight w:val="203"/>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63"/>
              <w:spacing w:after="0"/>
              <w:rPr>
                <w:sz w:val="20"/>
                <w:szCs w:val="20"/>
                <w:color w:val="auto"/>
              </w:rPr>
            </w:pPr>
            <w:r>
              <w:rPr>
                <w:rFonts w:ascii="Arial" w:cs="Arial" w:eastAsia="Arial" w:hAnsi="Arial"/>
                <w:sz w:val="15"/>
                <w:szCs w:val="15"/>
                <w:color w:val="auto"/>
              </w:rPr>
              <w:t>(16,377)</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(60,437)</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464"/>
              <w:spacing w:after="0"/>
              <w:rPr>
                <w:sz w:val="20"/>
                <w:szCs w:val="20"/>
                <w:color w:val="auto"/>
              </w:rPr>
            </w:pPr>
            <w:r>
              <w:rPr>
                <w:rFonts w:ascii="Arial" w:cs="Arial" w:eastAsia="Arial" w:hAnsi="Arial"/>
                <w:sz w:val="15"/>
                <w:szCs w:val="15"/>
                <w:color w:val="auto"/>
              </w:rPr>
              <w:t>(76,814)</w:t>
            </w:r>
          </w:p>
        </w:tc>
      </w:tr>
      <w:tr>
        <w:trPr>
          <w:trHeight w:val="202"/>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December 31, 2021</w:t>
            </w: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center"/>
              <w:ind w:left="463"/>
              <w:spacing w:after="0"/>
              <w:rPr>
                <w:sz w:val="20"/>
                <w:szCs w:val="20"/>
                <w:color w:val="auto"/>
              </w:rPr>
            </w:pPr>
            <w:r>
              <w:rPr>
                <w:rFonts w:ascii="Arial" w:cs="Arial" w:eastAsia="Arial" w:hAnsi="Arial"/>
                <w:sz w:val="15"/>
                <w:szCs w:val="15"/>
                <w:color w:val="auto"/>
              </w:rPr>
              <w:t>23,756</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2,045</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center"/>
              <w:ind w:left="484"/>
              <w:spacing w:after="0"/>
              <w:rPr>
                <w:sz w:val="20"/>
                <w:szCs w:val="20"/>
                <w:color w:val="auto"/>
              </w:rPr>
            </w:pPr>
            <w:r>
              <w:rPr>
                <w:rFonts w:ascii="Arial" w:cs="Arial" w:eastAsia="Arial" w:hAnsi="Arial"/>
                <w:sz w:val="15"/>
                <w:szCs w:val="15"/>
                <w:color w:val="auto"/>
              </w:rPr>
              <w:t>25,801</w:t>
            </w:r>
          </w:p>
        </w:tc>
      </w:tr>
      <w:tr>
        <w:trPr>
          <w:trHeight w:val="32"/>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794385</wp:posOffset>
            </wp:positionV>
            <wp:extent cx="22098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sz w:val="20"/>
          <w:szCs w:val="20"/>
          <w:color w:val="auto"/>
        </w:rPr>
        <w:tab/>
      </w:r>
      <w:r>
        <w:rPr>
          <w:rFonts w:ascii="Arial" w:cs="Arial" w:eastAsia="Arial" w:hAnsi="Arial"/>
          <w:sz w:val="10"/>
          <w:szCs w:val="10"/>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six months ended December 31, 2022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68"/>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Accumulated Impairment</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4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Losses</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Net</w:t>
            </w:r>
          </w:p>
        </w:tc>
      </w:tr>
      <w:tr>
        <w:trPr>
          <w:trHeight w:val="201"/>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2022</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898,698</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(138,297)</w:t>
            </w:r>
          </w:p>
        </w:tc>
        <w:tc>
          <w:tcPr>
            <w:tcW w:w="100" w:type="dxa"/>
            <w:vAlign w:val="bottom"/>
          </w:tcPr>
          <w:p>
            <w:pPr>
              <w:spacing w:after="0"/>
              <w:rPr>
                <w:sz w:val="17"/>
                <w:szCs w:val="17"/>
                <w:color w:val="auto"/>
              </w:rPr>
            </w:pPr>
          </w:p>
        </w:tc>
        <w:tc>
          <w:tcPr>
            <w:tcW w:w="760" w:type="dxa"/>
            <w:vAlign w:val="bottom"/>
          </w:tcPr>
          <w:p>
            <w:pPr>
              <w:jc w:val="right"/>
              <w:ind w:right="56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760,401</w:t>
            </w:r>
          </w:p>
        </w:tc>
      </w:tr>
      <w:tr>
        <w:trPr>
          <w:trHeight w:val="20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Acquisitions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19,448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19,448</w:t>
            </w:r>
          </w:p>
        </w:tc>
      </w:tr>
      <w:tr>
        <w:trPr>
          <w:trHeight w:val="205"/>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Disposals and foreign currency changes, net</w:t>
            </w:r>
          </w:p>
        </w:tc>
        <w:tc>
          <w:tcPr>
            <w:tcW w:w="7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(15,047)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(15,047)</w:t>
            </w:r>
          </w:p>
        </w:tc>
      </w:tr>
      <w:tr>
        <w:trPr>
          <w:trHeight w:val="20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Impairments</w:t>
            </w:r>
          </w:p>
        </w:tc>
        <w:tc>
          <w:tcPr>
            <w:tcW w:w="7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0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r>
      <w:tr>
        <w:trPr>
          <w:trHeight w:val="237"/>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December 31, 2022</w:t>
            </w:r>
          </w:p>
        </w:tc>
        <w:tc>
          <w:tcPr>
            <w:tcW w:w="7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903,099</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(138,297)</w:t>
            </w:r>
          </w:p>
        </w:tc>
        <w:tc>
          <w:tcPr>
            <w:tcW w:w="10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764,802</w:t>
            </w:r>
          </w:p>
        </w:tc>
      </w:tr>
      <w:tr>
        <w:trPr>
          <w:trHeight w:val="20"/>
        </w:trPr>
        <w:tc>
          <w:tcPr>
            <w:tcW w:w="47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8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test goodwill for impairment annually as of February 1, or more frequently if events occur or circumstances change which would, more likely than not, reduce the fair value of a reporting unit below its carrying value.</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Components of intangible assets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68"/>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Gross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2"/>
          </w:tcPr>
          <w:p>
            <w:pPr>
              <w:jc w:val="right"/>
              <w:ind w:right="120"/>
              <w:spacing w:after="0" w:line="155" w:lineRule="exact"/>
              <w:rPr>
                <w:sz w:val="20"/>
                <w:szCs w:val="20"/>
                <w:color w:val="auto"/>
              </w:rPr>
            </w:pPr>
            <w:r>
              <w:rPr>
                <w:rFonts w:ascii="Arial" w:cs="Arial" w:eastAsia="Arial" w:hAnsi="Arial"/>
                <w:sz w:val="15"/>
                <w:szCs w:val="15"/>
                <w:color w:val="auto"/>
              </w:rPr>
              <w:t>Carrying</w:t>
            </w:r>
          </w:p>
        </w:tc>
        <w:tc>
          <w:tcPr>
            <w:tcW w:w="480" w:type="dxa"/>
            <w:vAlign w:val="bottom"/>
          </w:tcPr>
          <w:p>
            <w:pPr>
              <w:spacing w:after="0"/>
              <w:rPr>
                <w:sz w:val="13"/>
                <w:szCs w:val="13"/>
                <w:color w:val="auto"/>
              </w:rPr>
            </w:pPr>
          </w:p>
        </w:tc>
        <w:tc>
          <w:tcPr>
            <w:tcW w:w="1400" w:type="dxa"/>
            <w:vAlign w:val="bottom"/>
            <w:gridSpan w:val="2"/>
          </w:tcPr>
          <w:p>
            <w:pPr>
              <w:jc w:val="right"/>
              <w:ind w:right="140"/>
              <w:spacing w:after="0" w:line="155" w:lineRule="exact"/>
              <w:rPr>
                <w:sz w:val="20"/>
                <w:szCs w:val="20"/>
                <w:color w:val="auto"/>
              </w:rPr>
            </w:pPr>
            <w:r>
              <w:rPr>
                <w:rFonts w:ascii="Arial" w:cs="Arial" w:eastAsia="Arial" w:hAnsi="Arial"/>
                <w:sz w:val="15"/>
                <w:szCs w:val="15"/>
                <w:color w:val="auto"/>
              </w:rPr>
              <w:t>Accumulated</w:t>
            </w: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9"/>
        </w:trPr>
        <w:tc>
          <w:tcPr>
            <w:tcW w:w="5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Amortization</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Net</w:t>
            </w:r>
          </w:p>
        </w:tc>
      </w:tr>
      <w:tr>
        <w:trPr>
          <w:trHeight w:val="199"/>
        </w:trPr>
        <w:tc>
          <w:tcPr>
            <w:tcW w:w="5720" w:type="dxa"/>
            <w:vAlign w:val="bottom"/>
            <w:gridSpan w:val="2"/>
          </w:tcPr>
          <w:p>
            <w:pPr>
              <w:ind w:left="20"/>
              <w:spacing w:after="0"/>
              <w:rPr>
                <w:sz w:val="20"/>
                <w:szCs w:val="20"/>
                <w:color w:val="auto"/>
              </w:rPr>
            </w:pPr>
            <w:r>
              <w:rPr>
                <w:rFonts w:ascii="Arial" w:cs="Arial" w:eastAsia="Arial" w:hAnsi="Arial"/>
                <w:sz w:val="15"/>
                <w:szCs w:val="15"/>
                <w:color w:val="auto"/>
              </w:rPr>
              <w:t>As of December 31, 2022:</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390,631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(204,396)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186,235</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347,333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(289,397)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57,936</w:t>
            </w:r>
          </w:p>
        </w:tc>
      </w:tr>
      <w:tr>
        <w:trPr>
          <w:trHeight w:val="20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139,528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(118,272)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21,256</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42,413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(38,604)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3,809</w:t>
            </w:r>
          </w:p>
        </w:tc>
      </w:tr>
      <w:tr>
        <w:trPr>
          <w:trHeight w:val="20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Franchise agreements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(18,028)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1,173</w:t>
            </w:r>
          </w:p>
        </w:tc>
      </w:tr>
      <w:tr>
        <w:trPr>
          <w:trHeight w:val="205"/>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Purchased technology</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122,700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(92,340)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30,360</w:t>
            </w:r>
          </w:p>
        </w:tc>
      </w:tr>
      <w:tr>
        <w:trPr>
          <w:trHeight w:val="20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 name</w:t>
            </w:r>
          </w:p>
        </w:tc>
        <w:tc>
          <w:tcPr>
            <w:tcW w:w="5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5,800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3,770</w:t>
            </w:r>
          </w:p>
        </w:tc>
      </w:tr>
      <w:tr>
        <w:trPr>
          <w:trHeight w:val="199"/>
        </w:trPr>
        <w:tc>
          <w:tcPr>
            <w:tcW w:w="5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1,067,606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(763,067)</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304,539</w:t>
            </w:r>
          </w:p>
        </w:tc>
      </w:tr>
      <w:tr>
        <w:trPr>
          <w:trHeight w:val="18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 of June 30, 2022:</w:t>
            </w: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Reacquired franchise rights</w:t>
            </w:r>
          </w:p>
        </w:tc>
        <w:tc>
          <w:tcPr>
            <w:tcW w:w="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379,114</w:t>
            </w:r>
          </w:p>
        </w:tc>
        <w:tc>
          <w:tcPr>
            <w:tcW w:w="12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(197,068)</w:t>
            </w:r>
          </w:p>
        </w:tc>
        <w:tc>
          <w:tcPr>
            <w:tcW w:w="12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182,046</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Customer relationships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331,020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52,303</w:t>
            </w: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Internally-developed software</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137,638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(107,111)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30,527</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Noncompete agreements</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4,105</w:t>
            </w:r>
          </w:p>
        </w:tc>
      </w:tr>
      <w:tr>
        <w:trPr>
          <w:trHeight w:val="203"/>
        </w:trPr>
        <w:tc>
          <w:tcPr>
            <w:tcW w:w="5720" w:type="dxa"/>
            <w:vAlign w:val="bottom"/>
            <w:gridSpan w:val="2"/>
          </w:tcPr>
          <w:p>
            <w:pPr>
              <w:ind w:left="140"/>
              <w:spacing w:after="0"/>
              <w:rPr>
                <w:sz w:val="20"/>
                <w:szCs w:val="20"/>
                <w:color w:val="auto"/>
              </w:rPr>
            </w:pPr>
            <w:r>
              <w:rPr>
                <w:rFonts w:ascii="Arial" w:cs="Arial" w:eastAsia="Arial" w:hAnsi="Arial"/>
                <w:sz w:val="15"/>
                <w:szCs w:val="15"/>
                <w:color w:val="auto"/>
              </w:rPr>
              <w:t>Franchise agreements</w:t>
            </w:r>
          </w:p>
        </w:tc>
        <w:tc>
          <w:tcPr>
            <w:tcW w:w="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19,201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(17,388)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1,813</w:t>
            </w: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(87,910)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34,790</w:t>
            </w:r>
          </w:p>
        </w:tc>
      </w:tr>
      <w:tr>
        <w:trPr>
          <w:trHeight w:val="203"/>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4,060</w:t>
            </w:r>
          </w:p>
        </w:tc>
      </w:tr>
      <w:tr>
        <w:trPr>
          <w:trHeight w:val="202"/>
        </w:trPr>
        <w:tc>
          <w:tcPr>
            <w:tcW w:w="5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1,037,262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(727,618)</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309,644</w:t>
            </w:r>
          </w:p>
        </w:tc>
      </w:tr>
      <w:tr>
        <w:trPr>
          <w:trHeight w:val="32"/>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hanging="266"/>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We made payments to acquire businesses totaling $39.8 million and $19.3 million during the six months ended December 31, 2022 and 2021, respectively. The amounts and weighted-average lives of intangible assets acquired during the six months ended December 31, 2022, including amounts capitalized related to internally-developed software,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2"/>
        </w:trPr>
        <w:tc>
          <w:tcPr>
            <w:tcW w:w="5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8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Weighted-Average Life (in years)</w:t>
            </w:r>
          </w:p>
        </w:tc>
      </w:tr>
      <w:tr>
        <w:trPr>
          <w:trHeight w:val="201"/>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Internally-developed software</w:t>
            </w:r>
          </w:p>
        </w:tc>
        <w:tc>
          <w:tcPr>
            <w:tcW w:w="102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2,082</w:t>
            </w:r>
          </w:p>
        </w:tc>
        <w:tc>
          <w:tcPr>
            <w:tcW w:w="80" w:type="dxa"/>
            <w:vAlign w:val="bottom"/>
          </w:tcPr>
          <w:p>
            <w:pPr>
              <w:spacing w:after="0"/>
              <w:rPr>
                <w:sz w:val="17"/>
                <w:szCs w:val="17"/>
                <w:color w:val="auto"/>
              </w:rPr>
            </w:pPr>
          </w:p>
        </w:tc>
        <w:tc>
          <w:tcPr>
            <w:tcW w:w="3000" w:type="dxa"/>
            <w:vAlign w:val="bottom"/>
          </w:tcPr>
          <w:p>
            <w:pPr>
              <w:jc w:val="right"/>
              <w:ind w:right="1386"/>
              <w:spacing w:after="0"/>
              <w:rPr>
                <w:sz w:val="20"/>
                <w:szCs w:val="20"/>
                <w:color w:val="auto"/>
              </w:rPr>
            </w:pPr>
            <w:r>
              <w:rPr>
                <w:rFonts w:ascii="Arial" w:cs="Arial" w:eastAsia="Arial" w:hAnsi="Arial"/>
                <w:sz w:val="15"/>
                <w:szCs w:val="15"/>
                <w:b w:val="1"/>
                <w:bCs w:val="1"/>
                <w:color w:val="auto"/>
              </w:rPr>
              <w:t>2</w:t>
            </w:r>
          </w:p>
        </w:tc>
      </w:tr>
      <w:tr>
        <w:trPr>
          <w:trHeight w:val="20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0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17,765</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5"/>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Reacquired franchise rights</w:t>
            </w:r>
          </w:p>
        </w:tc>
        <w:tc>
          <w:tcPr>
            <w:tcW w:w="10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11,659</w:t>
            </w:r>
          </w:p>
        </w:tc>
        <w:tc>
          <w:tcPr>
            <w:tcW w:w="3080" w:type="dxa"/>
            <w:vAlign w:val="bottom"/>
            <w:gridSpan w:val="2"/>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Noncompete agreements</w:t>
            </w: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667</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36"/>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32,173</w:t>
            </w:r>
          </w:p>
        </w:tc>
        <w:tc>
          <w:tcPr>
            <w:tcW w:w="3080" w:type="dxa"/>
            <w:vAlign w:val="bottom"/>
            <w:tcBorders>
              <w:bottom w:val="single" w:sz="8" w:color="CCEEFF"/>
            </w:tcBorders>
            <w:gridSpan w:val="2"/>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Amortization of intangible assets for the three and six months ended December 31, 2022 was $18.5 million and $36.9 million, respectively, compared to $19.4 million and $39.2 million for the three and six months ended December 31, 2021, respectively. Estimated amortization of intangible assets for fiscal years ending June 30, 2023, 2024, 2025, 2026, and 2027 is $71.4 million, $53.6 million, $31.4 million, $22.7 million and $16.9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long-term debt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2022</w:t>
            </w:r>
          </w:p>
        </w:tc>
      </w:tr>
      <w:tr>
        <w:trPr>
          <w:trHeight w:val="20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5.250%, due October 2025</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350,000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r>
      <w:tr>
        <w:trPr>
          <w:trHeight w:val="205"/>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Senior Notes, 2.500%, due July 2028</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500,000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7"/>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3.875%, due August 2030</w:t>
            </w: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650,000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650,000</w:t>
            </w:r>
          </w:p>
        </w:tc>
      </w:tr>
      <w:tr>
        <w:trPr>
          <w:trHeight w:val="205"/>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Committed line of credit borrowings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580,000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Debt issuance costs and discounts</w:t>
            </w:r>
          </w:p>
        </w:tc>
        <w:tc>
          <w:tcPr>
            <w:tcW w:w="3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(12,063)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(13,124)</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long-term debt</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2,067,937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1,486,876</w:t>
            </w:r>
          </w:p>
        </w:tc>
      </w:tr>
      <w:tr>
        <w:trPr>
          <w:trHeight w:val="20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Long-term portion</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2,067,937</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1,486,876</w:t>
            </w:r>
          </w:p>
        </w:tc>
      </w:tr>
      <w:tr>
        <w:trPr>
          <w:trHeight w:val="20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Estimated fair value of long-term debt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1,923,000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1,377,000</w:t>
            </w:r>
          </w:p>
        </w:tc>
      </w:tr>
      <w:tr>
        <w:trPr>
          <w:trHeight w:val="52"/>
        </w:trPr>
        <w:tc>
          <w:tcPr>
            <w:tcW w:w="7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7"/>
          <w:szCs w:val="17"/>
          <w:color w:val="auto"/>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spacing w:after="0" w:line="298"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607060</wp:posOffset>
            </wp:positionV>
            <wp:extent cx="220980"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includes provisions for an equity cure which could potentially allow us to independently cure certain defaults. Proceeds under the CLOC may be used for working capital needs or for other general corporate purposes. We were in compliance with these requirements as of December 31, 2022.</w:t>
      </w:r>
    </w:p>
    <w:p>
      <w:pPr>
        <w:spacing w:after="0" w:line="8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had an outstanding balance of $580.0 million under our CLOC and amounts available to borrow were not limited by the debt-to-EBITDA covenant as of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7: INCOME TAXES</w:t>
      </w:r>
    </w:p>
    <w:p>
      <w:pPr>
        <w:spacing w:after="0" w:line="139"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7"/>
          <w:szCs w:val="17"/>
          <w:color w:val="auto"/>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With respect to federal, state and local jurisdictions and countries outside of the U.S., we are typically subject to examination for three to six years after the income tax returns have been filed. On November 7, 2022, the IRS commenced their examination of our 2020 tax return and related carryback claims to tax years 2015 through 2018.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3"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7"/>
          <w:szCs w:val="17"/>
          <w:color w:val="auto"/>
        </w:rPr>
        <w:t>We had gross unrecognized tax benefits of $221.3 million and $232.0 million as of December 31, 2022 and June 30, 2022, respectively. The gross unrecognized tax benefits decreased by $10.7 million during the six months ended December 31, 2022 due to expiration of statutes and settlements with state tax authorities. We believe it is reasonably possible that the balance of unrecognized tax benefits could decrease by approximately $34.0 million within the next twelve months. The anticipated decrease is due to the expiration of statutes of limitations and anticipated closure of various matters currently under examination or in appeals. For such matters where a change in the balance of unrecognized tax benefits is not yet deemed reasonably possible, no estimate has been included.</w:t>
      </w:r>
    </w:p>
    <w:p>
      <w:pPr>
        <w:spacing w:after="0" w:line="95"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Our effective tax rate for continuing operations, including the effects of discrete tax items, was 25.2% and 31.7% for the six months ended December 31, 2022 and 2021, respectively. Discrete items increased the effective tax rate by 1.4% and 10.1% for the six months ended December 31, 2022, and 2021, respectively. A discrete income tax benefit of $7.2 million and $50.0 million were recorded in the six months ended December 31, 2022 and 2021, respectively. The discrete tax benefit recorded in the current period primarily resulted from state statute of limitations expirations and refund interest. The discrete tax benefit recorded in the prior period primarily resulted from federal and state statute of limitations expirations.</w:t>
      </w:r>
    </w:p>
    <w:p>
      <w:pPr>
        <w:spacing w:after="0" w:line="92"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Consistent with prior years, our pretax loss for the six months ended December 31, 2022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six months ended December 31, 2022 reflects management’s estimate of the annual effective tax rate applied to year-to-date loss from continuing operations adjusted for the tax impact of discrete items for the periods presented.</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8: COMMITMENTS AND CONTINGENCIES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$11.7 million and $14.0 million as of December 31, 2022 and June 30, 2022, respectively. The short-term and long-term portions of this liability are included in deferred revenue and other liabilities in the consolidated balance sheets.</w:t>
      </w:r>
    </w:p>
    <w:p>
      <w:pPr>
        <w:spacing w:after="0" w:line="95"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$21.4 million and $12.9 million as of December 31, 2022 and June 30, 2022, respectively, with amounts recorded in deferred revenue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728345</wp:posOffset>
            </wp:positionV>
            <wp:extent cx="21272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hanging="266"/>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liabilities. Should actual results differ from our estimates, future payments made will differ from the above estimate and any differences will be recorded in results from continuing operations.</w:t>
      </w:r>
    </w:p>
    <w:p>
      <w:pPr>
        <w:spacing w:after="0" w:line="84"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have contractual commitments to fund certain franchises with approved revolving lines of credit. Our total obligation under these lines of credit was $21.1 million at December 31, 2022, and net of amounts drawn and outstanding, our remaining commitment to fund totaled $7.4 million.</w:t>
      </w:r>
    </w:p>
    <w:p>
      <w:pPr>
        <w:spacing w:after="0" w:line="84"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7"/>
          <w:szCs w:val="17"/>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six months ended December 31, 2022, we received $12.1 million related to these credits and recognized $3.2 million as an offset to related operating expenses. As of December 31, 2022 and June 30, 2022, we had deferred balances of $13.9 million and $5.1 million, respectively, which is recorded in deferred revenue and other current liabilities.</w:t>
      </w:r>
    </w:p>
    <w:p>
      <w:pPr>
        <w:spacing w:after="0" w:line="82" w:lineRule="exact"/>
        <w:rPr>
          <w:sz w:val="20"/>
          <w:szCs w:val="20"/>
          <w:color w:val="auto"/>
        </w:rPr>
      </w:pPr>
    </w:p>
    <w:p>
      <w:pPr>
        <w:jc w:val="both"/>
        <w:ind w:firstLine="193"/>
        <w:spacing w:after="0" w:line="234" w:lineRule="auto"/>
        <w:rPr>
          <w:sz w:val="20"/>
          <w:szCs w:val="20"/>
          <w:color w:val="auto"/>
        </w:rPr>
      </w:pPr>
      <w:r>
        <w:rPr>
          <w:rFonts w:ascii="Arial" w:cs="Arial" w:eastAsia="Arial" w:hAnsi="Arial"/>
          <w:sz w:val="17"/>
          <w:szCs w:val="17"/>
          <w:color w:val="auto"/>
        </w:rPr>
        <w:t>Emerald Advance</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lines of credit (EAs) are originated by Pathward</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N.A. (Pathward). We purchase a 90% participation interest, at par, in all EAs originated by Pathward in accordance with our participation agreement. At December 31, 2022, the principal balance of purchased participation interests for the current year totaled $270.4 million.</w:t>
      </w:r>
    </w:p>
    <w:p>
      <w:pPr>
        <w:spacing w:after="0" w:line="76"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9: LITIGATION AND OTHER RELATED CONTINGENCIES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spacing w:after="0" w:line="92"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spacing w:after="0" w:line="91"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In addition to litigation and arbitration matters, we are also subject to other loss contingencies arising out of our business activities, including as described below.</w:t>
      </w:r>
    </w:p>
    <w:p>
      <w:pPr>
        <w:spacing w:after="0" w:line="8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1"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December 31, 2022.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607695</wp:posOffset>
            </wp:positionV>
            <wp:extent cx="220980"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cash flows. Our total accrued liabilities were $1.6 million and $1.7 million as of December 31, 2022 and June 30, 2022, respectively.</w:t>
      </w:r>
    </w:p>
    <w:p>
      <w:pPr>
        <w:spacing w:after="0" w:line="11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1"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spacing w:after="0" w:line="92"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December 31, 2022, we believe the estimate of the aggregate range of reasonably possible losses in excess of amounts accrued, where the range of loss can be estimated, is not material.</w:t>
      </w:r>
    </w:p>
    <w:p>
      <w:pPr>
        <w:spacing w:after="0" w:line="91"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1" w:lineRule="exact"/>
        <w:rPr>
          <w:sz w:val="20"/>
          <w:szCs w:val="20"/>
          <w:color w:val="auto"/>
        </w:rPr>
      </w:pPr>
    </w:p>
    <w:p>
      <w:pPr>
        <w:jc w:val="both"/>
        <w:ind w:firstLine="193"/>
        <w:spacing w:after="0" w:line="256" w:lineRule="auto"/>
        <w:rPr>
          <w:sz w:val="20"/>
          <w:szCs w:val="20"/>
          <w:color w:val="auto"/>
        </w:rPr>
      </w:pPr>
      <w:r>
        <w:rPr>
          <w:rFonts w:ascii="Arial" w:cs="Arial" w:eastAsia="Arial" w:hAnsi="Arial"/>
          <w:sz w:val="17"/>
          <w:szCs w:val="17"/>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LITIGATION, CLAIMS OR OTHER LOSS CONTINGENCIES PERTAINING TO CONTINUING OPERATIONS </w:t>
      </w:r>
      <w:r>
        <w:rPr>
          <w:rFonts w:ascii="Arial" w:cs="Arial" w:eastAsia="Arial" w:hAnsi="Arial"/>
          <w:sz w:val="17"/>
          <w:szCs w:val="17"/>
          <w:color w:val="auto"/>
        </w:rPr>
        <w:t>–</w:t>
      </w:r>
    </w:p>
    <w:p>
      <w:pPr>
        <w:spacing w:after="0" w:line="114"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b w:val="1"/>
          <w:bCs w:val="1"/>
          <w:color w:val="auto"/>
        </w:rPr>
        <w:t xml:space="preserve">Free File Litigation. </w:t>
      </w:r>
      <w:r>
        <w:rPr>
          <w:rFonts w:ascii="Arial" w:cs="Arial" w:eastAsia="Arial" w:hAnsi="Arial"/>
          <w:sz w:val="17"/>
          <w:szCs w:val="17"/>
          <w:color w:val="auto"/>
        </w:rPr>
        <w:t>On May 6, 2019, the Los Angeles City Attorney filed a lawsuit on behalf of the People of the State of California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Superior Court of California, County of Los Angeles (Case No. 19STCV15742). The case is styled </w:t>
      </w:r>
      <w:r>
        <w:rPr>
          <w:rFonts w:ascii="Arial" w:cs="Arial" w:eastAsia="Arial" w:hAnsi="Arial"/>
          <w:sz w:val="17"/>
          <w:szCs w:val="17"/>
          <w:i w:val="1"/>
          <w:iCs w:val="1"/>
          <w:color w:val="auto"/>
        </w:rPr>
        <w:t>The People of the State of California v. HRB</w:t>
      </w:r>
      <w:r>
        <w:rPr>
          <w:rFonts w:ascii="Arial" w:cs="Arial" w:eastAsia="Arial" w:hAnsi="Arial"/>
          <w:sz w:val="17"/>
          <w:szCs w:val="17"/>
          <w:color w:val="auto"/>
        </w:rPr>
        <w:t xml:space="preserve"> </w:t>
      </w:r>
      <w:r>
        <w:rPr>
          <w:rFonts w:ascii="Arial" w:cs="Arial" w:eastAsia="Arial" w:hAnsi="Arial"/>
          <w:sz w:val="17"/>
          <w:szCs w:val="17"/>
          <w:i w:val="1"/>
          <w:iCs w:val="1"/>
          <w:color w:val="auto"/>
        </w:rPr>
        <w:t>Digital LLC, et al</w:t>
      </w:r>
      <w:r>
        <w:rPr>
          <w:rFonts w:ascii="Arial" w:cs="Arial" w:eastAsia="Arial" w:hAnsi="Arial"/>
          <w:sz w:val="17"/>
          <w:szCs w:val="17"/>
          <w:color w:val="auto"/>
        </w:rPr>
        <w:t>. The complaint alleges that H&amp;R Block, Inc. and HRB Digital LLC engaged in unfair, fraudulent and deceptive business practices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acts in connection with the IRS Free File Program in violation of the California Unfair Competition Law, California Business and Professions Code §§17200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for summary judgment, which was denied on December 1, 2022. A trial date is set for August 14, 2023. We have not concluded that a loss related to this matter is probable, nor have we accrued a liability related to this matter.</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also received and are responding to certain governmental inquiries relating to the IRS Free File Program.</w:t>
      </w:r>
    </w:p>
    <w:p>
      <w:pPr>
        <w:spacing w:after="0" w:line="9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DISCONTINUED MORTGAGE OPERATIONS </w:t>
      </w:r>
      <w:r>
        <w:rPr>
          <w:rFonts w:ascii="Arial" w:cs="Arial" w:eastAsia="Arial" w:hAnsi="Arial"/>
          <w:sz w:val="17"/>
          <w:szCs w:val="17"/>
          <w:color w:val="auto"/>
        </w:rPr>
        <w:t>– Although SCC ceased its mortgage loan origination activities in December 2007 and sold its</w:t>
      </w:r>
      <w:r>
        <w:rPr>
          <w:rFonts w:ascii="Arial" w:cs="Arial" w:eastAsia="Arial" w:hAnsi="Arial"/>
          <w:sz w:val="17"/>
          <w:szCs w:val="17"/>
          <w:b w:val="1"/>
          <w:bCs w:val="1"/>
          <w:color w:val="auto"/>
        </w:rPr>
        <w:t xml:space="preserve"> </w:t>
      </w:r>
      <w:r>
        <w:rPr>
          <w:rFonts w:ascii="Arial" w:cs="Arial" w:eastAsia="Arial" w:hAnsi="Arial"/>
          <w:sz w:val="17"/>
          <w:szCs w:val="17"/>
          <w:color w:val="auto"/>
        </w:rPr>
        <w:t>loan servicing business in April 2008, SCC or the Company has been and may in the future be, subject to litigation and other loss contingencies, including indemnification and contribution claims, pertaining to SCC's mortgage business activities that occurred prior to such termination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212725"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hanging="266"/>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Parties, including underwriters, depositors, and securitization trustees, have been, remain, or may in the future be, involved in lawsuits, threatened lawsuits, or settlements related to securitization transactions in which SCC participated. A variety of claims are alleged in these matters, including violations of federal and state securities laws and common law fraud, breaches of representations and warranties, or violations of statutory requirements. SCC has received notices of potential indemnification or contribution obligations relating to such matters. Additional lawsuits against the parties to the securitization transactions may be filed in the future, and SCC may receive additional notices of potential indemnification, contribution or similar obligations with respect to existing or new lawsuits or settlements of such lawsuits or other claims. An accrual related to these matters is included in our loss contingency accrual.</w:t>
      </w:r>
    </w:p>
    <w:p>
      <w:pPr>
        <w:spacing w:after="0" w:line="93" w:lineRule="exact"/>
        <w:rPr>
          <w:sz w:val="20"/>
          <w:szCs w:val="20"/>
          <w:color w:val="auto"/>
        </w:rPr>
      </w:pPr>
    </w:p>
    <w:p>
      <w:pPr>
        <w:jc w:val="both"/>
        <w:ind w:firstLine="232"/>
        <w:spacing w:after="0" w:line="254" w:lineRule="auto"/>
        <w:rPr>
          <w:sz w:val="20"/>
          <w:szCs w:val="20"/>
          <w:color w:val="auto"/>
        </w:rPr>
      </w:pPr>
      <w:r>
        <w:rPr>
          <w:rFonts w:ascii="Arial" w:cs="Arial" w:eastAsia="Arial" w:hAnsi="Arial"/>
          <w:sz w:val="17"/>
          <w:szCs w:val="17"/>
          <w:color w:val="auto"/>
        </w:rPr>
        <w:t>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and the indeterminate damages sought. If the amount that SCC is ultimately required to pay with respect to loss contingencies,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also may attempt to assert claims against or seek payment directly from the Company even if SCC's assets exceed its liabilities. SCC's principal assets, as of December 31, 2022, total approximately $267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8"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We are from time to time a party to litigation, arbitration and other loss contingencies not discussed herein arising out of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0"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61" w:lineRule="exact"/>
        <w:rPr>
          <w:sz w:val="20"/>
          <w:szCs w:val="20"/>
          <w:color w:val="auto"/>
        </w:rPr>
      </w:pPr>
    </w:p>
    <w:p>
      <w:pPr>
        <w:jc w:val="both"/>
        <w:ind w:left="1080" w:hanging="1082"/>
        <w:spacing w:after="0" w:line="284" w:lineRule="auto"/>
        <w:tabs>
          <w:tab w:leader="none" w:pos="1060" w:val="left"/>
        </w:tabs>
        <w:rPr>
          <w:sz w:val="20"/>
          <w:szCs w:val="20"/>
          <w:color w:val="auto"/>
        </w:rPr>
      </w:pPr>
      <w:r>
        <w:rPr>
          <w:rFonts w:ascii="Arial" w:cs="Arial" w:eastAsia="Arial" w:hAnsi="Arial"/>
          <w:sz w:val="24"/>
          <w:szCs w:val="24"/>
          <w:b w:val="1"/>
          <w:bCs w:val="1"/>
          <w:color w:val="14AA40"/>
        </w:rPr>
        <w:t>ITEM 2.</w:t>
        <w:tab/>
        <w:t>MANAGEMENT'S DISCUSSION AND ANALYSIS OF FINANCIAL CONDITION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subsidiaries provide assisted and DIY tax preparation solutions through multiple channels (including in-person, online and mobile applications, virtual, and desktop software) and distribute H&amp;R Block-branded products and services, including those of our bank partners,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599440</wp:posOffset>
            </wp:positionV>
            <wp:extent cx="220980"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December 31,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546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41,216</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30,845</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10,371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33.6 %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45.3 %</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12,150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9,210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2,940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31.9 %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98.5 %</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17,320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17,315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5,350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2.9 %</w:t>
            </w:r>
          </w:p>
        </w:tc>
      </w:tr>
      <w:tr>
        <w:trPr>
          <w:trHeight w:val="205"/>
        </w:trPr>
        <w:tc>
          <w:tcPr>
            <w:tcW w:w="5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8,513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14.9 %</w:t>
            </w:r>
          </w:p>
        </w:tc>
      </w:tr>
      <w:tr>
        <w:trPr>
          <w:trHeight w:val="200"/>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91,037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74,158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22.8 %</w:t>
            </w:r>
          </w:p>
        </w:tc>
      </w:tr>
      <w:tr>
        <w:trPr>
          <w:trHeight w:val="203"/>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240"/>
              <w:spacing w:after="0" w:line="209"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12,478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24,830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(49.7)%</w:t>
            </w:r>
          </w:p>
        </w:tc>
      </w:tr>
      <w:tr>
        <w:trPr>
          <w:trHeight w:val="206"/>
        </w:trPr>
        <w:tc>
          <w:tcPr>
            <w:tcW w:w="5460" w:type="dxa"/>
            <w:vAlign w:val="bottom"/>
            <w:tcBorders>
              <w:bottom w:val="single" w:sz="8" w:color="CCEEFF"/>
            </w:tcBorders>
            <w:gridSpan w:val="2"/>
          </w:tcPr>
          <w:p>
            <w:pPr>
              <w:ind w:left="220"/>
              <w:spacing w:after="0" w:line="207" w:lineRule="exact"/>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20"/>
                <w:szCs w:val="20"/>
                <w:color w:val="auto"/>
                <w:vertAlign w:val="superscript"/>
              </w:rPr>
              <w:t>SM</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12,424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25,381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37,254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w:t>
            </w: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28,046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27,907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139</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0.5 %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21,941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19,497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12.5 %</w:t>
            </w:r>
          </w:p>
        </w:tc>
      </w:tr>
      <w:tr>
        <w:trPr>
          <w:trHeight w:val="199"/>
        </w:trPr>
        <w:tc>
          <w:tcPr>
            <w:tcW w:w="54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166,405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158,816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7,589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4.8 %</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76,204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70,058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(6,146)</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(8.8)%</w:t>
            </w:r>
          </w:p>
        </w:tc>
      </w:tr>
      <w:tr>
        <w:trPr>
          <w:trHeight w:val="207"/>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70,530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64,067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205"/>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34,277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30,207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(13.5)%</w:t>
            </w:r>
          </w:p>
        </w:tc>
      </w:tr>
      <w:tr>
        <w:trPr>
          <w:trHeight w:val="200"/>
        </w:trPr>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181,011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164,332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101,173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99,296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(1,877)</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15,142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11.7 %</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32,723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35,631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2,908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8.2 %</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22,416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(64.0)%</w:t>
            </w:r>
          </w:p>
        </w:tc>
      </w:tr>
      <w:tr>
        <w:trPr>
          <w:trHeight w:val="205"/>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97,143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106,050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8.4 %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449,608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436,116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4,185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1,467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2,718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185.3 %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(18,985)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(23,085)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17.8 %</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Pretax loss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(298,003)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(298,918)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0.3 %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(77,140)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(109,845)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(29.8)%</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(220,863)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(189,073)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(31,790)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(16.8)%</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(2,716)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(77.3)%</w:t>
            </w:r>
          </w:p>
        </w:tc>
      </w:tr>
      <w:tr>
        <w:trPr>
          <w:trHeight w:val="19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(223,579)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(190,605)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(17.3)%</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(1.43)</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(0.34)</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(31.2)%</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(31.8)%</w:t>
            </w:r>
          </w:p>
        </w:tc>
      </w:tr>
      <w:tr>
        <w:trPr>
          <w:trHeight w:val="200"/>
        </w:trPr>
        <w:tc>
          <w:tcPr>
            <w:tcW w:w="54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(34.3)%</w:t>
            </w:r>
          </w:p>
        </w:tc>
      </w:tr>
      <w:tr>
        <w:trPr>
          <w:trHeight w:val="238"/>
        </w:trPr>
        <w:tc>
          <w:tcPr>
            <w:tcW w:w="546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38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(246,295)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(240,202)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(6,093)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(2.5)%</w:t>
            </w:r>
          </w:p>
        </w:tc>
      </w:tr>
      <w:tr>
        <w:trPr>
          <w:trHeight w:val="20"/>
        </w:trPr>
        <w:tc>
          <w:tcPr>
            <w:tcW w:w="5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52" w:lineRule="exact"/>
        <w:rPr>
          <w:sz w:val="20"/>
          <w:szCs w:val="20"/>
          <w:color w:val="auto"/>
        </w:rPr>
      </w:pPr>
    </w:p>
    <w:p>
      <w:pPr>
        <w:ind w:left="260" w:hanging="257"/>
        <w:spacing w:after="0"/>
        <w:tabs>
          <w:tab w:leader="none" w:pos="2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All non-GAAP measures are results from continuing operations. See "</w:t>
      </w:r>
      <w:r>
        <w:rPr>
          <w:rFonts w:ascii="Arial" w:cs="Arial" w:eastAsia="Arial" w:hAnsi="Arial"/>
          <w:sz w:val="14"/>
          <w:szCs w:val="14"/>
          <w:u w:val="single" w:color="auto"/>
          <w:color w:val="0000FF"/>
        </w:rPr>
        <w:t>Non-GAAP Financial Information</w:t>
      </w:r>
      <w:r>
        <w:rPr>
          <w:rFonts w:ascii="Arial" w:cs="Arial" w:eastAsia="Arial" w:hAnsi="Arial"/>
          <w:sz w:val="14"/>
          <w:szCs w:val="14"/>
          <w:color w:val="auto"/>
        </w:rPr>
        <w:t>" at the end of this item for a reconciliation of non-GAAP measures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817880</wp:posOffset>
            </wp:positionV>
            <wp:extent cx="212725"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0" w:hanging="266"/>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4" w:right="39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December 31, 2022 compared to December 31, 2021</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increased $7.6 million, or 4.8%, from the prior year. U.S. assisted tax preparation revenues increased $10.4 million, or 33.6%, primarily due to higher volumes and a higher net average charge in the current year. U.S. royalty revenue increased $1.5 million, or 45.3%, due to the timing of royalty incentives. U.S. DIY tax preparation revenues increased $2.9 million, or 31.9%, primarily due to higher volumes in the current year.</w:t>
      </w:r>
    </w:p>
    <w:p>
      <w:pPr>
        <w:spacing w:after="0" w:line="89"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Emerald Card revenues decreased $12.4 million, or 49.7%, due to higher card activity in the prior year, which is a result of the IRS loading Child Tax Credits monthly to Emerald Cards®.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Wave revenues increased $2.4 million, or 12.5%, due to higher small business payments processing volumes.</w:t>
      </w:r>
    </w:p>
    <w:p>
      <w:pPr>
        <w:spacing w:after="0" w:line="114"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Total operating expenses increased $13.5 million, or 3.1%, from the prior year. Field wages increased $6.1 million, or 8.8%, due to higher tax professional and field management wages due to increased volumes and higher hourly rates in the current period. Other wages increased $6.5 million, or 10.1%, due to higher corporate wages in the current year. Benefits and other compensation increased $4.1 million, or 13.5%, due to higher stock based compensation. Bad debt expense increased $8.8 million, or 64%, due to higher Emerald Card® losses and higher Emerald Advance</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volumes compared to the prior year.</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operating expenses decreased $8.9 million, or 8.4%. The components of other expenses are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December 31,</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22,452</w:t>
            </w:r>
          </w:p>
        </w:tc>
        <w:tc>
          <w:tcPr>
            <w:tcW w:w="12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27,611</w:t>
            </w:r>
          </w:p>
        </w:tc>
        <w:tc>
          <w:tcPr>
            <w:tcW w:w="12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5,159</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18.7 %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5,445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12.2 %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14,701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(56.1)%</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24,489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23,300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(1,189)</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17,322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2.2 %</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(349)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4,350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4,699</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46.2 %</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b w:val="1"/>
                <w:bCs w:val="1"/>
                <w:color w:val="auto"/>
              </w:rPr>
              <w:t>3,940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1,155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22.7 %</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7,737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(34.4)%</w:t>
            </w:r>
          </w:p>
        </w:tc>
      </w:tr>
      <w:tr>
        <w:trPr>
          <w:trHeight w:val="237"/>
        </w:trPr>
        <w:tc>
          <w:tcPr>
            <w:tcW w:w="4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97,143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106,050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8.4 %</w:t>
            </w:r>
          </w:p>
        </w:tc>
      </w:tr>
      <w:tr>
        <w:trPr>
          <w:trHeight w:val="20"/>
        </w:trPr>
        <w:tc>
          <w:tcPr>
            <w:tcW w:w="49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Consulting and outsourced services expense decreased $5.2 million, or 18.7%, due to lower call center expenses and lower data processing fees related to lower activity on Emerald Cards®. Employee and travel expenses increased $5.3 million, or 56.1%, due to more travel in the current year. Insurance expense decreased $4.7 million due to favorable developments in insurance loss reserves.</w:t>
      </w:r>
    </w:p>
    <w:p>
      <w:pPr>
        <w:spacing w:after="0" w:line="89"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Interest expense on borrowings decreased $4.1 million, or 17.8%, due to the repayment of our $500 million 5.500% Senior Notes in May 2022, partially offset by higher interest expense on our CLOC borrowings in the current year.</w:t>
      </w:r>
    </w:p>
    <w:p>
      <w:pPr>
        <w:spacing w:after="0" w:line="8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recorded an income tax benefit of $77.1 million in the current year compared to $109.8 million in the prior year. The effective tax rate for the three months ended December 31, 2022, and 2021 was 25.9% and 36.7%,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602615</wp:posOffset>
            </wp:positionV>
            <wp:extent cx="220980" cy="12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Six months ended December 31,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546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77,528</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64,452</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13,076</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20.3 %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11,174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10,762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3.8 %</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15,308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13,271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2,037</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15.3 %</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2,442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15.7 %</w:t>
            </w:r>
          </w:p>
        </w:tc>
      </w:tr>
      <w:tr>
        <w:trPr>
          <w:trHeight w:val="205"/>
        </w:trPr>
        <w:tc>
          <w:tcPr>
            <w:tcW w:w="546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(0.1)%</w:t>
            </w:r>
          </w:p>
        </w:tc>
      </w:tr>
      <w:tr>
        <w:trPr>
          <w:trHeight w:val="207"/>
        </w:trPr>
        <w:tc>
          <w:tcPr>
            <w:tcW w:w="54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205"/>
        </w:trPr>
        <w:tc>
          <w:tcPr>
            <w:tcW w:w="5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17,873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17,152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4.2 %</w:t>
            </w:r>
          </w:p>
        </w:tc>
      </w:tr>
      <w:tr>
        <w:trPr>
          <w:trHeight w:val="200"/>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177,316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160,583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10.4 %</w:t>
            </w:r>
          </w:p>
        </w:tc>
      </w:tr>
      <w:tr>
        <w:trPr>
          <w:trHeight w:val="203"/>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5460" w:type="dxa"/>
            <w:vAlign w:val="bottom"/>
            <w:gridSpan w:val="2"/>
            <w:shd w:val="clear" w:color="auto" w:fill="CCEEFF"/>
          </w:tcPr>
          <w:p>
            <w:pPr>
              <w:ind w:left="240"/>
              <w:spacing w:after="0" w:line="209"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24,090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53,088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(28,998)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(54.6)%</w:t>
            </w:r>
          </w:p>
        </w:tc>
      </w:tr>
      <w:tr>
        <w:trPr>
          <w:trHeight w:val="206"/>
        </w:trPr>
        <w:tc>
          <w:tcPr>
            <w:tcW w:w="5460" w:type="dxa"/>
            <w:vAlign w:val="bottom"/>
            <w:tcBorders>
              <w:bottom w:val="single" w:sz="8" w:color="CCEEFF"/>
            </w:tcBorders>
            <w:gridSpan w:val="2"/>
          </w:tcPr>
          <w:p>
            <w:pPr>
              <w:ind w:left="220"/>
              <w:spacing w:after="0" w:line="207" w:lineRule="exact"/>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20"/>
                <w:szCs w:val="20"/>
                <w:color w:val="auto"/>
                <w:vertAlign w:val="superscript"/>
              </w:rPr>
              <w:t>SM</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13,517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12,903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4.8 %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37,607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65,991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(43.0)%</w:t>
            </w: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86,880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86,232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648</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0.8 %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44,587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38,634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15.4 %</w:t>
            </w:r>
          </w:p>
        </w:tc>
      </w:tr>
      <w:tr>
        <w:trPr>
          <w:trHeight w:val="199"/>
        </w:trPr>
        <w:tc>
          <w:tcPr>
            <w:tcW w:w="546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346,390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351,440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137,877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126,137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(11,740)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(9.3)%</w:t>
            </w:r>
          </w:p>
        </w:tc>
      </w:tr>
      <w:tr>
        <w:trPr>
          <w:trHeight w:val="207"/>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134,283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122,131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205"/>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69,109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55,657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(13,452)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(24.2)%</w:t>
            </w:r>
          </w:p>
        </w:tc>
      </w:tr>
      <w:tr>
        <w:trPr>
          <w:trHeight w:val="200"/>
        </w:trPr>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341,269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303,925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198,763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195,118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(3,645)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25,791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27,214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5.2 %</w:t>
            </w:r>
          </w:p>
        </w:tc>
      </w:tr>
      <w:tr>
        <w:trPr>
          <w:trHeight w:val="205"/>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66,347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71,346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4,999</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7.0 %</w:t>
            </w:r>
          </w:p>
        </w:tc>
      </w:tr>
      <w:tr>
        <w:trPr>
          <w:trHeight w:val="20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22,745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14,709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(54.6)%</w:t>
            </w:r>
          </w:p>
        </w:tc>
      </w:tr>
      <w:tr>
        <w:trPr>
          <w:trHeight w:val="205"/>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183,789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191,200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3.9 %</w:t>
            </w:r>
          </w:p>
        </w:tc>
      </w:tr>
      <w:tr>
        <w:trPr>
          <w:trHeight w:val="199"/>
        </w:trPr>
        <w:tc>
          <w:tcPr>
            <w:tcW w:w="54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838,704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803,512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(35,192)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7,796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1,751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6,045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345.2 %</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(34,809)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(45,915)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11,106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24.2 %</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Pretax loss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(519,327)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(496,236)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(23,091)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(4.7)%</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(131,097)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(157,218)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199"/>
        </w:trPr>
        <w:tc>
          <w:tcPr>
            <w:tcW w:w="546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(388,230)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(339,018)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(49,212)</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(14.5)%</w:t>
            </w:r>
          </w:p>
        </w:tc>
      </w:tr>
      <w:tr>
        <w:trPr>
          <w:trHeight w:val="20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(3,770)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19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(392,000)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(342,206)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(49,794)</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(14.6)%</w:t>
            </w:r>
          </w:p>
        </w:tc>
      </w:tr>
      <w:tr>
        <w:trPr>
          <w:trHeight w:val="18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(2.48)</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(1.93)</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(0.55)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28.5 %</w:t>
            </w:r>
          </w:p>
        </w:tc>
      </w:tr>
      <w:tr>
        <w:trPr>
          <w:trHeight w:val="206"/>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28.2 %</w:t>
            </w:r>
          </w:p>
        </w:tc>
      </w:tr>
      <w:tr>
        <w:trPr>
          <w:trHeight w:val="200"/>
        </w:trPr>
        <w:tc>
          <w:tcPr>
            <w:tcW w:w="54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31.1 %</w:t>
            </w:r>
          </w:p>
        </w:tc>
      </w:tr>
      <w:tr>
        <w:trPr>
          <w:trHeight w:val="238"/>
        </w:trPr>
        <w:tc>
          <w:tcPr>
            <w:tcW w:w="546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38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(418,171)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(378,975)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(39,196)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(10.3)%</w:t>
            </w:r>
          </w:p>
        </w:tc>
      </w:tr>
      <w:tr>
        <w:trPr>
          <w:trHeight w:val="20"/>
        </w:trPr>
        <w:tc>
          <w:tcPr>
            <w:tcW w:w="5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82" w:lineRule="exact"/>
        <w:rPr>
          <w:sz w:val="20"/>
          <w:szCs w:val="20"/>
          <w:color w:val="auto"/>
        </w:rPr>
      </w:pPr>
    </w:p>
    <w:p>
      <w:pPr>
        <w:ind w:left="140" w:hanging="137"/>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All non-GAAP measures are results from continuing operations. See "</w:t>
      </w:r>
      <w:r>
        <w:rPr>
          <w:rFonts w:ascii="Arial" w:cs="Arial" w:eastAsia="Arial" w:hAnsi="Arial"/>
          <w:sz w:val="14"/>
          <w:szCs w:val="14"/>
          <w:u w:val="single" w:color="auto"/>
          <w:color w:val="0000FF"/>
        </w:rPr>
        <w:t>Non-GAAP Financial Information</w:t>
      </w:r>
      <w:r>
        <w:rPr>
          <w:rFonts w:ascii="Arial" w:cs="Arial" w:eastAsia="Arial" w:hAnsi="Arial"/>
          <w:sz w:val="14"/>
          <w:szCs w:val="14"/>
          <w:color w:val="auto"/>
        </w:rPr>
        <w:t>" at the end of this item for a reconciliation of non-GAAP measures.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57" w:lineRule="exact"/>
        <w:rPr>
          <w:rFonts w:ascii="Arial" w:cs="Arial" w:eastAsia="Arial" w:hAnsi="Arial"/>
          <w:sz w:val="9"/>
          <w:szCs w:val="9"/>
          <w:color w:val="auto"/>
        </w:rPr>
      </w:pPr>
    </w:p>
    <w:p>
      <w:pPr>
        <w:ind w:left="100"/>
        <w:spacing w:after="0"/>
        <w:rPr>
          <w:rFonts w:ascii="Arial" w:cs="Arial" w:eastAsia="Arial" w:hAnsi="Arial"/>
          <w:sz w:val="9"/>
          <w:szCs w:val="9"/>
          <w:color w:val="auto"/>
        </w:rPr>
      </w:pPr>
      <w:r>
        <w:rPr>
          <w:rFonts w:ascii="Arial" w:cs="Arial" w:eastAsia="Arial" w:hAnsi="Arial"/>
          <w:sz w:val="14"/>
          <w:szCs w:val="14"/>
          <w:color w:val="FFFFFF"/>
          <w:highlight w:val="black"/>
        </w:rPr>
        <w:t xml:space="preserve">18  </w:t>
      </w:r>
      <w:r>
        <w:rPr>
          <w:rFonts w:ascii="Arial" w:cs="Arial" w:eastAsia="Arial" w:hAnsi="Arial"/>
          <w:sz w:val="14"/>
          <w:szCs w:val="14"/>
          <w:color w:val="000000"/>
        </w:rPr>
        <w:t>Q2 FY2023 Form 10-Q|</w:t>
      </w:r>
      <w:r>
        <w:rPr>
          <w:rFonts w:ascii="Arial" w:cs="Arial" w:eastAsia="Arial" w:hAnsi="Arial"/>
          <w:sz w:val="14"/>
          <w:szCs w:val="14"/>
          <w:color w:val="FFFFFF"/>
          <w:highlight w:val="black"/>
        </w:rPr>
        <w:t xml:space="preserve"> </w:t>
      </w:r>
      <w:r>
        <w:rPr>
          <w:rFonts w:ascii="Arial" w:cs="Arial" w:eastAsia="Arial" w:hAnsi="Arial"/>
          <w:sz w:val="14"/>
          <w:szCs w:val="14"/>
          <w:b w:val="1"/>
          <w:bCs w:val="1"/>
          <w:color w:val="000000"/>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-102235</wp:posOffset>
            </wp:positionV>
            <wp:extent cx="212725" cy="122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180"/>
          </w:cols>
          <w:pgMar w:left="320" w:top="244" w:right="39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December 31, 2022 compared to December 31, 2021</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Revenues decreased $5.1 million, or 1.4%, from the prior year. U.S. assisted tax preparation revenues increased $13.1 million, or 20.3%, due to higher volumes and a higher net average charge in the current year.</w:t>
      </w:r>
    </w:p>
    <w:p>
      <w:pPr>
        <w:spacing w:after="0" w:line="8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Emerald Card® revenues decreased $29.0 million, or 54.6%, due to higher card activity in the prior year, which is a result of the IRS loading Child Tax Credits monthly to Emerald Cards®.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Wave revenues increased $6.0 million, or 15.4%, due to higher small business payments processing volumes.</w:t>
      </w:r>
    </w:p>
    <w:p>
      <w:pPr>
        <w:spacing w:after="0" w:line="114"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Total operating expenses increased $35.2 million, or 4.4%, from the prior year period. Field wages increased $11.7 million, or 9.3%, due to higher tax professional and field management wages due to increased volumes and higher hourly rates in the current period. Other wages increased $12.2 million, or 9.9%, due to higher corporate wages in the current year. Benefits and other compensation increased $13.5 million, or 24.2%, due to higher stock based compensation, employee insurance and payroll taxes. Depreciation and amortization expense decreased $5.0 million, or 7.0%, due to lower amortization of acquired intangibles. Bad debt expense increased $8.0 million, or 54.6%, due to higher Emerald Card® losses and higher Emerald Advance</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volumes compared to the prior year.</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expenses decreased $7.4 million, or 3.9%. The components of other expenses are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Six months ended December 31,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40,505</w:t>
            </w:r>
          </w:p>
        </w:tc>
        <w:tc>
          <w:tcPr>
            <w:tcW w:w="12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53,468</w:t>
            </w:r>
          </w:p>
        </w:tc>
        <w:tc>
          <w:tcPr>
            <w:tcW w:w="12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12,963</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24.2 %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12,215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12,215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20,769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(51.5)%</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50,404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43,625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(6,779)</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(15.5)%</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33,523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3,369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4,312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56.1 %</w:t>
            </w: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4,470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37.1 %</w:t>
            </w:r>
          </w:p>
        </w:tc>
      </w:tr>
      <w:tr>
        <w:trPr>
          <w:trHeight w:val="205"/>
        </w:trPr>
        <w:tc>
          <w:tcPr>
            <w:tcW w:w="502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4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b w:val="1"/>
                <w:bCs w:val="1"/>
                <w:color w:val="auto"/>
              </w:rPr>
              <w:t>7,335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583</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7.4 %</w:t>
            </w:r>
          </w:p>
        </w:tc>
      </w:tr>
      <w:tr>
        <w:trPr>
          <w:trHeight w:val="20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11,996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10,155</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237"/>
        </w:trPr>
        <w:tc>
          <w:tcPr>
            <w:tcW w:w="4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183,789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191,200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3.9 %</w:t>
            </w:r>
          </w:p>
        </w:tc>
      </w:tr>
      <w:tr>
        <w:trPr>
          <w:trHeight w:val="20"/>
        </w:trPr>
        <w:tc>
          <w:tcPr>
            <w:tcW w:w="49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Consulting and outsourced services expense decreased $13.0 million, or 24.2%, due to lower call center expenses and lower data processing fees related to lower activity on Emerald Cards®. Employee and travel expenses increased $7.1 million, or 51.5%, due to more travel in the current year. Technology-related expenses increased $6.8 million, or 15.5%, due to increased investments in information technology.</w:t>
      </w:r>
    </w:p>
    <w:p>
      <w:pPr>
        <w:spacing w:after="0" w:line="89"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Other income (expense) increased $6.0 million, or 345.2%, primarily due to higher interest income as a result of higher interest rates. Interest expense on borrowings decreased $11.1 million, or 24.2%, due to the repayment of our $500 million 5.500% Senior Notes in May 2022, partially offset by higher interest expense on our CLOC borrowings in the current year.</w:t>
      </w:r>
    </w:p>
    <w:p>
      <w:pPr>
        <w:spacing w:after="0" w:line="89"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recorded an income tax benefit of $131.1 million in the current year compared to $157.2 million in the prior year. The effective tax rate for the six months ended December 31, 2022, and 2021 was 25.2% and 31.7%,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These comments should be read in conjunction with the consolidated balance sheets and consolidated statements of cash flows included in </w:t>
      </w:r>
      <w:r>
        <w:rPr>
          <w:rFonts w:ascii="Arial" w:cs="Arial" w:eastAsia="Arial" w:hAnsi="Arial"/>
          <w:sz w:val="17"/>
          <w:szCs w:val="17"/>
          <w:u w:val="single" w:color="auto"/>
          <w:color w:val="0000FF"/>
        </w:rPr>
        <w:t>Part 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w:t>
      </w:r>
      <w:r>
        <w:rPr>
          <w:rFonts w:ascii="Arial" w:cs="Arial" w:eastAsia="Arial" w:hAnsi="Arial"/>
          <w:sz w:val="17"/>
          <w:szCs w:val="17"/>
          <w:color w:val="000000"/>
        </w:rPr>
        <w: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CAPITAL RESOURCES AND LIQUIDITY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 Our primary sources of capital and liquidity include cash from operations (including changes in working capital), draws on our</w:t>
      </w:r>
      <w:r>
        <w:rPr>
          <w:rFonts w:ascii="Arial" w:cs="Arial" w:eastAsia="Arial" w:hAnsi="Arial"/>
          <w:sz w:val="17"/>
          <w:szCs w:val="17"/>
          <w:b w:val="1"/>
          <w:bCs w:val="1"/>
          <w:color w:val="auto"/>
        </w:rPr>
        <w:t xml:space="preserve"> </w:t>
      </w:r>
      <w:r>
        <w:rPr>
          <w:rFonts w:ascii="Arial" w:cs="Arial" w:eastAsia="Arial" w:hAnsi="Arial"/>
          <w:sz w:val="17"/>
          <w:szCs w:val="17"/>
          <w:color w:val="auto"/>
        </w:rPr>
        <w:t>CLOC, and issuances of debt. We use our sources of liquidity primarily to fund working capital, service and repay debt, pay dividends, repurchase shares of our common stock, and acquire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599440</wp:posOffset>
            </wp:positionV>
            <wp:extent cx="220980"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spacing w:after="0" w:line="91"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Given the likely availability of a number of liquidity options discussed herein, we believe that, in the absence of any unexpected developments, our existing sources of capital as of December 31, 2022 are sufficient to meet our operating, investing and financing needs.</w:t>
      </w:r>
    </w:p>
    <w:p>
      <w:pPr>
        <w:spacing w:after="0" w:line="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DISCUSSION OF CONSOLIDATED STATEMENTS OF CASH FLOWS </w:t>
      </w:r>
      <w:r>
        <w:rPr>
          <w:rFonts w:ascii="Arial" w:cs="Arial" w:eastAsia="Arial" w:hAnsi="Arial"/>
          <w:sz w:val="17"/>
          <w:szCs w:val="17"/>
          <w:color w:val="auto"/>
        </w:rPr>
        <w:t>– The following table summarizes our statements of cash flows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six months ended December 31, 2022 and 2021. See </w:t>
      </w:r>
      <w:r>
        <w:rPr>
          <w:rFonts w:ascii="Arial" w:cs="Arial" w:eastAsia="Arial" w:hAnsi="Arial"/>
          <w:sz w:val="17"/>
          <w:szCs w:val="17"/>
          <w:u w:val="single" w:color="auto"/>
          <w:color w:val="0000FF"/>
        </w:rPr>
        <w:t>Item 1</w:t>
      </w:r>
      <w:r>
        <w:rPr>
          <w:rFonts w:ascii="Arial" w:cs="Arial" w:eastAsia="Arial" w:hAnsi="Arial"/>
          <w:sz w:val="17"/>
          <w:szCs w:val="17"/>
          <w:color w:val="auto"/>
        </w:rPr>
        <w:t xml:space="preserve"> for the complete consolidated statements of cash flows for these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Six months ended December 31,</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8"/>
        </w:trPr>
        <w:tc>
          <w:tcPr>
            <w:tcW w:w="6560" w:type="dxa"/>
            <w:vAlign w:val="bottom"/>
            <w:gridSpan w:val="2"/>
          </w:tcPr>
          <w:p>
            <w:pPr>
              <w:ind w:left="20"/>
              <w:spacing w:after="0"/>
              <w:rPr>
                <w:sz w:val="20"/>
                <w:szCs w:val="20"/>
                <w:color w:val="auto"/>
              </w:rPr>
            </w:pPr>
            <w:r>
              <w:rPr>
                <w:rFonts w:ascii="Arial" w:cs="Arial" w:eastAsia="Arial" w:hAnsi="Arial"/>
                <w:sz w:val="15"/>
                <w:szCs w:val="15"/>
                <w:color w:val="auto"/>
              </w:rPr>
              <w:t>Net cash provided by (used in):</w:t>
            </w: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activities</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(780,458)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(913,571)</w:t>
            </w:r>
          </w:p>
        </w:tc>
      </w:tr>
      <w:tr>
        <w:trPr>
          <w:trHeight w:val="205"/>
        </w:trPr>
        <w:tc>
          <w:tcPr>
            <w:tcW w:w="6560" w:type="dxa"/>
            <w:vAlign w:val="bottom"/>
            <w:gridSpan w:val="2"/>
          </w:tcPr>
          <w:p>
            <w:pPr>
              <w:ind w:left="140"/>
              <w:spacing w:after="0"/>
              <w:rPr>
                <w:sz w:val="20"/>
                <w:szCs w:val="20"/>
                <w:color w:val="auto"/>
              </w:rPr>
            </w:pPr>
            <w:r>
              <w:rPr>
                <w:rFonts w:ascii="Arial" w:cs="Arial" w:eastAsia="Arial" w:hAnsi="Arial"/>
                <w:sz w:val="15"/>
                <w:szCs w:val="15"/>
                <w:color w:val="auto"/>
              </w:rPr>
              <w:t>Investing activities</w:t>
            </w:r>
          </w:p>
        </w:tc>
        <w:tc>
          <w:tcPr>
            <w:tcW w:w="8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(99,090)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(57,444)</w:t>
            </w:r>
          </w:p>
        </w:tc>
      </w:tr>
      <w:tr>
        <w:trPr>
          <w:trHeight w:val="207"/>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activities</w:t>
            </w:r>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128,813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(149,883)</w:t>
            </w:r>
          </w:p>
        </w:tc>
      </w:tr>
      <w:tr>
        <w:trPr>
          <w:trHeight w:val="205"/>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Effects of exchange rates on cash</w:t>
            </w: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(7,790)</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(3,330)</w:t>
            </w:r>
          </w:p>
        </w:tc>
      </w:tr>
      <w:tr>
        <w:trPr>
          <w:trHeight w:val="20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(758,525)</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(1,124,228)</w:t>
            </w:r>
          </w:p>
        </w:tc>
      </w:tr>
      <w:tr>
        <w:trPr>
          <w:trHeight w:val="32"/>
        </w:trPr>
        <w:tc>
          <w:tcPr>
            <w:tcW w:w="6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6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used in operations totaled $780.5 million for the six months ended December 31, 2022 compared to $913.6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prior year period. The change is primarily due to the receipt of income tax receivables in the current year, partially offset by an increase in our net loss in the current year.</w:t>
      </w:r>
    </w:p>
    <w:p>
      <w:pPr>
        <w:spacing w:after="0" w:line="6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in investing activities totaled $99.1 million for the six months ended December 31, 2022 compared to $57.4</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change is primarily due to payments to acquire businesses in the current year.</w:t>
      </w:r>
    </w:p>
    <w:p>
      <w:pPr>
        <w:spacing w:after="0" w:line="43" w:lineRule="exact"/>
        <w:rPr>
          <w:sz w:val="20"/>
          <w:szCs w:val="20"/>
          <w:color w:val="auto"/>
        </w:rPr>
      </w:pPr>
    </w:p>
    <w:p>
      <w:pPr>
        <w:jc w:val="both"/>
        <w:ind w:firstLine="232"/>
        <w:spacing w:after="0" w:line="282"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provided by financing activities totaled $128.8 million for the six months ended December 31, 2022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cash used in financing activities of $149.9 million in the prior year period. The change is primarily due to higher draws on our CLOC in the current year.</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CASH REQUIREMENTS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Dividends and Share Repurchases. </w:t>
      </w:r>
      <w:r>
        <w:rPr>
          <w:rFonts w:ascii="Arial" w:cs="Arial" w:eastAsia="Arial" w:hAnsi="Arial"/>
          <w:sz w:val="17"/>
          <w:szCs w:val="17"/>
          <w:color w:val="auto"/>
        </w:rPr>
        <w:t>Returning capital to shareholders in the form of dividends and the repurchase of outstanding shares is,</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historically been, a significant component of our capital allocation plan.</w:t>
      </w:r>
    </w:p>
    <w:p>
      <w:pPr>
        <w:spacing w:after="0" w:line="6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We have consistently paid quarterly dividends. Dividends paid totaled $89.2 million and $96.9 million for the six months ended December 31, 2022 and 2021, respectively. Although we have historically paid dividends and plan to continue to do so, there can be no assurances that circumstances will not change in the future that could affect our ability or decisions to pay dividends.</w:t>
      </w:r>
    </w:p>
    <w:p>
      <w:pPr>
        <w:spacing w:after="0" w:line="89"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7"/>
          <w:szCs w:val="17"/>
          <w:color w:val="auto"/>
        </w:rPr>
        <w:t>In August 2022, the Board of Directors approved a $1.25 billion share repurchase program, effective through fiscal year 2025. During the six months ended December 31, 2022, we repurchased $350.1 million of our common stock at an average price of $42.86 per share. In the prior year period, we repurchased $324.6 million of our common stock at an average price of $24.24 per share. Our current share repurchase program has remaining authorization of $900.0 million, which is effective through June 2025.</w:t>
      </w:r>
    </w:p>
    <w:p>
      <w:pPr>
        <w:spacing w:after="0" w:line="9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1" w:lineRule="exact"/>
        <w:rPr>
          <w:sz w:val="20"/>
          <w:szCs w:val="20"/>
          <w:color w:val="auto"/>
        </w:rPr>
      </w:pPr>
    </w:p>
    <w:p>
      <w:pPr>
        <w:jc w:val="both"/>
        <w:ind w:firstLine="294"/>
        <w:spacing w:after="0" w:line="290" w:lineRule="auto"/>
        <w:rPr>
          <w:sz w:val="20"/>
          <w:szCs w:val="20"/>
          <w:color w:val="auto"/>
        </w:rPr>
      </w:pPr>
      <w:r>
        <w:rPr>
          <w:rFonts w:ascii="Arial" w:cs="Arial" w:eastAsia="Arial" w:hAnsi="Arial"/>
          <w:sz w:val="17"/>
          <w:szCs w:val="17"/>
          <w:b w:val="1"/>
          <w:bCs w:val="1"/>
          <w:color w:val="auto"/>
        </w:rPr>
        <w:t xml:space="preserve">Capital Investment. </w:t>
      </w:r>
      <w:r>
        <w:rPr>
          <w:rFonts w:ascii="Arial" w:cs="Arial" w:eastAsia="Arial" w:hAnsi="Arial"/>
          <w:sz w:val="17"/>
          <w:szCs w:val="17"/>
          <w:color w:val="auto"/>
        </w:rPr>
        <w:t>Capital expenditures totaled $41.5 million and $39.4 million for the six months ended December 31, 2022 and 2021,</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Our capital expenditures relate primarily to recurring improvements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589280</wp:posOffset>
            </wp:positionV>
            <wp:extent cx="212725" cy="122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hanging="266"/>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retail offices, as well as investments in computers, software and related assets. In addition to our capital expenditures, we also made payments to acquire businesses. We acquired franchisee and competitor businesses totaling $39.8 million and $19.3 million during the six months ended December 31, 2022 and 2021, respectively. See </w:t>
      </w:r>
      <w:r>
        <w:rPr>
          <w:rFonts w:ascii="Arial" w:cs="Arial" w:eastAsia="Arial" w:hAnsi="Arial"/>
          <w:sz w:val="17"/>
          <w:szCs w:val="17"/>
          <w:u w:val="single" w:color="auto"/>
          <w:color w:val="0000FF"/>
        </w:rPr>
        <w:t>Item 1, note 5</w:t>
      </w:r>
      <w:r>
        <w:rPr>
          <w:rFonts w:ascii="Arial" w:cs="Arial" w:eastAsia="Arial" w:hAnsi="Arial"/>
          <w:sz w:val="17"/>
          <w:szCs w:val="17"/>
          <w:color w:val="auto"/>
        </w:rPr>
        <w:t xml:space="preserve"> for additional information on our acquisitions.</w:t>
      </w:r>
    </w:p>
    <w:p>
      <w:pPr>
        <w:spacing w:after="0" w:line="69"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b w:val="1"/>
          <w:bCs w:val="1"/>
          <w:color w:val="auto"/>
        </w:rPr>
        <w:t xml:space="preserve">FINANCING RESOURCES </w:t>
      </w:r>
      <w:r>
        <w:rPr>
          <w:rFonts w:ascii="Arial" w:cs="Arial" w:eastAsia="Arial" w:hAnsi="Arial"/>
          <w:sz w:val="17"/>
          <w:szCs w:val="17"/>
          <w:color w:val="auto"/>
        </w:rPr>
        <w:t>– The CLOC has capacity up to $1.5 billion and is scheduled to expire in June 2026. Proceeds under the CLOC may</w:t>
      </w:r>
      <w:r>
        <w:rPr>
          <w:rFonts w:ascii="Arial" w:cs="Arial" w:eastAsia="Arial" w:hAnsi="Arial"/>
          <w:sz w:val="17"/>
          <w:szCs w:val="17"/>
          <w:b w:val="1"/>
          <w:bCs w:val="1"/>
          <w:color w:val="auto"/>
        </w:rPr>
        <w:t xml:space="preserve"> </w:t>
      </w:r>
      <w:r>
        <w:rPr>
          <w:rFonts w:ascii="Arial" w:cs="Arial" w:eastAsia="Arial" w:hAnsi="Arial"/>
          <w:sz w:val="17"/>
          <w:szCs w:val="17"/>
          <w:color w:val="auto"/>
        </w:rPr>
        <w:t>be used for working capital needs or for other general corporate purposes. We had an outstanding balance of $580.0 million under our CLOC as of December 31, 2022. Amounts available to borrow were not limited by the debt-to-EBITDA covenant as of December 31, 2022.</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ratings for debt issued by Block Financial LLC (Block Financial) as of December 31, 2022 and June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December 31, 2022</w:t>
            </w: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5"/>
                <w:szCs w:val="15"/>
                <w:color w:val="auto"/>
              </w:rPr>
              <w:t>June 30, 2022</w:t>
            </w:r>
          </w:p>
        </w:tc>
        <w:tc>
          <w:tcPr>
            <w:tcW w:w="1200" w:type="dxa"/>
            <w:vAlign w:val="bottom"/>
            <w:tcBorders>
              <w:top w:val="single" w:sz="8" w:color="auto"/>
              <w:bottom w:val="single" w:sz="8" w:color="auto"/>
            </w:tcBorders>
          </w:tcPr>
          <w:p>
            <w:pPr>
              <w:spacing w:after="0"/>
              <w:rPr>
                <w:sz w:val="18"/>
                <w:szCs w:val="18"/>
                <w:color w:val="auto"/>
              </w:rPr>
            </w:pPr>
          </w:p>
        </w:tc>
      </w:tr>
      <w:tr>
        <w:trPr>
          <w:trHeight w:val="198"/>
        </w:trPr>
        <w:tc>
          <w:tcPr>
            <w:tcW w:w="3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r>
      <w:tr>
        <w:trPr>
          <w:trHeight w:val="201"/>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Moody's</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P-3</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Baa3</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Positive</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P-3</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Baa3</w:t>
            </w:r>
          </w:p>
        </w:tc>
        <w:tc>
          <w:tcPr>
            <w:tcW w:w="1200" w:type="dxa"/>
            <w:vAlign w:val="bottom"/>
          </w:tcPr>
          <w:p>
            <w:pPr>
              <w:jc w:val="right"/>
              <w:spacing w:after="0"/>
              <w:rPr>
                <w:sz w:val="20"/>
                <w:szCs w:val="20"/>
                <w:color w:val="auto"/>
              </w:rPr>
            </w:pPr>
            <w:r>
              <w:rPr>
                <w:rFonts w:ascii="Arial" w:cs="Arial" w:eastAsia="Arial" w:hAnsi="Arial"/>
                <w:sz w:val="15"/>
                <w:szCs w:val="15"/>
                <w:color w:val="auto"/>
              </w:rPr>
              <w:t>Stable</w:t>
            </w:r>
          </w:p>
        </w:tc>
      </w:tr>
      <w:tr>
        <w:trPr>
          <w:trHeight w:val="206"/>
        </w:trPr>
        <w:tc>
          <w:tcPr>
            <w:tcW w:w="3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S&amp;P</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A-2</w:t>
            </w: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BBB</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Stable</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A-2</w:t>
            </w:r>
          </w:p>
        </w:tc>
        <w:tc>
          <w:tcPr>
            <w:tcW w:w="1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BBB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Stable</w:t>
            </w:r>
          </w:p>
        </w:tc>
      </w:tr>
    </w:tbl>
    <w:p>
      <w:pPr>
        <w:spacing w:after="0" w:line="167"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Other than described above, there have been no material changes in our borrowings from those reported as of June 30, 2022 in our Annual Report to Shareholders on Form 10-K.</w:t>
      </w:r>
    </w:p>
    <w:p>
      <w:pPr>
        <w:spacing w:after="0" w:line="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CASH AND OTHER ASSETS </w:t>
      </w:r>
      <w:r>
        <w:rPr>
          <w:rFonts w:ascii="Arial" w:cs="Arial" w:eastAsia="Arial" w:hAnsi="Arial"/>
          <w:sz w:val="17"/>
          <w:szCs w:val="17"/>
          <w:color w:val="auto"/>
        </w:rPr>
        <w:t>– As of December 31, 2022, we held cash and cash equivalents, excluding restricted amounts, of $264.5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$113.7 million held by our foreign subsidiaries.</w:t>
      </w:r>
    </w:p>
    <w:p>
      <w:pPr>
        <w:spacing w:after="0" w:line="4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Foreign Operations. </w:t>
      </w:r>
      <w:r>
        <w:rPr>
          <w:rFonts w:ascii="Arial" w:cs="Arial" w:eastAsia="Arial" w:hAnsi="Arial"/>
          <w:sz w:val="17"/>
          <w:szCs w:val="17"/>
          <w:color w:val="auto"/>
        </w:rPr>
        <w:t>Seasonal borrowing needs of our Canadian operations are typically funded by our U.S. operations. To mitigate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risk, we sometimes enter into foreign exchange forward contracts. There were no forward contracts outstanding as of December 31, 2022.</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do not currently intend to repatriate non-borrowed funds held by our foreign subsidiaries in a manner that would trigger a material tax liability.</w:t>
      </w:r>
    </w:p>
    <w:p>
      <w:pPr>
        <w:spacing w:after="0" w:line="114"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impact of changes in foreign exchange rates during the period on our international cash balances resulted in a decrease of $7.8 million and $3.3 million during the six months ended December 31, 2022 and 2021, respectively.</w:t>
      </w:r>
    </w:p>
    <w:p>
      <w:pPr>
        <w:spacing w:after="0" w:line="64" w:lineRule="exact"/>
        <w:rPr>
          <w:sz w:val="20"/>
          <w:szCs w:val="20"/>
          <w:color w:val="auto"/>
        </w:rPr>
      </w:pPr>
    </w:p>
    <w:p>
      <w:pPr>
        <w:jc w:val="both"/>
        <w:ind w:firstLine="232"/>
        <w:spacing w:after="0" w:line="218" w:lineRule="auto"/>
        <w:rPr>
          <w:sz w:val="20"/>
          <w:szCs w:val="20"/>
          <w:color w:val="auto"/>
        </w:rPr>
      </w:pPr>
      <w:r>
        <w:rPr>
          <w:rFonts w:ascii="Arial" w:cs="Arial" w:eastAsia="Arial" w:hAnsi="Arial"/>
          <w:sz w:val="17"/>
          <w:szCs w:val="17"/>
          <w:b w:val="1"/>
          <w:bCs w:val="1"/>
          <w:color w:val="auto"/>
        </w:rPr>
        <w:t xml:space="preserve">CONTRACTUAL OBLIGATIONS AND COMMERCIAL COMMITMENTS </w:t>
      </w:r>
      <w:r>
        <w:rPr>
          <w:rFonts w:ascii="Arial" w:cs="Arial" w:eastAsia="Arial" w:hAnsi="Arial"/>
          <w:sz w:val="17"/>
          <w:szCs w:val="17"/>
          <w:color w:val="auto"/>
        </w:rPr>
        <w:t>– Emerald Advance</w:t>
      </w:r>
      <w:r>
        <w:rPr>
          <w:rFonts w:ascii="Arial" w:cs="Arial" w:eastAsia="Arial" w:hAnsi="Arial"/>
          <w:sz w:val="22"/>
          <w:szCs w:val="22"/>
          <w:color w:val="auto"/>
          <w:vertAlign w:val="superscript"/>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lines of credit (EAs) are originated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Pathward</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N.A. (Pathward). We purchase a 90% participation interest, at par, in all EAs originated by Pathward in accordance with our participation agreement. At December 31, 2022, the principal balance of purchased participation interests totaled $270.4 million.</w:t>
      </w:r>
    </w:p>
    <w:p>
      <w:pPr>
        <w:spacing w:after="0" w:line="10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There have been no other material changes in our contractual obligations and commercial commitments from those reported in our June 30, 2022 Annual Report to Shareholders on Form 10-K.</w:t>
      </w:r>
    </w:p>
    <w:p>
      <w:pPr>
        <w:spacing w:after="0" w:line="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b w:val="1"/>
          <w:bCs w:val="1"/>
          <w:color w:val="auto"/>
        </w:rPr>
        <w:t xml:space="preserve">SUMMARIZED GUARANTOR FINANCIAL STATEMENTS </w:t>
      </w:r>
      <w:r>
        <w:rPr>
          <w:rFonts w:ascii="Arial" w:cs="Arial" w:eastAsia="Arial" w:hAnsi="Arial"/>
          <w:sz w:val="17"/>
          <w:szCs w:val="17"/>
          <w:color w:val="auto"/>
        </w:rPr>
        <w:t>– Block Financial is a 100% owned subsidiary of H&amp;R Block, Inc. Block Financial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 and H&amp;R Block, Inc. is the full and unconditional Guarantor of our Senior Notes, CLOC and other indebtedness issued from time to time.</w:t>
      </w:r>
    </w:p>
    <w:p>
      <w:pPr>
        <w:spacing w:after="0" w:line="6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BALANCE SHEET - GUARANTOR AND ISSUER</w:t>
            </w:r>
          </w:p>
        </w:tc>
        <w:tc>
          <w:tcPr>
            <w:tcW w:w="4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9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2022</w:t>
            </w: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Current assets</w:t>
            </w:r>
          </w:p>
        </w:tc>
        <w:tc>
          <w:tcPr>
            <w:tcW w:w="400" w:type="dxa"/>
            <w:vAlign w:val="bottom"/>
          </w:tcPr>
          <w:p>
            <w:pPr>
              <w:jc w:val="right"/>
              <w:ind w:right="2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312,211</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38,922</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1,962,976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1,698,242</w:t>
            </w:r>
          </w:p>
        </w:tc>
      </w:tr>
      <w:tr>
        <w:trPr>
          <w:trHeight w:val="205"/>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4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86,510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75,855</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2,073,780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1,495,732</w:t>
            </w:r>
          </w:p>
        </w:tc>
      </w:tr>
      <w:tr>
        <w:trPr>
          <w:trHeight w:val="52"/>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662940</wp:posOffset>
            </wp:positionV>
            <wp:extent cx="220980"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STATEMENTS OF OPERATIONS - GUARANTOR AND ISSUER</w:t>
            </w:r>
          </w:p>
        </w:tc>
        <w:tc>
          <w:tcPr>
            <w:tcW w:w="4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49"/>
        </w:trPr>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Arial" w:cs="Arial" w:eastAsia="Arial" w:hAnsi="Arial"/>
                <w:sz w:val="15"/>
                <w:szCs w:val="15"/>
                <w:color w:val="auto"/>
              </w:rPr>
              <w:t>Twelve months ended June</w:t>
            </w:r>
          </w:p>
        </w:tc>
      </w:tr>
      <w:tr>
        <w:trPr>
          <w:trHeight w:val="205"/>
        </w:trPr>
        <w:tc>
          <w:tcPr>
            <w:tcW w:w="6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30, 2022</w:t>
            </w: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Total revenues</w:t>
            </w:r>
          </w:p>
        </w:tc>
        <w:tc>
          <w:tcPr>
            <w:tcW w:w="400" w:type="dxa"/>
            <w:vAlign w:val="bottom"/>
          </w:tcPr>
          <w:p>
            <w:pPr>
              <w:jc w:val="right"/>
              <w:ind w:right="22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center"/>
              <w:ind w:left="1043"/>
              <w:spacing w:after="0"/>
              <w:rPr>
                <w:sz w:val="20"/>
                <w:szCs w:val="20"/>
                <w:color w:val="auto"/>
              </w:rPr>
            </w:pPr>
            <w:r>
              <w:rPr>
                <w:rFonts w:ascii="Arial" w:cs="Arial" w:eastAsia="Arial" w:hAnsi="Arial"/>
                <w:sz w:val="15"/>
                <w:szCs w:val="15"/>
                <w:b w:val="1"/>
                <w:bCs w:val="1"/>
                <w:color w:val="auto"/>
              </w:rPr>
              <w:t>40,288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199,683</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(loss) from continuing operations before income taxes</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1023"/>
              <w:spacing w:after="0"/>
              <w:rPr>
                <w:sz w:val="20"/>
                <w:szCs w:val="20"/>
                <w:color w:val="auto"/>
              </w:rPr>
            </w:pPr>
            <w:r>
              <w:rPr>
                <w:rFonts w:ascii="Arial" w:cs="Arial" w:eastAsia="Arial" w:hAnsi="Arial"/>
                <w:sz w:val="15"/>
                <w:szCs w:val="15"/>
                <w:b w:val="1"/>
                <w:bCs w:val="1"/>
                <w:color w:val="auto"/>
              </w:rPr>
              <w:t>(53,653)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44,404</w:t>
            </w:r>
          </w:p>
        </w:tc>
      </w:tr>
      <w:tr>
        <w:trPr>
          <w:trHeight w:val="205"/>
        </w:trPr>
        <w:tc>
          <w:tcPr>
            <w:tcW w:w="6920" w:type="dxa"/>
            <w:vAlign w:val="bottom"/>
            <w:gridSpan w:val="2"/>
          </w:tcPr>
          <w:p>
            <w:pPr>
              <w:ind w:left="20"/>
              <w:spacing w:after="0"/>
              <w:rPr>
                <w:sz w:val="20"/>
                <w:szCs w:val="20"/>
                <w:color w:val="auto"/>
              </w:rPr>
            </w:pPr>
            <w:r>
              <w:rPr>
                <w:rFonts w:ascii="Arial" w:cs="Arial" w:eastAsia="Arial" w:hAnsi="Arial"/>
                <w:sz w:val="15"/>
                <w:szCs w:val="15"/>
                <w:color w:val="auto"/>
              </w:rPr>
              <w:t>Net income (loss) from continuing operations</w:t>
            </w:r>
          </w:p>
        </w:tc>
        <w:tc>
          <w:tcPr>
            <w:tcW w:w="400" w:type="dxa"/>
            <w:vAlign w:val="bottom"/>
          </w:tcPr>
          <w:p>
            <w:pPr>
              <w:spacing w:after="0"/>
              <w:rPr>
                <w:sz w:val="17"/>
                <w:szCs w:val="17"/>
                <w:color w:val="auto"/>
              </w:rPr>
            </w:pPr>
          </w:p>
        </w:tc>
        <w:tc>
          <w:tcPr>
            <w:tcW w:w="1720" w:type="dxa"/>
            <w:vAlign w:val="bottom"/>
          </w:tcPr>
          <w:p>
            <w:pPr>
              <w:jc w:val="center"/>
              <w:ind w:left="1023"/>
              <w:spacing w:after="0"/>
              <w:rPr>
                <w:sz w:val="20"/>
                <w:szCs w:val="20"/>
                <w:color w:val="auto"/>
              </w:rPr>
            </w:pPr>
            <w:r>
              <w:rPr>
                <w:rFonts w:ascii="Arial" w:cs="Arial" w:eastAsia="Arial" w:hAnsi="Arial"/>
                <w:sz w:val="15"/>
                <w:szCs w:val="15"/>
                <w:b w:val="1"/>
                <w:bCs w:val="1"/>
                <w:color w:val="auto"/>
              </w:rPr>
              <w:t>(53,364)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41,979</w:t>
            </w:r>
          </w:p>
        </w:tc>
      </w:tr>
      <w:tr>
        <w:trPr>
          <w:trHeight w:val="20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4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1023"/>
              <w:spacing w:after="0"/>
              <w:rPr>
                <w:sz w:val="20"/>
                <w:szCs w:val="20"/>
                <w:color w:val="auto"/>
              </w:rPr>
            </w:pPr>
            <w:r>
              <w:rPr>
                <w:rFonts w:ascii="Arial" w:cs="Arial" w:eastAsia="Arial" w:hAnsi="Arial"/>
                <w:sz w:val="15"/>
                <w:szCs w:val="15"/>
                <w:b w:val="1"/>
                <w:bCs w:val="1"/>
                <w:color w:val="auto"/>
              </w:rPr>
              <w:t>(57,134)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35,007</w:t>
            </w:r>
          </w:p>
        </w:tc>
      </w:tr>
      <w:tr>
        <w:trPr>
          <w:trHeight w:val="52"/>
        </w:trPr>
        <w:tc>
          <w:tcPr>
            <w:tcW w:w="6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bl>
    <w:p>
      <w:pPr>
        <w:spacing w:after="0" w:line="193"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 table above reflects $1.9 billion and $1.6 billion of non-current intercompany receivables due to the Issuer from non-guarantor subsidiaries as of December 31, 2022 and June 30, 2022,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ENVIRONMENT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 On October 19, 2022, the appellate court found that the funding mechanism for the CFPB was unconstitutional and vacated the Payday Rule. On November 14, 2022, the CFPB filed a petition for review with the United States Supreme Court.</w:t>
      </w:r>
    </w:p>
    <w:p>
      <w:pPr>
        <w:spacing w:after="0" w:line="93" w:lineRule="exact"/>
        <w:rPr>
          <w:sz w:val="20"/>
          <w:szCs w:val="20"/>
          <w:color w:val="auto"/>
        </w:rPr>
      </w:pPr>
    </w:p>
    <w:p>
      <w:pPr>
        <w:jc w:val="both"/>
        <w:ind w:firstLine="232"/>
        <w:spacing w:after="0" w:line="230" w:lineRule="auto"/>
        <w:rPr>
          <w:sz w:val="20"/>
          <w:szCs w:val="20"/>
          <w:color w:val="auto"/>
        </w:rPr>
      </w:pPr>
      <w:r>
        <w:rPr>
          <w:rFonts w:ascii="Arial" w:cs="Arial" w:eastAsia="Arial" w:hAnsi="Arial"/>
          <w:sz w:val="17"/>
          <w:szCs w:val="17"/>
          <w:color w:val="auto"/>
        </w:rPr>
        <w:t>We are unsure whether, when, or in what form the Payday Rule will go into effect. Though we do not currently expect the Payday Rule to have a material adverse impact on Emerald Advance</w:t>
      </w:r>
      <w:r>
        <w:rPr>
          <w:rFonts w:ascii="Arial" w:cs="Arial" w:eastAsia="Arial" w:hAnsi="Arial"/>
          <w:sz w:val="22"/>
          <w:szCs w:val="22"/>
          <w:color w:val="auto"/>
          <w:vertAlign w:val="superscript"/>
        </w:rPr>
        <w:t>SM</w:t>
      </w:r>
      <w:r>
        <w:rPr>
          <w:rFonts w:ascii="Arial" w:cs="Arial" w:eastAsia="Arial" w:hAnsi="Arial"/>
          <w:sz w:val="17"/>
          <w:szCs w:val="17"/>
          <w:color w:val="auto"/>
        </w:rPr>
        <w:t>, our business, or our consolidated financial position, results of operations, and cash flows, we will continue to monitor and analyze the potential impact of any further developments on the Company.</w:t>
      </w:r>
    </w:p>
    <w:p>
      <w:pPr>
        <w:spacing w:after="0" w:line="10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There have been no other material changes in our regulatory environment from what was reported in our June 30, 2022 Annual Report to Shareholders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INFORMATION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89"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9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598805</wp:posOffset>
            </wp:positionV>
            <wp:extent cx="21272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266"/>
        <w:spacing w:after="0"/>
        <w:tabs>
          <w:tab w:leader="none" w:pos="36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net loss to EBITDA from continuing operations, which is a non-GAAP financial measure: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ind w:left="140"/>
              <w:spacing w:after="0"/>
              <w:rPr>
                <w:sz w:val="20"/>
                <w:szCs w:val="20"/>
                <w:color w:val="auto"/>
              </w:rPr>
            </w:pPr>
            <w:r>
              <w:rPr>
                <w:rFonts w:ascii="Arial" w:cs="Arial" w:eastAsia="Arial" w:hAnsi="Arial"/>
                <w:sz w:val="15"/>
                <w:szCs w:val="15"/>
                <w:color w:val="auto"/>
              </w:rPr>
              <w:t>Three months ended December 31,</w:t>
            </w:r>
          </w:p>
        </w:tc>
        <w:tc>
          <w:tcPr>
            <w:tcW w:w="360" w:type="dxa"/>
            <w:vAlign w:val="bottom"/>
          </w:tcPr>
          <w:p>
            <w:pPr>
              <w:spacing w:after="0"/>
              <w:rPr>
                <w:sz w:val="17"/>
                <w:szCs w:val="17"/>
                <w:color w:val="auto"/>
              </w:rPr>
            </w:pPr>
          </w:p>
        </w:tc>
        <w:tc>
          <w:tcPr>
            <w:tcW w:w="3100" w:type="dxa"/>
            <w:vAlign w:val="bottom"/>
            <w:gridSpan w:val="4"/>
          </w:tcPr>
          <w:p>
            <w:pPr>
              <w:jc w:val="right"/>
              <w:ind w:right="524"/>
              <w:spacing w:after="0"/>
              <w:rPr>
                <w:sz w:val="20"/>
                <w:szCs w:val="20"/>
                <w:color w:val="auto"/>
              </w:rPr>
            </w:pPr>
            <w:r>
              <w:rPr>
                <w:rFonts w:ascii="Arial" w:cs="Arial" w:eastAsia="Arial" w:hAnsi="Arial"/>
                <w:sz w:val="15"/>
                <w:szCs w:val="15"/>
                <w:color w:val="auto"/>
              </w:rPr>
              <w:t>Six months ended December 31,</w:t>
            </w:r>
          </w:p>
        </w:tc>
      </w:tr>
      <w:tr>
        <w:trPr>
          <w:trHeight w:val="201"/>
        </w:trPr>
        <w:tc>
          <w:tcPr>
            <w:tcW w:w="4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9"/>
        </w:trPr>
        <w:tc>
          <w:tcPr>
            <w:tcW w:w="4400" w:type="dxa"/>
            <w:vAlign w:val="bottom"/>
            <w:gridSpan w:val="2"/>
          </w:tcPr>
          <w:p>
            <w:pPr>
              <w:ind w:left="20"/>
              <w:spacing w:after="0"/>
              <w:rPr>
                <w:sz w:val="20"/>
                <w:szCs w:val="20"/>
                <w:color w:val="auto"/>
              </w:rPr>
            </w:pPr>
            <w:r>
              <w:rPr>
                <w:rFonts w:ascii="Arial" w:cs="Arial" w:eastAsia="Arial" w:hAnsi="Arial"/>
                <w:sz w:val="15"/>
                <w:szCs w:val="15"/>
                <w:color w:val="auto"/>
              </w:rPr>
              <w:t>Net loss - as reported</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(223,579)</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(190,605)</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(392,000)</w:t>
            </w:r>
          </w:p>
        </w:tc>
        <w:tc>
          <w:tcPr>
            <w:tcW w:w="100" w:type="dxa"/>
            <w:vAlign w:val="bottom"/>
          </w:tcPr>
          <w:p>
            <w:pPr>
              <w:spacing w:after="0"/>
              <w:rPr>
                <w:sz w:val="17"/>
                <w:szCs w:val="17"/>
                <w:color w:val="auto"/>
              </w:rPr>
            </w:pPr>
          </w:p>
        </w:tc>
        <w:tc>
          <w:tcPr>
            <w:tcW w:w="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(342,206)</w:t>
            </w:r>
          </w:p>
        </w:tc>
      </w:tr>
      <w:tr>
        <w:trPr>
          <w:trHeight w:val="20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Discontinued operations, net</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2,716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3,770</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3,188</w:t>
            </w:r>
          </w:p>
        </w:tc>
      </w:tr>
      <w:tr>
        <w:trPr>
          <w:trHeight w:val="199"/>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(220,863)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(189,073)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(388,230)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(339,018)</w:t>
            </w:r>
          </w:p>
        </w:tc>
      </w:tr>
      <w:tr>
        <w:trPr>
          <w:trHeight w:val="18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 back:</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5"/>
        </w:trPr>
        <w:tc>
          <w:tcPr>
            <w:tcW w:w="4400" w:type="dxa"/>
            <w:vAlign w:val="bottom"/>
            <w:gridSpan w:val="2"/>
          </w:tcPr>
          <w:p>
            <w:pPr>
              <w:ind w:left="140"/>
              <w:spacing w:after="0"/>
              <w:rPr>
                <w:sz w:val="20"/>
                <w:szCs w:val="20"/>
                <w:color w:val="auto"/>
              </w:rPr>
            </w:pPr>
            <w:r>
              <w:rPr>
                <w:rFonts w:ascii="Arial" w:cs="Arial" w:eastAsia="Arial" w:hAnsi="Arial"/>
                <w:sz w:val="15"/>
                <w:szCs w:val="15"/>
                <w:color w:val="auto"/>
              </w:rPr>
              <w:t>Income tax benefit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(77,140)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(109,845)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(131,097)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(157,218)</w:t>
            </w:r>
          </w:p>
        </w:tc>
      </w:tr>
      <w:tr>
        <w:trPr>
          <w:trHeight w:val="207"/>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18,985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34,809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45,915</w:t>
            </w:r>
          </w:p>
        </w:tc>
      </w:tr>
      <w:tr>
        <w:trPr>
          <w:trHeight w:val="205"/>
        </w:trPr>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32,723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35,631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66,347</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71,346</w:t>
            </w:r>
          </w:p>
        </w:tc>
      </w:tr>
      <w:tr>
        <w:trPr>
          <w:trHeight w:val="199"/>
        </w:trPr>
        <w:tc>
          <w:tcPr>
            <w:tcW w:w="4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(25,432)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(51,129)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(29,941)</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(39,957)</w:t>
            </w:r>
          </w:p>
        </w:tc>
      </w:tr>
      <w:tr>
        <w:trPr>
          <w:trHeight w:val="237"/>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EBITDA from continuing operations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(246,295)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(240,202)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(418,171)</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(378,975)</w:t>
            </w:r>
          </w:p>
        </w:tc>
      </w:tr>
      <w:tr>
        <w:trPr>
          <w:trHeight w:val="20"/>
        </w:trPr>
        <w:tc>
          <w:tcPr>
            <w:tcW w:w="4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is a non-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w:t>
      </w:r>
    </w:p>
    <w:p>
      <w:pPr>
        <w:spacing w:after="0" w:line="81"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5"/>
          </w:tcPr>
          <w:p>
            <w:pPr>
              <w:ind w:left="200"/>
              <w:spacing w:after="0"/>
              <w:rPr>
                <w:sz w:val="20"/>
                <w:szCs w:val="20"/>
                <w:color w:val="auto"/>
              </w:rPr>
            </w:pPr>
            <w:r>
              <w:rPr>
                <w:rFonts w:ascii="Arial" w:cs="Arial" w:eastAsia="Arial" w:hAnsi="Arial"/>
                <w:sz w:val="15"/>
                <w:szCs w:val="15"/>
                <w:color w:val="auto"/>
              </w:rPr>
              <w:t>Three months ended December 31,</w:t>
            </w:r>
          </w:p>
        </w:tc>
        <w:tc>
          <w:tcPr>
            <w:tcW w:w="36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4"/>
          </w:tcPr>
          <w:p>
            <w:pPr>
              <w:jc w:val="right"/>
              <w:ind w:right="523"/>
              <w:spacing w:after="0"/>
              <w:rPr>
                <w:sz w:val="20"/>
                <w:szCs w:val="20"/>
                <w:color w:val="auto"/>
              </w:rPr>
            </w:pPr>
            <w:r>
              <w:rPr>
                <w:rFonts w:ascii="Arial" w:cs="Arial" w:eastAsia="Arial" w:hAnsi="Arial"/>
                <w:sz w:val="15"/>
                <w:szCs w:val="15"/>
                <w:color w:val="auto"/>
              </w:rPr>
              <w:t>Six months ended December 31,</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9"/>
        </w:trPr>
        <w:tc>
          <w:tcPr>
            <w:tcW w:w="422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(220,863)</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(189,073)</w:t>
            </w:r>
          </w:p>
        </w:tc>
        <w:tc>
          <w:tcPr>
            <w:tcW w:w="12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(388,230)</w:t>
            </w:r>
          </w:p>
        </w:tc>
        <w:tc>
          <w:tcPr>
            <w:tcW w:w="100" w:type="dxa"/>
            <w:vAlign w:val="bottom"/>
          </w:tcPr>
          <w:p>
            <w:pPr>
              <w:spacing w:after="0"/>
              <w:rPr>
                <w:sz w:val="17"/>
                <w:szCs w:val="17"/>
                <w:color w:val="auto"/>
              </w:rPr>
            </w:pPr>
          </w:p>
        </w:tc>
        <w:tc>
          <w:tcPr>
            <w:tcW w:w="5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(339,018)</w:t>
            </w:r>
          </w:p>
        </w:tc>
        <w:tc>
          <w:tcPr>
            <w:tcW w:w="0" w:type="dxa"/>
            <w:vAlign w:val="bottom"/>
          </w:tcPr>
          <w:p>
            <w:pPr>
              <w:spacing w:after="0"/>
              <w:rPr>
                <w:sz w:val="1"/>
                <w:szCs w:val="1"/>
                <w:color w:val="auto"/>
              </w:rPr>
            </w:pPr>
          </w:p>
        </w:tc>
      </w:tr>
      <w:tr>
        <w:trPr>
          <w:trHeight w:val="20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20" w:type="dxa"/>
            <w:vAlign w:val="bottom"/>
            <w:gridSpan w:val="2"/>
          </w:tcPr>
          <w:p>
            <w:pPr>
              <w:ind w:left="140"/>
              <w:spacing w:after="0"/>
              <w:rPr>
                <w:sz w:val="20"/>
                <w:szCs w:val="20"/>
                <w:color w:val="auto"/>
              </w:rPr>
            </w:pPr>
            <w:r>
              <w:rPr>
                <w:rFonts w:ascii="Arial" w:cs="Arial" w:eastAsia="Arial" w:hAnsi="Arial"/>
                <w:sz w:val="15"/>
                <w:szCs w:val="15"/>
                <w:color w:val="auto"/>
              </w:rPr>
              <w:t>Amortization of intangibles related to acquisitions (pretax)</w:t>
            </w:r>
          </w:p>
        </w:tc>
        <w:tc>
          <w:tcPr>
            <w:tcW w:w="3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b w:val="1"/>
                <w:bCs w:val="1"/>
                <w:color w:val="auto"/>
              </w:rPr>
              <w:t>12,839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14,292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b w:val="1"/>
                <w:bCs w:val="1"/>
                <w:color w:val="auto"/>
              </w:rPr>
              <w:t>25,535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29,162</w:t>
            </w:r>
          </w:p>
        </w:tc>
        <w:tc>
          <w:tcPr>
            <w:tcW w:w="0" w:type="dxa"/>
            <w:vAlign w:val="bottom"/>
          </w:tcPr>
          <w:p>
            <w:pPr>
              <w:spacing w:after="0"/>
              <w:rPr>
                <w:sz w:val="1"/>
                <w:szCs w:val="1"/>
                <w:color w:val="auto"/>
              </w:rPr>
            </w:pPr>
          </w:p>
        </w:tc>
      </w:tr>
      <w:tr>
        <w:trPr>
          <w:trHeight w:val="207"/>
        </w:trPr>
        <w:tc>
          <w:tcPr>
            <w:tcW w:w="422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 xml:space="preserve">Tax effect of adjustments </w:t>
            </w:r>
            <w:r>
              <w:rPr>
                <w:rFonts w:ascii="Arial" w:cs="Arial" w:eastAsia="Arial" w:hAnsi="Arial"/>
                <w:sz w:val="20"/>
                <w:szCs w:val="20"/>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(2,787)</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(6,008)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(5,557)</w:t>
            </w:r>
          </w:p>
        </w:tc>
        <w:tc>
          <w:tcPr>
            <w:tcW w:w="0" w:type="dxa"/>
            <w:vAlign w:val="bottom"/>
          </w:tcPr>
          <w:p>
            <w:pPr>
              <w:spacing w:after="0"/>
              <w:rPr>
                <w:sz w:val="1"/>
                <w:szCs w:val="1"/>
                <w:color w:val="auto"/>
              </w:rPr>
            </w:pPr>
          </w:p>
        </w:tc>
      </w:tr>
      <w:tr>
        <w:trPr>
          <w:trHeight w:val="198"/>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Adjusted net loss from continuing operations</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(210,811)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(176,703)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(368,703)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(315,413)</w:t>
            </w:r>
          </w:p>
        </w:tc>
        <w:tc>
          <w:tcPr>
            <w:tcW w:w="0" w:type="dxa"/>
            <w:vAlign w:val="bottom"/>
          </w:tcPr>
          <w:p>
            <w:pPr>
              <w:spacing w:after="0"/>
              <w:rPr>
                <w:sz w:val="1"/>
                <w:szCs w:val="1"/>
                <w:color w:val="auto"/>
              </w:rPr>
            </w:pPr>
          </w:p>
        </w:tc>
      </w:tr>
      <w:tr>
        <w:trPr>
          <w:trHeight w:val="151"/>
        </w:trPr>
        <w:tc>
          <w:tcPr>
            <w:tcW w:w="42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Diluted loss per share from continuing operations - as</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(2.48)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reported</w:t>
            </w:r>
          </w:p>
        </w:tc>
        <w:tc>
          <w:tcPr>
            <w:tcW w:w="3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Adjustments, net of tax</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0.06</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0.12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20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Adjusted diluted loss per share from continuing operations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(1.37)</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32"/>
        </w:trPr>
        <w:tc>
          <w:tcPr>
            <w:tcW w:w="4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610870</wp:posOffset>
            </wp:positionV>
            <wp:extent cx="220980" cy="122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84"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1"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93"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Details about risks, uncertainties and assumptions that could affect various aspects of our business are included throughout our Annual Report on Form 10-K for the fiscal year ended June 30, 2022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2022.</w:t>
      </w:r>
    </w:p>
    <w:p>
      <w:pPr>
        <w:spacing w:after="0" w:line="63"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market risks from those reported in our June 30, 2022 Annual Report to Shareholders on Form 10-K.</w:t>
      </w:r>
    </w:p>
    <w:p>
      <w:pPr>
        <w:spacing w:after="0" w:line="86"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4.</w:t>
        <w:tab/>
        <w:t>CONTROLS AND PROCEDURES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 As of the end of the period covered by this Form 10-Q, management,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 There were no changes during the three months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2022 that materially affected, or are reasonably likely to materially affect, our internal control over financial reporting.</w:t>
      </w:r>
    </w:p>
    <w:p>
      <w:pPr>
        <w:spacing w:after="0" w:line="36"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14AA40"/>
        </w:rPr>
        <w:t>PART II</w:t>
      </w:r>
      <w:r>
        <w:rPr>
          <w:sz w:val="20"/>
          <w:szCs w:val="20"/>
          <w:color w:val="auto"/>
        </w:rPr>
        <w:tab/>
      </w:r>
      <w:r>
        <w:rPr>
          <w:rFonts w:ascii="Arial" w:cs="Arial" w:eastAsia="Arial" w:hAnsi="Arial"/>
          <w:sz w:val="23"/>
          <w:szCs w:val="23"/>
          <w:b w:val="1"/>
          <w:bCs w:val="1"/>
          <w:color w:val="14AA40"/>
        </w:rPr>
        <w:t>OTHER INFORMATION</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1.</w:t>
        <w:tab/>
        <w:t>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description of our material pending legal proceedings, see discussion in </w:t>
      </w:r>
      <w:r>
        <w:rPr>
          <w:rFonts w:ascii="Arial" w:cs="Arial" w:eastAsia="Arial" w:hAnsi="Arial"/>
          <w:sz w:val="17"/>
          <w:szCs w:val="17"/>
          <w:u w:val="single" w:color="auto"/>
          <w:color w:val="0000FF"/>
        </w:rPr>
        <w:t>Part I, Item 1, note 9</w:t>
      </w:r>
      <w:r>
        <w:rPr>
          <w:rFonts w:ascii="Arial" w:cs="Arial" w:eastAsia="Arial" w:hAnsi="Arial"/>
          <w:sz w:val="17"/>
          <w:szCs w:val="17"/>
          <w:color w:val="auto"/>
        </w:rPr>
        <w:t xml:space="preserve"> to the consolidated financial statements.</w:t>
      </w:r>
    </w:p>
    <w:p>
      <w:pPr>
        <w:spacing w:after="0" w:line="86" w:lineRule="exact"/>
        <w:rPr>
          <w:sz w:val="20"/>
          <w:szCs w:val="20"/>
          <w:color w:val="auto"/>
        </w:rPr>
      </w:pPr>
    </w:p>
    <w:p>
      <w:pPr>
        <w:spacing w:after="0"/>
        <w:tabs>
          <w:tab w:leader="none" w:pos="1260" w:val="left"/>
        </w:tabs>
        <w:rPr>
          <w:sz w:val="20"/>
          <w:szCs w:val="20"/>
          <w:color w:val="auto"/>
        </w:rPr>
      </w:pPr>
      <w:r>
        <w:rPr>
          <w:rFonts w:ascii="Arial" w:cs="Arial" w:eastAsia="Arial" w:hAnsi="Arial"/>
          <w:sz w:val="24"/>
          <w:szCs w:val="24"/>
          <w:b w:val="1"/>
          <w:bCs w:val="1"/>
          <w:color w:val="14AA40"/>
        </w:rPr>
        <w:t>ITEM 1A.</w:t>
      </w:r>
      <w:r>
        <w:rPr>
          <w:sz w:val="20"/>
          <w:szCs w:val="20"/>
          <w:color w:val="auto"/>
        </w:rPr>
        <w:tab/>
      </w:r>
      <w:r>
        <w:rPr>
          <w:rFonts w:ascii="Arial" w:cs="Arial" w:eastAsia="Arial" w:hAnsi="Arial"/>
          <w:sz w:val="23"/>
          <w:szCs w:val="23"/>
          <w:b w:val="1"/>
          <w:bCs w:val="1"/>
          <w:color w:val="14AA40"/>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risk factors from those reported in our June 30, 2022 Annual Report to Shareholders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613410</wp:posOffset>
            </wp:positionV>
            <wp:extent cx="212725" cy="1225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266"/>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2.</w:t>
        <w:tab/>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purchases of H&amp;R Block common stock during the three months ended December 31, 2022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0"/>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5"/>
                <w:szCs w:val="15"/>
                <w:color w:val="auto"/>
              </w:rPr>
              <w:t>Total Number of Shares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5"/>
                <w:szCs w:val="15"/>
                <w:color w:val="auto"/>
              </w:rPr>
              <w:t>Maximum Dollar Value of</w:t>
            </w: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5"/>
                <w:szCs w:val="15"/>
                <w:color w:val="auto"/>
              </w:rPr>
              <w:t>Average</w:t>
            </w:r>
          </w:p>
        </w:tc>
        <w:tc>
          <w:tcPr>
            <w:tcW w:w="2440" w:type="dxa"/>
            <w:vAlign w:val="bottom"/>
          </w:tcPr>
          <w:p>
            <w:pPr>
              <w:jc w:val="right"/>
              <w:spacing w:after="0" w:line="155" w:lineRule="exact"/>
              <w:rPr>
                <w:sz w:val="20"/>
                <w:szCs w:val="20"/>
                <w:color w:val="auto"/>
              </w:rPr>
            </w:pPr>
            <w:r>
              <w:rPr>
                <w:rFonts w:ascii="Arial" w:cs="Arial" w:eastAsia="Arial" w:hAnsi="Arial"/>
                <w:sz w:val="15"/>
                <w:szCs w:val="15"/>
                <w:color w:val="auto"/>
              </w:rPr>
              <w:t>Purchased as Part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right"/>
              <w:spacing w:after="0" w:line="155" w:lineRule="exact"/>
              <w:rPr>
                <w:sz w:val="20"/>
                <w:szCs w:val="20"/>
                <w:color w:val="auto"/>
              </w:rPr>
            </w:pPr>
            <w:r>
              <w:rPr>
                <w:rFonts w:ascii="Arial" w:cs="Arial" w:eastAsia="Arial" w:hAnsi="Arial"/>
                <w:sz w:val="15"/>
                <w:szCs w:val="15"/>
                <w:color w:val="auto"/>
              </w:rPr>
              <w:t>Shares that May Yet Be</w:t>
            </w:r>
          </w:p>
        </w:tc>
      </w:tr>
      <w:tr>
        <w:trPr>
          <w:trHeight w:val="152"/>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right"/>
              <w:spacing w:after="0" w:line="152" w:lineRule="exact"/>
              <w:rPr>
                <w:sz w:val="20"/>
                <w:szCs w:val="20"/>
                <w:color w:val="auto"/>
              </w:rPr>
            </w:pPr>
            <w:r>
              <w:rPr>
                <w:rFonts w:ascii="Arial" w:cs="Arial" w:eastAsia="Arial" w:hAnsi="Arial"/>
                <w:sz w:val="15"/>
                <w:szCs w:val="15"/>
                <w:color w:val="auto"/>
              </w:rPr>
              <w:t>Total 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40"/>
              <w:spacing w:after="0" w:line="152" w:lineRule="exact"/>
              <w:rPr>
                <w:sz w:val="20"/>
                <w:szCs w:val="20"/>
                <w:color w:val="auto"/>
              </w:rPr>
            </w:pPr>
            <w:r>
              <w:rPr>
                <w:rFonts w:ascii="Arial" w:cs="Arial" w:eastAsia="Arial" w:hAnsi="Arial"/>
                <w:sz w:val="15"/>
                <w:szCs w:val="15"/>
                <w:color w:val="auto"/>
              </w:rPr>
              <w:t>Price Paid</w:t>
            </w:r>
          </w:p>
        </w:tc>
        <w:tc>
          <w:tcPr>
            <w:tcW w:w="2440" w:type="dxa"/>
            <w:vAlign w:val="bottom"/>
          </w:tcPr>
          <w:p>
            <w:pPr>
              <w:jc w:val="right"/>
              <w:spacing w:after="0" w:line="152" w:lineRule="exact"/>
              <w:rPr>
                <w:sz w:val="20"/>
                <w:szCs w:val="20"/>
                <w:color w:val="auto"/>
              </w:rPr>
            </w:pPr>
            <w:r>
              <w:rPr>
                <w:rFonts w:ascii="Arial" w:cs="Arial" w:eastAsia="Arial" w:hAnsi="Arial"/>
                <w:sz w:val="15"/>
                <w:szCs w:val="15"/>
                <w:color w:val="auto"/>
              </w:rPr>
              <w:t>Publicly Announced Plans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right"/>
              <w:spacing w:after="0" w:line="152" w:lineRule="exact"/>
              <w:rPr>
                <w:sz w:val="20"/>
                <w:szCs w:val="20"/>
                <w:color w:val="auto"/>
              </w:rPr>
            </w:pPr>
            <w:r>
              <w:rPr>
                <w:rFonts w:ascii="Arial" w:cs="Arial" w:eastAsia="Arial" w:hAnsi="Arial"/>
                <w:sz w:val="15"/>
                <w:szCs w:val="15"/>
                <w:color w:val="auto"/>
              </w:rPr>
              <w:t>Purchased Under the Plans</w:t>
            </w:r>
          </w:p>
        </w:tc>
      </w:tr>
      <w:tr>
        <w:trPr>
          <w:trHeight w:val="194"/>
        </w:trPr>
        <w:tc>
          <w:tcPr>
            <w:tcW w:w="2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0"/>
                <w:szCs w:val="20"/>
                <w:color w:val="auto"/>
                <w:vertAlign w:val="superscript"/>
              </w:rPr>
              <w:t>(1)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per Share</w:t>
            </w:r>
          </w:p>
        </w:tc>
        <w:tc>
          <w:tcPr>
            <w:tcW w:w="120" w:type="dxa"/>
            <w:vAlign w:val="bottom"/>
          </w:tcPr>
          <w:p>
            <w:pPr>
              <w:spacing w:after="0"/>
              <w:rPr>
                <w:sz w:val="16"/>
                <w:szCs w:val="16"/>
                <w:color w:val="auto"/>
              </w:rPr>
            </w:pPr>
          </w:p>
        </w:tc>
        <w:tc>
          <w:tcPr>
            <w:tcW w:w="24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October 1 - October 31</w:t>
            </w: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244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2380" w:type="dxa"/>
            <w:vAlign w:val="bottom"/>
          </w:tcPr>
          <w:p>
            <w:pPr>
              <w:jc w:val="right"/>
              <w:spacing w:after="0"/>
              <w:rPr>
                <w:sz w:val="20"/>
                <w:szCs w:val="20"/>
                <w:color w:val="auto"/>
              </w:rPr>
            </w:pPr>
            <w:r>
              <w:rPr>
                <w:rFonts w:ascii="Arial" w:cs="Arial" w:eastAsia="Arial" w:hAnsi="Arial"/>
                <w:sz w:val="15"/>
                <w:szCs w:val="15"/>
                <w:b w:val="1"/>
                <w:bCs w:val="1"/>
                <w:color w:val="auto"/>
              </w:rPr>
              <w:t>1,030,304</w:t>
            </w:r>
          </w:p>
        </w:tc>
      </w:tr>
      <w:tr>
        <w:trPr>
          <w:trHeight w:val="20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November 1 - November 30</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1,784</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39.88</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1,783</w:t>
            </w: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959,217</w:t>
            </w:r>
          </w:p>
        </w:tc>
      </w:tr>
      <w:tr>
        <w:trPr>
          <w:trHeight w:val="205"/>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December 1 - December 31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1,459</w:t>
            </w:r>
          </w:p>
        </w:tc>
        <w:tc>
          <w:tcPr>
            <w:tcW w:w="360" w:type="dxa"/>
            <w:vAlign w:val="bottom"/>
            <w:tcBorders>
              <w:bottom w:val="single" w:sz="8" w:color="CCEEFF"/>
            </w:tcBorders>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40.60</w:t>
            </w:r>
          </w:p>
        </w:tc>
        <w:tc>
          <w:tcPr>
            <w:tcW w:w="12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1,458</w:t>
            </w:r>
          </w:p>
        </w:tc>
        <w:tc>
          <w:tcPr>
            <w:tcW w:w="38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b w:val="1"/>
                <w:bCs w:val="1"/>
                <w:color w:val="auto"/>
              </w:rPr>
              <w:t>$</w:t>
            </w:r>
          </w:p>
        </w:tc>
        <w:tc>
          <w:tcPr>
            <w:tcW w:w="238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900,000</w:t>
            </w:r>
          </w:p>
        </w:tc>
      </w:tr>
      <w:tr>
        <w:trPr>
          <w:trHeight w:val="200"/>
        </w:trPr>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3,243</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40.21</w:t>
            </w:r>
          </w:p>
        </w:tc>
        <w:tc>
          <w:tcPr>
            <w:tcW w:w="120" w:type="dxa"/>
            <w:vAlign w:val="bottom"/>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bl>
    <w:p>
      <w:pPr>
        <w:spacing w:after="0" w:line="95" w:lineRule="exact"/>
        <w:rPr>
          <w:sz w:val="20"/>
          <w:szCs w:val="20"/>
          <w:color w:val="auto"/>
        </w:rPr>
      </w:pPr>
    </w:p>
    <w:p>
      <w:pPr>
        <w:ind w:left="160" w:hanging="157"/>
        <w:spacing w:after="0" w:line="210" w:lineRule="auto"/>
        <w:tabs>
          <w:tab w:leader="none" w:pos="166"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We purchased approximately 2 thousand shares in connection with funding employee income tax withholding obligations arising upon the lapse of restrictions on restricted share units.</w:t>
      </w:r>
    </w:p>
    <w:p>
      <w:pPr>
        <w:ind w:left="160" w:hanging="157"/>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In August 2022, we announced that our Board of Directors approved a $1.25 billion share repurchase program, effective through June 2025.</w:t>
      </w:r>
    </w:p>
    <w:p>
      <w:pPr>
        <w:spacing w:after="0" w:line="77"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6"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4.</w:t>
        <w:tab/>
        <w:t>MINE SAFETY DISCLOSURES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86"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5.</w:t>
      </w:r>
      <w:r>
        <w:rPr>
          <w:sz w:val="20"/>
          <w:szCs w:val="20"/>
          <w:color w:val="auto"/>
        </w:rPr>
        <w:tab/>
      </w:r>
      <w:r>
        <w:rPr>
          <w:rFonts w:ascii="Arial" w:cs="Arial" w:eastAsia="Arial" w:hAnsi="Arial"/>
          <w:sz w:val="23"/>
          <w:szCs w:val="23"/>
          <w:b w:val="1"/>
          <w:bCs w:val="1"/>
          <w:color w:val="14AA40"/>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6"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6.</w:t>
      </w:r>
      <w:r>
        <w:rPr>
          <w:sz w:val="20"/>
          <w:szCs w:val="20"/>
          <w:color w:val="auto"/>
        </w:rPr>
        <w:tab/>
      </w:r>
      <w:r>
        <w:rPr>
          <w:rFonts w:ascii="Arial" w:cs="Arial" w:eastAsia="Arial" w:hAnsi="Arial"/>
          <w:sz w:val="23"/>
          <w:szCs w:val="23"/>
          <w:b w:val="1"/>
          <w:bCs w:val="1"/>
          <w:color w:val="14AA40"/>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numbered in accordance with the Exhibit Table of Item 601 of Regulation S-K:</w:t>
      </w:r>
    </w:p>
    <w:p>
      <w:pPr>
        <w:spacing w:after="0" w:line="49" w:lineRule="exact"/>
        <w:rPr>
          <w:sz w:val="20"/>
          <w:szCs w:val="20"/>
          <w:color w:val="auto"/>
        </w:rPr>
      </w:pPr>
    </w:p>
    <w:p>
      <w:pPr>
        <w:ind w:left="1060" w:right="180" w:hanging="1040"/>
        <w:spacing w:after="0" w:line="249" w:lineRule="auto"/>
        <w:tabs>
          <w:tab w:leader="none" w:pos="1060" w:val="left"/>
        </w:tabs>
        <w:numPr>
          <w:ilvl w:val="0"/>
          <w:numId w:val="19"/>
        </w:numPr>
        <w:rPr>
          <w:rFonts w:ascii="Arial" w:cs="Arial" w:eastAsia="Arial" w:hAnsi="Arial"/>
          <w:sz w:val="17"/>
          <w:szCs w:val="17"/>
          <w:u w:val="single" w:color="auto"/>
          <w:color w:val="0000FF"/>
        </w:rPr>
      </w:pPr>
      <w:hyperlink r:id="rId65">
        <w:r>
          <w:rPr>
            <w:rFonts w:ascii="Arial" w:cs="Arial" w:eastAsia="Arial" w:hAnsi="Arial"/>
            <w:sz w:val="17"/>
            <w:szCs w:val="17"/>
            <w:u w:val="single" w:color="auto"/>
            <w:color w:val="0000FF"/>
          </w:rPr>
          <w:t>List of Guarantor and Issuer Subsidiaries, filed as Exhibit 22 to the Company’s Annual Report on Form 10-K for the year ended</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June 30, 2022, file number 1-06089, is incorporated herein by reference.</w:t>
        </w:r>
      </w:hyperlink>
    </w:p>
    <w:p>
      <w:pPr>
        <w:spacing w:after="0" w:line="6"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1</w:t>
            </w:r>
          </w:p>
        </w:tc>
        <w:tc>
          <w:tcPr>
            <w:tcW w:w="520" w:type="dxa"/>
            <w:vAlign w:val="bottom"/>
            <w:shd w:val="clear" w:color="auto" w:fill="CCEEFF"/>
          </w:tcPr>
          <w:p>
            <w:pPr>
              <w:spacing w:after="0"/>
              <w:rPr>
                <w:sz w:val="16"/>
                <w:szCs w:val="16"/>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0000FF"/>
              </w:rPr>
              <w:t>Certification by Chief Executive Officer pursuant to Section 302 of the Sarbanes-Oxley Act of 2002.</w:t>
            </w:r>
          </w:p>
        </w:tc>
      </w:tr>
      <w:tr>
        <w:trPr>
          <w:trHeight w:val="39"/>
        </w:trPr>
        <w:tc>
          <w:tcPr>
            <w:tcW w:w="2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2</w:t>
            </w:r>
          </w:p>
        </w:tc>
        <w:tc>
          <w:tcPr>
            <w:tcW w:w="520" w:type="dxa"/>
            <w:vAlign w:val="bottom"/>
          </w:tcPr>
          <w:p>
            <w:pPr>
              <w:spacing w:after="0"/>
              <w:rPr>
                <w:sz w:val="15"/>
                <w:szCs w:val="15"/>
                <w:color w:val="auto"/>
              </w:rPr>
            </w:pPr>
          </w:p>
        </w:tc>
        <w:tc>
          <w:tcPr>
            <w:tcW w:w="10220" w:type="dxa"/>
            <w:vAlign w:val="bottom"/>
            <w:gridSpan w:val="4"/>
          </w:tcPr>
          <w:p>
            <w:pPr>
              <w:ind w:left="180"/>
              <w:spacing w:after="0" w:line="180" w:lineRule="exact"/>
              <w:rPr>
                <w:sz w:val="20"/>
                <w:szCs w:val="20"/>
                <w:color w:val="auto"/>
              </w:rPr>
            </w:pPr>
            <w:r>
              <w:rPr>
                <w:rFonts w:ascii="Arial" w:cs="Arial" w:eastAsia="Arial" w:hAnsi="Arial"/>
                <w:sz w:val="17"/>
                <w:szCs w:val="17"/>
                <w:color w:val="0000FF"/>
              </w:rPr>
              <w:t>Certification by Chief Financial Officer pursuant to Section 302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40" w:type="dxa"/>
            <w:vAlign w:val="bottom"/>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9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1</w:t>
            </w:r>
          </w:p>
        </w:tc>
        <w:tc>
          <w:tcPr>
            <w:tcW w:w="520" w:type="dxa"/>
            <w:vAlign w:val="bottom"/>
            <w:shd w:val="clear" w:color="auto" w:fill="CCEEFF"/>
          </w:tcPr>
          <w:p>
            <w:pPr>
              <w:spacing w:after="0"/>
              <w:rPr>
                <w:sz w:val="16"/>
                <w:szCs w:val="16"/>
                <w:color w:val="auto"/>
              </w:rPr>
            </w:pPr>
          </w:p>
        </w:tc>
        <w:tc>
          <w:tcPr>
            <w:tcW w:w="10220" w:type="dxa"/>
            <w:vAlign w:val="bottom"/>
            <w:gridSpan w:val="4"/>
            <w:shd w:val="clear" w:color="auto" w:fill="CCEEFF"/>
          </w:tcPr>
          <w:p>
            <w:pPr>
              <w:ind w:left="180"/>
              <w:spacing w:after="0" w:line="190" w:lineRule="exact"/>
              <w:rPr>
                <w:sz w:val="20"/>
                <w:szCs w:val="20"/>
                <w:color w:val="auto"/>
              </w:rPr>
            </w:pPr>
            <w:r>
              <w:rPr>
                <w:rFonts w:ascii="Arial" w:cs="Arial" w:eastAsia="Arial" w:hAnsi="Arial"/>
                <w:sz w:val="17"/>
                <w:szCs w:val="17"/>
                <w:color w:val="0000FF"/>
              </w:rPr>
              <w:t>Certification by Chief Executive Officer pursuant to 18 U.S.C. 1350, as adopted by Section 906 of the Sarbanes-Oxley Act of 2002.</w:t>
            </w:r>
          </w:p>
        </w:tc>
      </w:tr>
      <w:tr>
        <w:trPr>
          <w:trHeight w:val="39"/>
        </w:trPr>
        <w:tc>
          <w:tcPr>
            <w:tcW w:w="2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40" w:type="dxa"/>
            <w:vAlign w:val="bottom"/>
            <w:shd w:val="clear" w:color="auto" w:fill="0000FF"/>
          </w:tcPr>
          <w:p>
            <w:pPr>
              <w:spacing w:after="0"/>
              <w:rPr>
                <w:sz w:val="3"/>
                <w:szCs w:val="3"/>
                <w:color w:val="auto"/>
              </w:rPr>
            </w:pPr>
          </w:p>
        </w:tc>
        <w:tc>
          <w:tcPr>
            <w:tcW w:w="2400" w:type="dxa"/>
            <w:vAlign w:val="bottom"/>
            <w:tcBorders>
              <w:lef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2</w:t>
            </w:r>
          </w:p>
        </w:tc>
        <w:tc>
          <w:tcPr>
            <w:tcW w:w="520" w:type="dxa"/>
            <w:vAlign w:val="bottom"/>
          </w:tcPr>
          <w:p>
            <w:pPr>
              <w:spacing w:after="0"/>
              <w:rPr>
                <w:sz w:val="15"/>
                <w:szCs w:val="15"/>
                <w:color w:val="auto"/>
              </w:rPr>
            </w:pPr>
          </w:p>
        </w:tc>
        <w:tc>
          <w:tcPr>
            <w:tcW w:w="10220" w:type="dxa"/>
            <w:vAlign w:val="bottom"/>
            <w:gridSpan w:val="4"/>
          </w:tcPr>
          <w:p>
            <w:pPr>
              <w:ind w:left="180"/>
              <w:spacing w:after="0" w:line="180" w:lineRule="exact"/>
              <w:rPr>
                <w:sz w:val="20"/>
                <w:szCs w:val="20"/>
                <w:color w:val="auto"/>
              </w:rPr>
            </w:pPr>
            <w:r>
              <w:rPr>
                <w:rFonts w:ascii="Arial" w:cs="Arial" w:eastAsia="Arial" w:hAnsi="Arial"/>
                <w:sz w:val="17"/>
                <w:szCs w:val="17"/>
                <w:color w:val="0000FF"/>
              </w:rPr>
              <w:t>Certification by Chief Financial Officer pursuant to 18 U.S.C. 1350, as adopted by Section 906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40" w:type="dxa"/>
            <w:vAlign w:val="bottom"/>
            <w:shd w:val="clear" w:color="auto" w:fill="0000FF"/>
          </w:tcPr>
          <w:p>
            <w:pPr>
              <w:spacing w:after="0"/>
              <w:rPr>
                <w:sz w:val="2"/>
                <w:szCs w:val="2"/>
                <w:color w:val="auto"/>
              </w:rPr>
            </w:pPr>
          </w:p>
        </w:tc>
        <w:tc>
          <w:tcPr>
            <w:tcW w:w="24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101.INS</w:t>
            </w:r>
          </w:p>
        </w:tc>
        <w:tc>
          <w:tcPr>
            <w:tcW w:w="10220" w:type="dxa"/>
            <w:vAlign w:val="bottom"/>
            <w:gridSpan w:val="4"/>
            <w:shd w:val="clear" w:color="auto" w:fill="CCEEFF"/>
          </w:tcPr>
          <w:p>
            <w:pPr>
              <w:ind w:left="180"/>
              <w:spacing w:after="0" w:line="189"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0"/>
        </w:trPr>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embedded within the Inline XBRL document</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101.SCH</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Schema</w:t>
            </w:r>
          </w:p>
        </w:tc>
      </w:tr>
      <w:tr>
        <w:trPr>
          <w:trHeight w:val="220"/>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Inline XBRL Extension Calculation Linkbase</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101.LAB</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Label Linkbase</w:t>
            </w:r>
          </w:p>
        </w:tc>
      </w:tr>
      <w:tr>
        <w:trPr>
          <w:trHeight w:val="220"/>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Presentation Linkbase</w:t>
            </w:r>
          </w:p>
        </w:tc>
      </w:tr>
      <w:tr>
        <w:trPr>
          <w:trHeight w:val="218"/>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101.DEF</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Definition Linkbase</w:t>
            </w:r>
          </w:p>
        </w:tc>
      </w:tr>
      <w:tr>
        <w:trPr>
          <w:trHeight w:val="220"/>
        </w:trPr>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104</w:t>
            </w:r>
          </w:p>
        </w:tc>
        <w:tc>
          <w:tcPr>
            <w:tcW w:w="520" w:type="dxa"/>
            <w:vAlign w:val="bottom"/>
            <w:shd w:val="clear" w:color="auto" w:fill="CCEEFF"/>
          </w:tcPr>
          <w:p>
            <w:pPr>
              <w:spacing w:after="0"/>
              <w:rPr>
                <w:sz w:val="19"/>
                <w:szCs w:val="19"/>
                <w:color w:val="auto"/>
              </w:rPr>
            </w:pPr>
          </w:p>
        </w:tc>
        <w:tc>
          <w:tcPr>
            <w:tcW w:w="102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6919595</wp:posOffset>
            </wp:positionH>
            <wp:positionV relativeFrom="paragraph">
              <wp:posOffset>662940</wp:posOffset>
            </wp:positionV>
            <wp:extent cx="220980" cy="122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6" w:lineRule="exact"/>
        <w:rPr>
          <w:rFonts w:ascii="Arial" w:cs="Arial" w:eastAsia="Arial" w:hAnsi="Arial"/>
          <w:sz w:val="17"/>
          <w:szCs w:val="17"/>
          <w:u w:val="single" w:color="auto"/>
          <w:color w:val="0000FF"/>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|Q2 FY2023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H&amp;R BLOCK, INC.</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Jeffrey J. Jones II</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President and Chief Executive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February 7, 2023</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Tony G. Bowen</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February 7, 2023</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358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Kellie J. Logerwell</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Accounting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February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883285</wp:posOffset>
            </wp:positionV>
            <wp:extent cx="212725" cy="122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 w:hanging="266"/>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Q2 FY2023 Form 10-Q|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 Jeffrey J. Jones II, Chief Executive Officer, certify that:</w:t>
      </w:r>
    </w:p>
    <w:p>
      <w:pPr>
        <w:spacing w:after="0" w:line="243" w:lineRule="exact"/>
        <w:rPr>
          <w:sz w:val="20"/>
          <w:szCs w:val="20"/>
          <w:color w:val="auto"/>
        </w:rPr>
      </w:pPr>
    </w:p>
    <w:p>
      <w:pPr>
        <w:ind w:left="200" w:hanging="197"/>
        <w:spacing w:after="0"/>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59" w:lineRule="auto"/>
        <w:tabs>
          <w:tab w:leader="none" w:pos="19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7"/>
          <w:szCs w:val="17"/>
          <w:color w:val="auto"/>
        </w:rPr>
      </w:pPr>
    </w:p>
    <w:p>
      <w:pPr>
        <w:ind w:right="80" w:firstLine="3"/>
        <w:spacing w:after="0" w:line="265" w:lineRule="auto"/>
        <w:tabs>
          <w:tab w:leader="none" w:pos="19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7"/>
          <w:szCs w:val="17"/>
          <w:color w:val="auto"/>
        </w:rPr>
      </w:pPr>
    </w:p>
    <w:p>
      <w:pPr>
        <w:jc w:val="both"/>
        <w:ind w:right="280" w:firstLine="3"/>
        <w:spacing w:after="0" w:line="259" w:lineRule="auto"/>
        <w:tabs>
          <w:tab w:leader="none" w:pos="19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8" w:lineRule="exact"/>
        <w:rPr>
          <w:sz w:val="20"/>
          <w:szCs w:val="20"/>
          <w:color w:val="auto"/>
        </w:rPr>
      </w:pPr>
    </w:p>
    <w:p>
      <w:pPr>
        <w:jc w:val="both"/>
        <w:ind w:firstLine="3"/>
        <w:spacing w:after="0" w:line="259" w:lineRule="auto"/>
        <w:tabs>
          <w:tab w:leader="none" w:pos="2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7"/>
          <w:szCs w:val="17"/>
          <w:color w:val="auto"/>
        </w:rPr>
      </w:pPr>
    </w:p>
    <w:p>
      <w:pPr>
        <w:ind w:right="200" w:firstLine="3"/>
        <w:spacing w:after="0" w:line="259" w:lineRule="auto"/>
        <w:tabs>
          <w:tab w:leader="none" w:pos="2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7"/>
          <w:szCs w:val="17"/>
          <w:color w:val="auto"/>
        </w:rPr>
      </w:pPr>
    </w:p>
    <w:p>
      <w:pPr>
        <w:ind w:right="680" w:firstLine="3"/>
        <w:spacing w:after="0" w:line="265" w:lineRule="auto"/>
        <w:tabs>
          <w:tab w:leader="none" w:pos="2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7"/>
          <w:szCs w:val="17"/>
          <w:color w:val="auto"/>
        </w:rPr>
      </w:pPr>
    </w:p>
    <w:p>
      <w:pPr>
        <w:jc w:val="both"/>
        <w:ind w:right="260" w:firstLine="3"/>
        <w:spacing w:after="0" w:line="259" w:lineRule="auto"/>
        <w:tabs>
          <w:tab w:leader="none" w:pos="2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sz w:val="20"/>
          <w:szCs w:val="20"/>
          <w:color w:val="auto"/>
        </w:rPr>
      </w:pPr>
    </w:p>
    <w:p>
      <w:pPr>
        <w:ind w:right="20" w:firstLine="3"/>
        <w:spacing w:after="0" w:line="265" w:lineRule="auto"/>
        <w:tabs>
          <w:tab w:leader="none" w:pos="19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ind w:right="240" w:firstLine="3"/>
        <w:spacing w:after="0" w:line="265" w:lineRule="auto"/>
        <w:tabs>
          <w:tab w:leader="none" w:pos="2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7"/>
          <w:szCs w:val="17"/>
          <w:color w:val="auto"/>
        </w:rPr>
      </w:pPr>
    </w:p>
    <w:p>
      <w:pPr>
        <w:ind w:right="180" w:firstLine="3"/>
        <w:spacing w:after="0" w:line="265" w:lineRule="auto"/>
        <w:tabs>
          <w:tab w:leader="none" w:pos="2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60" w:type="dxa"/>
            <w:vAlign w:val="bottom"/>
          </w:tcPr>
          <w:p>
            <w:pPr>
              <w:spacing w:after="0"/>
              <w:rPr>
                <w:sz w:val="20"/>
                <w:szCs w:val="20"/>
                <w:color w:val="auto"/>
              </w:rPr>
            </w:pPr>
            <w:r>
              <w:rPr>
                <w:rFonts w:ascii="Arial" w:cs="Arial" w:eastAsia="Arial" w:hAnsi="Arial"/>
                <w:sz w:val="17"/>
                <w:szCs w:val="17"/>
                <w:color w:val="auto"/>
              </w:rPr>
              <w:t>Date:   February 7, 2023</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J. Jones II</w:t>
            </w:r>
          </w:p>
        </w:tc>
      </w:tr>
      <w:tr>
        <w:trPr>
          <w:trHeight w:val="211"/>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Jeffrey J. Jones II</w:t>
            </w:r>
          </w:p>
        </w:tc>
      </w:tr>
      <w:tr>
        <w:trPr>
          <w:trHeight w:val="181"/>
        </w:trPr>
        <w:tc>
          <w:tcPr>
            <w:tcW w:w="6760" w:type="dxa"/>
            <w:vAlign w:val="bottom"/>
          </w:tcPr>
          <w:p>
            <w:pPr>
              <w:spacing w:after="0"/>
              <w:rPr>
                <w:sz w:val="15"/>
                <w:szCs w:val="15"/>
                <w:color w:val="auto"/>
              </w:rPr>
            </w:pPr>
          </w:p>
        </w:tc>
        <w:tc>
          <w:tcPr>
            <w:tcW w:w="4460" w:type="dxa"/>
            <w:vAlign w:val="bottom"/>
          </w:tcPr>
          <w:p>
            <w:pPr>
              <w:ind w:left="20"/>
              <w:spacing w:after="0" w:line="181" w:lineRule="exact"/>
              <w:rPr>
                <w:sz w:val="20"/>
                <w:szCs w:val="20"/>
                <w:color w:val="auto"/>
              </w:rPr>
            </w:pPr>
            <w:r>
              <w:rPr>
                <w:rFonts w:ascii="Arial" w:cs="Arial" w:eastAsia="Arial" w:hAnsi="Arial"/>
                <w:sz w:val="17"/>
                <w:szCs w:val="17"/>
                <w:color w:val="auto"/>
              </w:rPr>
              <w:t>Chief Executive Officer</w:t>
            </w:r>
          </w:p>
        </w:tc>
      </w:tr>
      <w:tr>
        <w:trPr>
          <w:trHeight w:val="206"/>
        </w:trPr>
        <w:tc>
          <w:tcPr>
            <w:tcW w:w="676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4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I, Tony G. Bowen, Chief Financial Officer, certify that:</w:t>
      </w:r>
    </w:p>
    <w:p>
      <w:pPr>
        <w:spacing w:after="0" w:line="243" w:lineRule="exact"/>
        <w:rPr>
          <w:sz w:val="20"/>
          <w:szCs w:val="20"/>
          <w:color w:val="auto"/>
        </w:rPr>
      </w:pPr>
    </w:p>
    <w:p>
      <w:pPr>
        <w:ind w:left="200" w:hanging="197"/>
        <w:spacing w:after="0"/>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59" w:lineRule="auto"/>
        <w:tabs>
          <w:tab w:leader="none" w:pos="1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Arial" w:cs="Arial" w:eastAsia="Arial" w:hAnsi="Arial"/>
          <w:sz w:val="17"/>
          <w:szCs w:val="17"/>
          <w:color w:val="auto"/>
        </w:rPr>
      </w:pPr>
    </w:p>
    <w:p>
      <w:pPr>
        <w:ind w:right="80" w:firstLine="3"/>
        <w:spacing w:after="0" w:line="265" w:lineRule="auto"/>
        <w:tabs>
          <w:tab w:leader="none" w:pos="1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7"/>
          <w:szCs w:val="17"/>
          <w:color w:val="auto"/>
        </w:rPr>
      </w:pPr>
    </w:p>
    <w:p>
      <w:pPr>
        <w:jc w:val="both"/>
        <w:ind w:right="280" w:firstLine="3"/>
        <w:spacing w:after="0" w:line="259" w:lineRule="auto"/>
        <w:tabs>
          <w:tab w:leader="none" w:pos="1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8" w:lineRule="exact"/>
        <w:rPr>
          <w:sz w:val="20"/>
          <w:szCs w:val="20"/>
          <w:color w:val="auto"/>
        </w:rPr>
      </w:pPr>
    </w:p>
    <w:p>
      <w:pPr>
        <w:jc w:val="both"/>
        <w:ind w:firstLine="3"/>
        <w:spacing w:after="0" w:line="259" w:lineRule="auto"/>
        <w:tabs>
          <w:tab w:leader="none" w:pos="2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7"/>
          <w:szCs w:val="17"/>
          <w:color w:val="auto"/>
        </w:rPr>
      </w:pPr>
    </w:p>
    <w:p>
      <w:pPr>
        <w:ind w:right="200" w:firstLine="3"/>
        <w:spacing w:after="0" w:line="259" w:lineRule="auto"/>
        <w:tabs>
          <w:tab w:leader="none" w:pos="2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7"/>
          <w:szCs w:val="17"/>
          <w:color w:val="auto"/>
        </w:rPr>
      </w:pPr>
    </w:p>
    <w:p>
      <w:pPr>
        <w:ind w:right="680" w:firstLine="3"/>
        <w:spacing w:after="0" w:line="265" w:lineRule="auto"/>
        <w:tabs>
          <w:tab w:leader="none" w:pos="2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7"/>
          <w:szCs w:val="17"/>
          <w:color w:val="auto"/>
        </w:rPr>
      </w:pPr>
    </w:p>
    <w:p>
      <w:pPr>
        <w:jc w:val="both"/>
        <w:ind w:right="260" w:firstLine="3"/>
        <w:spacing w:after="0" w:line="259" w:lineRule="auto"/>
        <w:tabs>
          <w:tab w:leader="none" w:pos="2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sz w:val="20"/>
          <w:szCs w:val="20"/>
          <w:color w:val="auto"/>
        </w:rPr>
      </w:pPr>
    </w:p>
    <w:p>
      <w:pPr>
        <w:ind w:right="20" w:firstLine="3"/>
        <w:spacing w:after="0" w:line="265" w:lineRule="auto"/>
        <w:tabs>
          <w:tab w:leader="none" w:pos="1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ind w:right="240" w:firstLine="3"/>
        <w:spacing w:after="0" w:line="265" w:lineRule="auto"/>
        <w:tabs>
          <w:tab w:leader="none" w:pos="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7"/>
          <w:szCs w:val="17"/>
          <w:color w:val="auto"/>
        </w:rPr>
      </w:pPr>
    </w:p>
    <w:p>
      <w:pPr>
        <w:ind w:right="180" w:firstLine="3"/>
        <w:spacing w:after="0" w:line="265" w:lineRule="auto"/>
        <w:tabs>
          <w:tab w:leader="none" w:pos="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60" w:type="dxa"/>
            <w:vAlign w:val="bottom"/>
          </w:tcPr>
          <w:p>
            <w:pPr>
              <w:spacing w:after="0"/>
              <w:rPr>
                <w:sz w:val="20"/>
                <w:szCs w:val="20"/>
                <w:color w:val="auto"/>
              </w:rPr>
            </w:pPr>
            <w:r>
              <w:rPr>
                <w:rFonts w:ascii="Arial" w:cs="Arial" w:eastAsia="Arial" w:hAnsi="Arial"/>
                <w:sz w:val="17"/>
                <w:szCs w:val="17"/>
                <w:color w:val="auto"/>
              </w:rPr>
              <w:t>Date:   February 7, 2023</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Tony G. Bowen</w:t>
            </w:r>
          </w:p>
        </w:tc>
      </w:tr>
      <w:tr>
        <w:trPr>
          <w:trHeight w:val="211"/>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Tony G. Bowen</w:t>
            </w:r>
          </w:p>
        </w:tc>
      </w:tr>
      <w:tr>
        <w:trPr>
          <w:trHeight w:val="181"/>
        </w:trPr>
        <w:tc>
          <w:tcPr>
            <w:tcW w:w="6760" w:type="dxa"/>
            <w:vAlign w:val="bottom"/>
          </w:tcPr>
          <w:p>
            <w:pPr>
              <w:spacing w:after="0"/>
              <w:rPr>
                <w:sz w:val="15"/>
                <w:szCs w:val="15"/>
                <w:color w:val="auto"/>
              </w:rPr>
            </w:pPr>
          </w:p>
        </w:tc>
        <w:tc>
          <w:tcPr>
            <w:tcW w:w="4460" w:type="dxa"/>
            <w:vAlign w:val="bottom"/>
          </w:tcPr>
          <w:p>
            <w:pPr>
              <w:ind w:left="20"/>
              <w:spacing w:after="0" w:line="181" w:lineRule="exact"/>
              <w:rPr>
                <w:sz w:val="20"/>
                <w:szCs w:val="20"/>
                <w:color w:val="auto"/>
              </w:rPr>
            </w:pPr>
            <w:r>
              <w:rPr>
                <w:rFonts w:ascii="Arial" w:cs="Arial" w:eastAsia="Arial" w:hAnsi="Arial"/>
                <w:sz w:val="17"/>
                <w:szCs w:val="17"/>
                <w:color w:val="auto"/>
              </w:rPr>
              <w:t>Chief Financial Officer</w:t>
            </w:r>
          </w:p>
        </w:tc>
      </w:tr>
      <w:tr>
        <w:trPr>
          <w:trHeight w:val="206"/>
        </w:trPr>
        <w:tc>
          <w:tcPr>
            <w:tcW w:w="676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4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63" w:lineRule="exact"/>
        <w:rPr>
          <w:sz w:val="20"/>
          <w:szCs w:val="20"/>
          <w:color w:val="auto"/>
        </w:rPr>
      </w:pPr>
    </w:p>
    <w:p>
      <w:pPr>
        <w:jc w:val="both"/>
        <w:ind w:firstLine="202"/>
        <w:spacing w:after="0" w:line="20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December 31, 2022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35" w:lineRule="exact"/>
        <w:rPr>
          <w:sz w:val="20"/>
          <w:szCs w:val="20"/>
          <w:color w:val="auto"/>
        </w:rPr>
      </w:pPr>
    </w:p>
    <w:p>
      <w:pPr>
        <w:ind w:left="1260" w:hanging="63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65"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7620</wp:posOffset>
            </wp:positionV>
            <wp:extent cx="21120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7"/>
          <w:szCs w:val="17"/>
          <w:color w:val="auto"/>
        </w:rPr>
        <w:t>Jeffrey J. Jones II</w:t>
      </w:r>
    </w:p>
    <w:p>
      <w:pPr>
        <w:ind w:left="7940"/>
        <w:spacing w:after="0" w:line="20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3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February 7, 2023</w:t>
      </w:r>
    </w:p>
    <w:p>
      <w:pPr>
        <w:sectPr>
          <w:pgSz w:w="11900" w:h="16838" w:orient="portrait"/>
          <w:cols w:equalWidth="0" w:num="1">
            <w:col w:w="11240"/>
          </w:cols>
          <w:pgMar w:left="320" w:top="14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63" w:lineRule="exact"/>
        <w:rPr>
          <w:sz w:val="20"/>
          <w:szCs w:val="20"/>
          <w:color w:val="auto"/>
        </w:rPr>
      </w:pPr>
    </w:p>
    <w:p>
      <w:pPr>
        <w:jc w:val="both"/>
        <w:ind w:firstLine="202"/>
        <w:spacing w:after="0" w:line="20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December 31, 2022 as filed with the Securities and Exchange Commission on the date hereof (the “Report”), I, Tony G. Bowen, Chief Financial Officer of the Company, certify pursuant to 18 U.S.C. § 1350, as adopted pursuant to § 906 of the Sarbanes-Oxley Act of 2002, that:</w:t>
      </w:r>
    </w:p>
    <w:p>
      <w:pPr>
        <w:spacing w:after="0" w:line="235" w:lineRule="exact"/>
        <w:rPr>
          <w:sz w:val="20"/>
          <w:szCs w:val="20"/>
          <w:color w:val="auto"/>
        </w:rPr>
      </w:pPr>
    </w:p>
    <w:p>
      <w:pPr>
        <w:ind w:left="1260" w:hanging="638"/>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65" w:lineRule="auto"/>
        <w:tabs>
          <w:tab w:leader="none" w:pos="1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8"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7620</wp:posOffset>
            </wp:positionV>
            <wp:extent cx="21120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7"/>
          <w:szCs w:val="17"/>
          <w:color w:val="auto"/>
        </w:rPr>
        <w:t>Tony G. Bowen</w:t>
      </w:r>
    </w:p>
    <w:p>
      <w:pPr>
        <w:ind w:left="794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3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February 7, 2023</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6"/>
      <w:numFmt w:val="bullet"/>
      <w:start w:val="1"/>
    </w:lvl>
  </w:abstractNum>
  <w:abstractNum w:abstractNumId="7">
    <w:nsid w:val="7C83E458"/>
    <w:multiLevelType w:val="hybridMultilevel"/>
    <w:lvl w:ilvl="0">
      <w:lvlJc w:val="left"/>
      <w:lvlText w:val="8"/>
      <w:numFmt w:val="bullet"/>
      <w:start w:val="1"/>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1"/>
      <w:numFmt w:val="decimal"/>
      <w:start w:val="14"/>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6"/>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20"/>
    </w:lvl>
  </w:abstractNum>
  <w:abstractNum w:abstractNumId="15">
    <w:nsid w:val="2D1D5AE9"/>
    <w:multiLevelType w:val="hybridMultilevel"/>
    <w:lvl w:ilvl="0">
      <w:lvlJc w:val="left"/>
      <w:lvlText w:val="%1"/>
      <w:numFmt w:val="decimal"/>
      <w:start w:val="22"/>
    </w:lvl>
  </w:abstractNum>
  <w:abstractNum w:abstractNumId="16">
    <w:nsid w:val="6763845E"/>
    <w:multiLevelType w:val="hybridMultilevel"/>
    <w:lvl w:ilvl="0">
      <w:lvlJc w:val="left"/>
      <w:lvlText w:val="%1"/>
      <w:numFmt w:val="decimal"/>
      <w:start w:val="24"/>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2"/>
    </w:lvl>
  </w:abstractNum>
  <w:abstractNum w:abstractNumId="19">
    <w:nsid w:val="79838CB2"/>
    <w:multiLevelType w:val="hybridMultilevel"/>
    <w:lvl w:ilvl="0">
      <w:lvlJc w:val="left"/>
      <w:lvlText w:val="%1"/>
      <w:numFmt w:val="decimal"/>
      <w:start w:val="26"/>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5" Type="http://schemas.openxmlformats.org/officeDocument/2006/relationships/hyperlink" Target="http://www.sec.gov/Archives/edgar/data/12659/000183886222000028/hrb2022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2023-02-07T15:58:55Z</dcterms:created>
  <dcterms:modified xsi:type="dcterms:W3CDTF">2023-02-07T15:58:55Z</dcterms:modified>
</cp:coreProperties>
</file>