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center"/>
        <w:rPr>
          <w:rFonts w:ascii="Calibri;sans-serif" w:hAnsi="Calibri;sans-serif"/>
          <w:b/>
          <w:color w:val="000000"/>
          <w:sz w:val="20"/>
        </w:rPr>
      </w:pPr>
      <w:r>
        <w:rPr>
          <w:rFonts w:ascii="Calibri;sans-serif" w:hAnsi="Calibri;sans-serif"/>
          <w:b/>
          <w:color w:val="000000"/>
          <w:sz w:val="20"/>
        </w:rPr>
        <w:t>UNITED STATES</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SECURITIES AND EXCHANGE COMMISSION</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Washington, D.C. 20549</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FORM 10-Q </w:t>
      </w:r>
    </w:p>
    <w:tbl>
      <w:tblPr>
        <w:tblW w:w="8942" w:type="dxa"/>
        <w:jc w:val="left"/>
        <w:tblInd w:w="0" w:type="dxa"/>
        <w:tblLayout w:type="fixed"/>
        <w:tblCellMar>
          <w:top w:w="28" w:type="dxa"/>
          <w:left w:w="28" w:type="dxa"/>
          <w:bottom w:w="28" w:type="dxa"/>
          <w:right w:w="28" w:type="dxa"/>
        </w:tblCellMar>
      </w:tblPr>
      <w:tblGrid>
        <w:gridCol w:w="128"/>
        <w:gridCol w:w="113"/>
        <w:gridCol w:w="113"/>
        <w:gridCol w:w="113"/>
        <w:gridCol w:w="113"/>
        <w:gridCol w:w="113"/>
        <w:gridCol w:w="1282"/>
        <w:gridCol w:w="1282"/>
        <w:gridCol w:w="1282"/>
        <w:gridCol w:w="1282"/>
        <w:gridCol w:w="1282"/>
        <w:gridCol w:w="1839"/>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45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(Mark One)</w:t>
            </w:r>
          </w:p>
        </w:tc>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QUARTERLY REPORT PURSUANT TO SECTION 13 OR 15(d) OF THE SECURITIES EXCHANGE ACT OF 1934</w:t>
            </w:r>
          </w:p>
        </w:tc>
      </w:tr>
      <w:tr>
        <w:trPr/>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For the quarterly period ended</w:t>
            </w:r>
          </w:p>
        </w:tc>
        <w:tc>
          <w:tcPr>
            <w:tcW w:w="44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0"/>
              </w:rPr>
            </w:pPr>
            <w:r>
              <w:rPr>
                <w:rFonts w:ascii="Calibri;sans-serif" w:hAnsi="Calibri;sans-serif"/>
                <w:b/>
                <w:color w:val="000000"/>
                <w:sz w:val="20"/>
              </w:rPr>
              <w:t>September 30, 2024</w:t>
            </w:r>
          </w:p>
        </w:tc>
      </w:tr>
      <w:tr>
        <w:trPr/>
        <w:tc>
          <w:tcPr>
            <w:tcW w:w="894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OR</w:t>
            </w:r>
          </w:p>
        </w:tc>
      </w:tr>
      <w:tr>
        <w:trPr/>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TRANSITION REPORT PURSUANT TO SECTION 13 OR 15(d) OF THE SECURITIES EXCHANGE ACT OF 1934</w:t>
            </w:r>
          </w:p>
        </w:tc>
      </w:tr>
      <w:tr>
        <w:trPr/>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 xml:space="preserve">For the transition period from to </w:t>
            </w:r>
          </w:p>
        </w:tc>
      </w:tr>
    </w:tbl>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 xml:space="preserve">Commission file number 1-06089 </w:t>
      </w:r>
    </w:p>
    <w:p>
      <w:pPr>
        <w:pStyle w:val="TextBody"/>
        <w:bidi w:val="0"/>
        <w:spacing w:before="120" w:after="283"/>
        <w:jc w:val="center"/>
        <w:rPr/>
      </w:pPr>
      <w:r>
        <w:rPr/>
      </w:r>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 xml:space="preserve">H&amp;R Block, Inc. </w:t>
      </w:r>
    </w:p>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(Exact name of registrant as specified in its charter)</w:t>
      </w:r>
    </w:p>
    <w:tbl>
      <w:tblPr>
        <w:tblW w:w="3851" w:type="dxa"/>
        <w:jc w:val="left"/>
        <w:tblInd w:w="0" w:type="dxa"/>
        <w:tblLayout w:type="fixed"/>
        <w:tblCellMar>
          <w:top w:w="28" w:type="dxa"/>
          <w:left w:w="28" w:type="dxa"/>
          <w:bottom w:w="28" w:type="dxa"/>
          <w:right w:w="28" w:type="dxa"/>
        </w:tblCellMar>
      </w:tblPr>
      <w:tblGrid>
        <w:gridCol w:w="781"/>
        <w:gridCol w:w="685"/>
        <w:gridCol w:w="693"/>
        <w:gridCol w:w="109"/>
        <w:gridCol w:w="109"/>
        <w:gridCol w:w="109"/>
        <w:gridCol w:w="399"/>
        <w:gridCol w:w="399"/>
        <w:gridCol w:w="567"/>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44-0607856</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(I.R.S. Employer</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Identification No.)</w:t>
            </w:r>
          </w:p>
        </w:tc>
      </w:tr>
    </w:tbl>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 xml:space="preserve">One H&amp;R Block Way, Kansas City, Missouri 64105 </w:t>
      </w:r>
    </w:p>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(Address of principal executive offices, including zip code)</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 xml:space="preserve">(816) 854-3000 </w:t>
      </w:r>
    </w:p>
    <w:p>
      <w:pPr>
        <w:pStyle w:val="TextBody"/>
        <w:bidi w:val="0"/>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(Registrant's telephone number, including area code)</w:t>
      </w:r>
    </w:p>
    <w:p>
      <w:pPr>
        <w:pStyle w:val="TextBody"/>
        <w:bidi w:val="0"/>
        <w:spacing w:lineRule="auto" w:line="288" w:before="60" w:after="283"/>
        <w:jc w:val="center"/>
        <w:rPr>
          <w:rFonts w:ascii="Calibri;sans-serif" w:hAnsi="Calibri;sans-serif"/>
          <w:b/>
          <w:color w:val="000000"/>
          <w:sz w:val="18"/>
        </w:rPr>
      </w:pPr>
      <w:r>
        <w:rPr>
          <w:rFonts w:ascii="Calibri;sans-serif" w:hAnsi="Calibri;sans-serif"/>
          <w:b/>
          <w:color w:val="000000"/>
          <w:sz w:val="18"/>
        </w:rPr>
        <w:t>Securities registered pursuant to Section 12(b) of the Act:</w:t>
      </w:r>
    </w:p>
    <w:tbl>
      <w:tblPr>
        <w:tblW w:w="7078" w:type="dxa"/>
        <w:jc w:val="left"/>
        <w:tblInd w:w="0" w:type="dxa"/>
        <w:tblLayout w:type="fixed"/>
        <w:tblCellMar>
          <w:top w:w="28" w:type="dxa"/>
          <w:left w:w="28" w:type="dxa"/>
          <w:bottom w:w="28" w:type="dxa"/>
          <w:right w:w="28" w:type="dxa"/>
        </w:tblCellMar>
      </w:tblPr>
      <w:tblGrid>
        <w:gridCol w:w="938"/>
        <w:gridCol w:w="823"/>
        <w:gridCol w:w="833"/>
        <w:gridCol w:w="434"/>
        <w:gridCol w:w="434"/>
        <w:gridCol w:w="436"/>
        <w:gridCol w:w="931"/>
        <w:gridCol w:w="931"/>
        <w:gridCol w:w="1318"/>
      </w:tblGrid>
      <w:tr>
        <w:trPr/>
        <w:tc>
          <w:tcPr>
            <w:tcW w:w="93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Title of each class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Trading Symbol(s)</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Name of each exchange on which registered</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Common Stock, without par value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HRB</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New York Stock Exchange</w:t>
            </w:r>
          </w:p>
        </w:tc>
      </w:tr>
    </w:tbl>
    <w:p>
      <w:pPr>
        <w:pStyle w:val="TextBody"/>
        <w:bidi w:val="0"/>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jc w:val="both"/>
        <w:rPr/>
      </w:pPr>
      <w:r>
        <w:rPr>
          <w:rFonts w:ascii="Calibri;sans-serif" w:hAnsi="Calibri;sans-serif"/>
          <w:b w:val="false"/>
          <w:color w:val="000000"/>
          <w:sz w:val="18"/>
        </w:rPr>
        <w:t xml:space="preserve">Yes </w:t>
      </w:r>
      <w:r>
        <w:rPr>
          <w:color w:val="000000"/>
        </w:rPr>
        <w:t>☑     </w:t>
      </w:r>
      <w:r>
        <w:rPr>
          <w:rFonts w:ascii="Calibri;sans-serif" w:hAnsi="Calibri;sans-serif"/>
          <w:b w:val="false"/>
          <w:color w:val="000000"/>
          <w:sz w:val="18"/>
        </w:rPr>
        <w:t xml:space="preserve">No </w:t>
      </w:r>
      <w:r>
        <w:rPr>
          <w:color w:val="000000"/>
        </w:rPr>
        <w:t>☐</w:t>
      </w:r>
    </w:p>
    <w:p>
      <w:pPr>
        <w:pStyle w:val="TextBody"/>
        <w:bidi w:val="0"/>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60" w:after="283"/>
        <w:jc w:val="both"/>
        <w:rPr/>
      </w:pPr>
      <w:r>
        <w:rPr>
          <w:rFonts w:ascii="Calibri;sans-serif" w:hAnsi="Calibri;sans-serif"/>
          <w:b w:val="false"/>
          <w:color w:val="000000"/>
          <w:sz w:val="18"/>
        </w:rPr>
        <w:t xml:space="preserve">Yes </w:t>
      </w:r>
      <w:r>
        <w:rPr>
          <w:color w:val="000000"/>
        </w:rPr>
        <w:t>☑     </w:t>
      </w:r>
      <w:r>
        <w:rPr>
          <w:rFonts w:ascii="Calibri;sans-serif" w:hAnsi="Calibri;sans-serif"/>
          <w:b w:val="false"/>
          <w:color w:val="000000"/>
          <w:sz w:val="18"/>
        </w:rPr>
        <w:t xml:space="preserve">No </w:t>
      </w:r>
      <w:r>
        <w:rPr>
          <w:color w:val="000000"/>
        </w:rPr>
        <w:t>☐</w:t>
      </w:r>
    </w:p>
    <w:p>
      <w:pPr>
        <w:pStyle w:val="TextBody"/>
        <w:bidi w:val="0"/>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120" w:after="283"/>
        <w:jc w:val="both"/>
        <w:rPr/>
      </w:pPr>
      <w:r>
        <w:rPr>
          <w:rFonts w:ascii="Calibri;sans-serif" w:hAnsi="Calibri;sans-serif"/>
          <w:b w:val="false"/>
          <w:color w:val="000000"/>
          <w:sz w:val="15"/>
        </w:rPr>
        <w:t xml:space="preserve">Large accelerated filer </w:t>
      </w:r>
      <w:r>
        <w:rPr>
          <w:color w:val="000000"/>
        </w:rPr>
        <w:t>☑           </w:t>
      </w:r>
      <w:r>
        <w:rPr>
          <w:rFonts w:ascii="Calibri;sans-serif" w:hAnsi="Calibri;sans-serif"/>
          <w:b w:val="false"/>
          <w:color w:val="000000"/>
          <w:sz w:val="15"/>
        </w:rPr>
        <w:t xml:space="preserve">Accelerated filer </w:t>
      </w:r>
      <w:r>
        <w:rPr>
          <w:color w:val="000000"/>
        </w:rPr>
        <w:t xml:space="preserve">☐         </w:t>
      </w:r>
      <w:r>
        <w:rPr>
          <w:rFonts w:ascii="Calibri;sans-serif" w:hAnsi="Calibri;sans-serif"/>
          <w:b w:val="false"/>
          <w:color w:val="000000"/>
          <w:sz w:val="15"/>
        </w:rPr>
        <w:t xml:space="preserve">Non-accelerated filer </w:t>
      </w:r>
      <w:r>
        <w:rPr>
          <w:color w:val="000000"/>
        </w:rPr>
        <w:t xml:space="preserve">☐          </w:t>
      </w:r>
      <w:r>
        <w:rPr>
          <w:rFonts w:ascii="Calibri;sans-serif" w:hAnsi="Calibri;sans-serif"/>
          <w:b w:val="false"/>
          <w:color w:val="000000"/>
          <w:sz w:val="15"/>
        </w:rPr>
        <w:t>Smaller reporting company </w:t>
      </w:r>
      <w:r>
        <w:rPr>
          <w:color w:val="000000"/>
        </w:rPr>
        <w:t xml:space="preserve">☐ </w:t>
      </w:r>
      <w:r>
        <w:rPr>
          <w:rFonts w:ascii="Calibri;sans-serif" w:hAnsi="Calibri;sans-serif"/>
          <w:b w:val="false"/>
          <w:color w:val="000000"/>
          <w:sz w:val="15"/>
        </w:rPr>
        <w:t xml:space="preserve">Emerging growth company </w:t>
      </w:r>
      <w:r>
        <w:rPr>
          <w:color w:val="000000"/>
        </w:rPr>
        <w:t xml:space="preserve">☐ </w:t>
      </w:r>
    </w:p>
    <w:p>
      <w:pPr>
        <w:pStyle w:val="TextBody"/>
        <w:bidi w:val="0"/>
        <w:spacing w:lineRule="auto" w:line="288" w:before="0" w:after="0"/>
        <w:jc w:val="both"/>
        <w:rPr>
          <w:color w:val="000000"/>
        </w:rPr>
      </w:pPr>
      <w:r>
        <w:rPr>
          <w:color w:val="000000"/>
        </w:rPr>
        <w:t>    </w:t>
      </w:r>
    </w:p>
    <w:p>
      <w:pPr>
        <w:pStyle w:val="TextBody"/>
        <w:bidi w:val="0"/>
        <w:spacing w:lineRule="auto" w:line="288" w:before="60" w:after="283"/>
        <w:jc w:val="both"/>
        <w:rPr/>
      </w:pPr>
      <w:r>
        <w:rPr>
          <w:rFonts w:ascii="Calibri;sans-serif" w:hAnsi="Calibri;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 xml:space="preserve">Indicate by check mark whether the registrant is a shell company (as defined in Rule 12b-2 of the Exchange Act). </w:t>
      </w:r>
    </w:p>
    <w:p>
      <w:pPr>
        <w:pStyle w:val="TextBody"/>
        <w:bidi w:val="0"/>
        <w:spacing w:lineRule="auto" w:line="288" w:before="60" w:after="283"/>
        <w:jc w:val="both"/>
        <w:rPr/>
      </w:pPr>
      <w:r>
        <w:rPr>
          <w:rFonts w:ascii="Calibri;sans-serif" w:hAnsi="Calibri;sans-serif"/>
          <w:b w:val="false"/>
          <w:color w:val="000000"/>
          <w:sz w:val="18"/>
        </w:rPr>
        <w:t xml:space="preserve">Yes </w:t>
      </w:r>
      <w:r>
        <w:rPr>
          <w:color w:val="000000"/>
        </w:rPr>
        <w:t>☐    </w:t>
      </w:r>
      <w:r>
        <w:rPr>
          <w:rFonts w:ascii="Calibri;sans-serif" w:hAnsi="Calibri;sans-serif"/>
          <w:b w:val="false"/>
          <w:color w:val="000000"/>
          <w:sz w:val="18"/>
        </w:rPr>
        <w:t>No  </w:t>
      </w:r>
      <w:r>
        <w:rPr>
          <w:color w:val="000000"/>
        </w:rPr>
        <w:t>☑</w:t>
      </w:r>
    </w:p>
    <w:p>
      <w:pPr>
        <w:pStyle w:val="TextBody"/>
        <w:bidi w:val="0"/>
        <w:spacing w:lineRule="auto" w:line="288" w:before="120" w:after="120"/>
        <w:jc w:val="both"/>
        <w:rPr>
          <w:rFonts w:ascii="Calibri;sans-serif" w:hAnsi="Calibri;sans-serif"/>
          <w:b w:val="false"/>
          <w:color w:val="000000"/>
          <w:sz w:val="18"/>
        </w:rPr>
      </w:pPr>
      <w:r>
        <w:rPr>
          <w:rFonts w:ascii="Calibri;sans-serif" w:hAnsi="Calibri;sans-serif"/>
          <w:b w:val="false"/>
          <w:color w:val="000000"/>
          <w:sz w:val="18"/>
        </w:rPr>
        <w:t>The number of shares outstanding of the registrant's Common Stock, without par value, at the close of business on October 31, 2024: 137,046,262 shares.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before="100" w:after="283"/>
        <w:jc w:val="center"/>
        <w:rPr/>
      </w:pPr>
      <w:r>
        <w:rPr/>
      </w:r>
    </w:p>
    <w:p>
      <w:pPr>
        <w:pStyle w:val="TextBody"/>
        <w:bidi w:val="0"/>
        <w:spacing w:lineRule="auto" w:line="288" w:before="100" w:after="283"/>
        <w:jc w:val="center"/>
        <w:rPr>
          <w:rFonts w:ascii="Calibri;sans-serif" w:hAnsi="Calibri;sans-serif"/>
          <w:b/>
          <w:color w:val="000000"/>
          <w:sz w:val="24"/>
        </w:rPr>
      </w:pPr>
      <w:r>
        <w:rPr>
          <w:rFonts w:ascii="Calibri;sans-serif" w:hAnsi="Calibri;sans-serif"/>
          <w:b/>
          <w:color w:val="000000"/>
          <w:sz w:val="24"/>
        </w:rPr>
        <w:t xml:space="preserve">Form 10-Q for the Period ended September 30, 2024 </w:t>
      </w:r>
    </w:p>
    <w:p>
      <w:pPr>
        <w:pStyle w:val="TextBody"/>
        <w:bidi w:val="0"/>
        <w:spacing w:lineRule="auto" w:line="288" w:before="120" w:after="283"/>
        <w:jc w:val="center"/>
        <w:rPr>
          <w:rFonts w:ascii="Calibri;sans-serif" w:hAnsi="Calibri;sans-serif"/>
          <w:b/>
          <w:color w:val="000000"/>
          <w:sz w:val="24"/>
        </w:rPr>
      </w:pPr>
      <w:r>
        <w:rPr>
          <w:rFonts w:ascii="Calibri;sans-serif" w:hAnsi="Calibri;sans-serif"/>
          <w:b/>
          <w:color w:val="000000"/>
          <w:sz w:val="24"/>
        </w:rPr>
        <w:t>Table of Contents</w:t>
      </w:r>
    </w:p>
    <w:tbl>
      <w:tblPr>
        <w:tblW w:w="9977" w:type="dxa"/>
        <w:jc w:val="left"/>
        <w:tblInd w:w="0" w:type="dxa"/>
        <w:tblLayout w:type="fixed"/>
        <w:tblCellMar>
          <w:top w:w="28" w:type="dxa"/>
          <w:left w:w="28" w:type="dxa"/>
          <w:bottom w:w="28" w:type="dxa"/>
          <w:right w:w="28" w:type="dxa"/>
        </w:tblCellMar>
      </w:tblPr>
      <w:tblGrid>
        <w:gridCol w:w="342"/>
        <w:gridCol w:w="301"/>
        <w:gridCol w:w="303"/>
        <w:gridCol w:w="2872"/>
        <w:gridCol w:w="2872"/>
        <w:gridCol w:w="2896"/>
        <w:gridCol w:w="114"/>
        <w:gridCol w:w="114"/>
        <w:gridCol w:w="16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0">
              <w:r>
                <w:rPr>
                  <w:rStyle w:val="InternetLink"/>
                  <w:rFonts w:ascii="Calibri;sans-serif" w:hAnsi="Calibri;sans-serif"/>
                  <w:b/>
                  <w:strike w:val="false"/>
                  <w:dstrike w:val="false"/>
                  <w:color w:val="000000"/>
                  <w:sz w:val="24"/>
                  <w:u w:val="none"/>
                  <w:effect w:val="none"/>
                </w:rPr>
                <w:t>PART I</w:t>
              </w:r>
            </w:hyperlink>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3">
              <w:r>
                <w:rPr>
                  <w:rStyle w:val="InternetLink"/>
                  <w:rFonts w:ascii="Calibri;sans-serif" w:hAnsi="Calibri;sans-serif"/>
                  <w:b w:val="false"/>
                  <w:color w:val="0000FF"/>
                  <w:sz w:val="24"/>
                  <w:u w:val="single"/>
                </w:rPr>
                <w:t>Item 1.</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b82aecb81d74356a9ff9f8c9940dcc4_16">
              <w:r>
                <w:rPr>
                  <w:rStyle w:val="InternetLink"/>
                  <w:rFonts w:ascii="Calibri;sans-serif" w:hAnsi="Calibri;sans-serif"/>
                  <w:b w:val="false"/>
                  <w:color w:val="0000FF"/>
                  <w:sz w:val="24"/>
                  <w:u w:val="single"/>
                </w:rPr>
                <w:t>Consolidated Statements of Operations and Comprehensive Loss</w:t>
              </w:r>
            </w:hyperlink>
          </w:p>
          <w:p>
            <w:pPr>
              <w:pStyle w:val="TableContents"/>
              <w:bidi w:val="0"/>
              <w:spacing w:lineRule="auto" w:line="240" w:before="0" w:after="0"/>
              <w:ind w:left="0" w:right="0" w:hanging="270"/>
              <w:jc w:val="left"/>
              <w:rPr/>
            </w:pPr>
            <w:r>
              <w:rPr>
                <w:color w:val="000000"/>
              </w:rPr>
              <w:t>    </w:t>
            </w:r>
            <w:hyperlink w:anchor="i5b82aecb81d74356a9ff9f8c9940dcc4_16">
              <w:r>
                <w:rPr>
                  <w:rStyle w:val="InternetLink"/>
                  <w:rFonts w:ascii="Calibri;sans-serif" w:hAnsi="Calibri;sans-serif"/>
                  <w:b w:val="false"/>
                  <w:color w:val="0000FF"/>
                  <w:sz w:val="24"/>
                  <w:u w:val="single"/>
                </w:rPr>
                <w:t>Three months ended September 30, 2024 and 2023</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3">
              <w:r>
                <w:rPr>
                  <w:rStyle w:val="InternetLink"/>
                  <w:rFonts w:ascii="Calibri;sans-serif" w:hAnsi="Calibri;sans-serif"/>
                  <w:b w:val="false"/>
                  <w:color w:val="0000FF"/>
                  <w:sz w:val="24"/>
                  <w:u w:val="single"/>
                </w:rPr>
                <w:t>1</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b82aecb81d74356a9ff9f8c9940dcc4_19">
              <w:r>
                <w:rPr>
                  <w:rStyle w:val="InternetLink"/>
                  <w:rFonts w:ascii="Calibri;sans-serif" w:hAnsi="Calibri;sans-serif"/>
                  <w:b w:val="false"/>
                  <w:color w:val="0000FF"/>
                  <w:sz w:val="24"/>
                  <w:u w:val="single"/>
                </w:rPr>
                <w:t xml:space="preserve">Consolidated Balance Sheets </w:t>
              </w:r>
            </w:hyperlink>
          </w:p>
          <w:p>
            <w:pPr>
              <w:pStyle w:val="TableContents"/>
              <w:bidi w:val="0"/>
              <w:spacing w:lineRule="auto" w:line="240" w:before="0" w:after="0"/>
              <w:ind w:left="0" w:right="0" w:hanging="270"/>
              <w:jc w:val="left"/>
              <w:rPr/>
            </w:pPr>
            <w:r>
              <w:rPr>
                <w:color w:val="000000"/>
              </w:rPr>
              <w:t>         </w:t>
            </w:r>
            <w:hyperlink w:anchor="i5b82aecb81d74356a9ff9f8c9940dcc4_19">
              <w:r>
                <w:rPr>
                  <w:rStyle w:val="InternetLink"/>
                  <w:rFonts w:ascii="Calibri;sans-serif" w:hAnsi="Calibri;sans-serif"/>
                  <w:b w:val="false"/>
                  <w:color w:val="0000FF"/>
                  <w:sz w:val="24"/>
                  <w:u w:val="single"/>
                </w:rPr>
                <w:t>As of September 30, 2024 and June 30, 2024</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9">
              <w:r>
                <w:rPr>
                  <w:rStyle w:val="InternetLink"/>
                  <w:rFonts w:ascii="Calibri;sans-serif" w:hAnsi="Calibri;sans-serif"/>
                  <w:b w:val="false"/>
                  <w:color w:val="0000FF"/>
                  <w:sz w:val="24"/>
                  <w:u w:val="single"/>
                </w:rPr>
                <w:t>2</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b82aecb81d74356a9ff9f8c9940dcc4_25">
              <w:r>
                <w:rPr>
                  <w:rStyle w:val="InternetLink"/>
                  <w:rFonts w:ascii="Calibri;sans-serif" w:hAnsi="Calibri;sans-serif"/>
                  <w:b w:val="false"/>
                  <w:color w:val="0000FF"/>
                  <w:sz w:val="24"/>
                  <w:u w:val="single"/>
                </w:rPr>
                <w:t xml:space="preserve">Consolidated Statements of Cash Flows </w:t>
              </w:r>
            </w:hyperlink>
          </w:p>
          <w:p>
            <w:pPr>
              <w:pStyle w:val="TableContents"/>
              <w:bidi w:val="0"/>
              <w:spacing w:lineRule="auto" w:line="240" w:before="0" w:after="0"/>
              <w:ind w:left="0" w:right="0" w:hanging="270"/>
              <w:jc w:val="left"/>
              <w:rPr/>
            </w:pPr>
            <w:r>
              <w:rPr>
                <w:color w:val="000000"/>
              </w:rPr>
              <w:t>    </w:t>
            </w:r>
            <w:hyperlink w:anchor="i5b82aecb81d74356a9ff9f8c9940dcc4_25">
              <w:r>
                <w:rPr>
                  <w:rStyle w:val="InternetLink"/>
                  <w:rFonts w:ascii="Calibri;sans-serif" w:hAnsi="Calibri;sans-serif"/>
                  <w:b w:val="false"/>
                  <w:color w:val="0000FF"/>
                  <w:sz w:val="24"/>
                  <w:u w:val="single"/>
                </w:rPr>
                <w:t>Three months ended September 30, 2024 and 2023</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25">
              <w:r>
                <w:rPr>
                  <w:rStyle w:val="InternetLink"/>
                  <w:rFonts w:ascii="Calibri;sans-serif" w:hAnsi="Calibri;sans-serif"/>
                  <w:b w:val="false"/>
                  <w:color w:val="0000FF"/>
                  <w:sz w:val="24"/>
                  <w:u w:val="single"/>
                </w:rPr>
                <w:t>3</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b82aecb81d74356a9ff9f8c9940dcc4_28">
              <w:r>
                <w:rPr>
                  <w:rStyle w:val="InternetLink"/>
                  <w:rFonts w:ascii="Calibri;sans-serif" w:hAnsi="Calibri;sans-serif"/>
                  <w:b w:val="false"/>
                  <w:color w:val="0000FF"/>
                  <w:sz w:val="24"/>
                  <w:u w:val="single"/>
                </w:rPr>
                <w:t xml:space="preserve">Consolidated Statements of Stockholders' Equity </w:t>
              </w:r>
            </w:hyperlink>
          </w:p>
          <w:p>
            <w:pPr>
              <w:pStyle w:val="TableContents"/>
              <w:bidi w:val="0"/>
              <w:spacing w:lineRule="auto" w:line="240" w:before="0" w:after="0"/>
              <w:ind w:left="0" w:right="0" w:hanging="180"/>
              <w:jc w:val="left"/>
              <w:rPr/>
            </w:pPr>
            <w:r>
              <w:rPr>
                <w:color w:val="000000"/>
              </w:rPr>
              <w:t>    </w:t>
            </w:r>
            <w:hyperlink w:anchor="i5b82aecb81d74356a9ff9f8c9940dcc4_28">
              <w:r>
                <w:rPr>
                  <w:rStyle w:val="InternetLink"/>
                  <w:rFonts w:ascii="Calibri;sans-serif" w:hAnsi="Calibri;sans-serif"/>
                  <w:b w:val="false"/>
                  <w:color w:val="0000FF"/>
                  <w:sz w:val="24"/>
                  <w:u w:val="single"/>
                </w:rPr>
                <w:t>Three months ended September 30, 2024 and 2023</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28">
              <w:r>
                <w:rPr>
                  <w:rStyle w:val="InternetLink"/>
                  <w:rFonts w:ascii="Calibri;sans-serif" w:hAnsi="Calibri;sans-serif"/>
                  <w:b w:val="false"/>
                  <w:color w:val="0000FF"/>
                  <w:sz w:val="24"/>
                  <w:u w:val="single"/>
                </w:rPr>
                <w:t>4</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31">
              <w:r>
                <w:rPr>
                  <w:rStyle w:val="InternetLink"/>
                  <w:rFonts w:ascii="Calibri;sans-serif" w:hAnsi="Calibri;sans-serif"/>
                  <w:b w:val="false"/>
                  <w:color w:val="0000FF"/>
                  <w:sz w:val="24"/>
                  <w:u w:val="single"/>
                </w:rPr>
                <w:t>Notes to Consolidated Financial Statements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31">
              <w:r>
                <w:rPr>
                  <w:rStyle w:val="InternetLink"/>
                  <w:rFonts w:ascii="Calibri;sans-serif" w:hAnsi="Calibri;sans-serif"/>
                  <w:b w:val="false"/>
                  <w:color w:val="0000FF"/>
                  <w:sz w:val="24"/>
                  <w:u w:val="single"/>
                </w:rPr>
                <w:t>5</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67">
              <w:r>
                <w:rPr>
                  <w:rStyle w:val="InternetLink"/>
                  <w:rFonts w:ascii="Calibri;sans-serif" w:hAnsi="Calibri;sans-serif"/>
                  <w:b w:val="false"/>
                  <w:color w:val="0000FF"/>
                  <w:sz w:val="24"/>
                  <w:u w:val="single"/>
                </w:rPr>
                <w:t>Item 2.</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b82aecb81d74356a9ff9f8c9940dcc4_67">
              <w:r>
                <w:rPr>
                  <w:rStyle w:val="InternetLink"/>
                  <w:rFonts w:ascii="Calibri;sans-serif" w:hAnsi="Calibri;sans-serif"/>
                  <w:b w:val="false"/>
                  <w:color w:val="0000FF"/>
                  <w:sz w:val="24"/>
                  <w:u w:val="single"/>
                </w:rPr>
                <w:t>Management's Discussion and Analysis of Financial Condition and Results of Operations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67">
              <w:r>
                <w:rPr>
                  <w:rStyle w:val="InternetLink"/>
                  <w:rFonts w:ascii="Calibri;sans-serif" w:hAnsi="Calibri;sans-serif"/>
                  <w:b w:val="false"/>
                  <w:color w:val="0000FF"/>
                  <w:sz w:val="24"/>
                  <w:u w:val="single"/>
                </w:rPr>
                <w:t>14</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91">
              <w:r>
                <w:rPr>
                  <w:rStyle w:val="InternetLink"/>
                  <w:rFonts w:ascii="Calibri;sans-serif" w:hAnsi="Calibri;sans-serif"/>
                  <w:b w:val="false"/>
                  <w:color w:val="0000FF"/>
                  <w:sz w:val="24"/>
                  <w:u w:val="single"/>
                </w:rPr>
                <w:t>Item 3.</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91">
              <w:r>
                <w:rPr>
                  <w:rStyle w:val="InternetLink"/>
                  <w:rFonts w:ascii="Calibri;sans-serif" w:hAnsi="Calibri;sans-serif"/>
                  <w:b w:val="false"/>
                  <w:color w:val="0000FF"/>
                  <w:sz w:val="24"/>
                  <w:u w:val="single"/>
                </w:rPr>
                <w:t>Quantitative and Qualitative Disclosures About Market Risk</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91">
              <w:r>
                <w:rPr>
                  <w:rStyle w:val="InternetLink"/>
                  <w:rFonts w:ascii="Calibri;sans-serif" w:hAnsi="Calibri;sans-serif"/>
                  <w:b w:val="false"/>
                  <w:color w:val="0000FF"/>
                  <w:sz w:val="24"/>
                  <w:u w:val="single"/>
                </w:rPr>
                <w:t>21</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94">
              <w:r>
                <w:rPr>
                  <w:rStyle w:val="InternetLink"/>
                  <w:rFonts w:ascii="Calibri;sans-serif" w:hAnsi="Calibri;sans-serif"/>
                  <w:b w:val="false"/>
                  <w:color w:val="0000FF"/>
                  <w:sz w:val="24"/>
                  <w:u w:val="single"/>
                </w:rPr>
                <w:t>Item 4.</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94">
              <w:r>
                <w:rPr>
                  <w:rStyle w:val="InternetLink"/>
                  <w:rFonts w:ascii="Calibri;sans-serif" w:hAnsi="Calibri;sans-serif"/>
                  <w:b w:val="false"/>
                  <w:color w:val="0000FF"/>
                  <w:sz w:val="24"/>
                  <w:u w:val="single"/>
                </w:rPr>
                <w:t>Controls and Procedures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94">
              <w:r>
                <w:rPr>
                  <w:rStyle w:val="InternetLink"/>
                  <w:rFonts w:ascii="Calibri;sans-serif" w:hAnsi="Calibri;sans-serif"/>
                  <w:b w:val="false"/>
                  <w:color w:val="0000FF"/>
                  <w:sz w:val="24"/>
                  <w:u w:val="single"/>
                </w:rPr>
                <w:t>21</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97">
              <w:r>
                <w:rPr>
                  <w:rStyle w:val="InternetLink"/>
                  <w:rFonts w:ascii="Calibri;sans-serif" w:hAnsi="Calibri;sans-serif"/>
                  <w:b/>
                  <w:strike w:val="false"/>
                  <w:dstrike w:val="false"/>
                  <w:color w:val="000000"/>
                  <w:sz w:val="24"/>
                  <w:u w:val="none"/>
                  <w:effect w:val="none"/>
                </w:rPr>
                <w:t>PART II</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00">
              <w:r>
                <w:rPr>
                  <w:rStyle w:val="InternetLink"/>
                  <w:rFonts w:ascii="Calibri;sans-serif" w:hAnsi="Calibri;sans-serif"/>
                  <w:b w:val="false"/>
                  <w:color w:val="0000FF"/>
                  <w:sz w:val="24"/>
                  <w:u w:val="single"/>
                </w:rPr>
                <w:t>Item 1.</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00">
              <w:r>
                <w:rPr>
                  <w:rStyle w:val="InternetLink"/>
                  <w:rFonts w:ascii="Calibri;sans-serif" w:hAnsi="Calibri;sans-serif"/>
                  <w:b w:val="false"/>
                  <w:color w:val="0000FF"/>
                  <w:sz w:val="24"/>
                  <w:u w:val="single"/>
                </w:rPr>
                <w:t>Legal Proceedings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00">
              <w:r>
                <w:rPr>
                  <w:rStyle w:val="InternetLink"/>
                  <w:rFonts w:ascii="Calibri;sans-serif" w:hAnsi="Calibri;sans-serif"/>
                  <w:b w:val="false"/>
                  <w:color w:val="0000FF"/>
                  <w:sz w:val="24"/>
                  <w:u w:val="single"/>
                </w:rPr>
                <w:t>21</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03">
              <w:r>
                <w:rPr>
                  <w:rStyle w:val="InternetLink"/>
                  <w:rFonts w:ascii="Calibri;sans-serif" w:hAnsi="Calibri;sans-serif"/>
                  <w:b w:val="false"/>
                  <w:color w:val="0000FF"/>
                  <w:sz w:val="24"/>
                  <w:u w:val="single"/>
                </w:rPr>
                <w:t>Item 1A.</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03">
              <w:r>
                <w:rPr>
                  <w:rStyle w:val="InternetLink"/>
                  <w:rFonts w:ascii="Calibri;sans-serif" w:hAnsi="Calibri;sans-serif"/>
                  <w:b w:val="false"/>
                  <w:color w:val="0000FF"/>
                  <w:sz w:val="24"/>
                  <w:u w:val="single"/>
                </w:rPr>
                <w:t>Risk Factors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03">
              <w:r>
                <w:rPr>
                  <w:rStyle w:val="InternetLink"/>
                  <w:rFonts w:ascii="Calibri;sans-serif" w:hAnsi="Calibri;sans-serif"/>
                  <w:b w:val="false"/>
                  <w:color w:val="0000FF"/>
                  <w:sz w:val="24"/>
                  <w:u w:val="single"/>
                </w:rPr>
                <w:t>21</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06">
              <w:r>
                <w:rPr>
                  <w:rStyle w:val="InternetLink"/>
                  <w:rFonts w:ascii="Calibri;sans-serif" w:hAnsi="Calibri;sans-serif"/>
                  <w:b w:val="false"/>
                  <w:color w:val="0000FF"/>
                  <w:sz w:val="24"/>
                  <w:u w:val="single"/>
                </w:rPr>
                <w:t>Item 2.</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06">
              <w:r>
                <w:rPr>
                  <w:rStyle w:val="InternetLink"/>
                  <w:rFonts w:ascii="Calibri;sans-serif" w:hAnsi="Calibri;sans-serif"/>
                  <w:b w:val="false"/>
                  <w:color w:val="0000FF"/>
                  <w:sz w:val="24"/>
                  <w:u w:val="single"/>
                </w:rPr>
                <w:t>Unregistered Sales of Equity Securities and Use of Proceeds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06">
              <w:r>
                <w:rPr>
                  <w:rStyle w:val="InternetLink"/>
                  <w:rFonts w:ascii="Calibri;sans-serif" w:hAnsi="Calibri;sans-serif"/>
                  <w:b w:val="false"/>
                  <w:color w:val="0000FF"/>
                  <w:sz w:val="24"/>
                  <w:u w:val="single"/>
                </w:rPr>
                <w:t>22</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09">
              <w:r>
                <w:rPr>
                  <w:rStyle w:val="InternetLink"/>
                  <w:rFonts w:ascii="Calibri;sans-serif" w:hAnsi="Calibri;sans-serif"/>
                  <w:b w:val="false"/>
                  <w:color w:val="0000FF"/>
                  <w:sz w:val="24"/>
                  <w:u w:val="single"/>
                </w:rPr>
                <w:t>Item 3.</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09">
              <w:r>
                <w:rPr>
                  <w:rStyle w:val="InternetLink"/>
                  <w:rFonts w:ascii="Calibri;sans-serif" w:hAnsi="Calibri;sans-serif"/>
                  <w:b w:val="false"/>
                  <w:color w:val="0000FF"/>
                  <w:sz w:val="24"/>
                  <w:u w:val="single"/>
                </w:rPr>
                <w:t>Defaults Upon Senior Securities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09">
              <w:r>
                <w:rPr>
                  <w:rStyle w:val="InternetLink"/>
                  <w:rFonts w:ascii="Calibri;sans-serif" w:hAnsi="Calibri;sans-serif"/>
                  <w:b w:val="false"/>
                  <w:color w:val="0000FF"/>
                  <w:sz w:val="24"/>
                  <w:u w:val="single"/>
                </w:rPr>
                <w:t>22</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12">
              <w:r>
                <w:rPr>
                  <w:rStyle w:val="InternetLink"/>
                  <w:rFonts w:ascii="Calibri;sans-serif" w:hAnsi="Calibri;sans-serif"/>
                  <w:b w:val="false"/>
                  <w:color w:val="0000FF"/>
                  <w:sz w:val="24"/>
                  <w:u w:val="single"/>
                </w:rPr>
                <w:t>Item 4.</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12">
              <w:r>
                <w:rPr>
                  <w:rStyle w:val="InternetLink"/>
                  <w:rFonts w:ascii="Calibri;sans-serif" w:hAnsi="Calibri;sans-serif"/>
                  <w:b w:val="false"/>
                  <w:color w:val="0000FF"/>
                  <w:sz w:val="24"/>
                  <w:u w:val="single"/>
                </w:rPr>
                <w:t>Mine Safety Disclosures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12">
              <w:r>
                <w:rPr>
                  <w:rStyle w:val="InternetLink"/>
                  <w:rFonts w:ascii="Calibri;sans-serif" w:hAnsi="Calibri;sans-serif"/>
                  <w:b w:val="false"/>
                  <w:color w:val="0000FF"/>
                  <w:sz w:val="24"/>
                  <w:u w:val="single"/>
                </w:rPr>
                <w:t>22</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15">
              <w:r>
                <w:rPr>
                  <w:rStyle w:val="InternetLink"/>
                  <w:rFonts w:ascii="Calibri;sans-serif" w:hAnsi="Calibri;sans-serif"/>
                  <w:b w:val="false"/>
                  <w:color w:val="0000FF"/>
                  <w:sz w:val="24"/>
                  <w:u w:val="single"/>
                </w:rPr>
                <w:t>Item 5.</w:t>
              </w:r>
            </w:hyperlink>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15">
              <w:r>
                <w:rPr>
                  <w:rStyle w:val="InternetLink"/>
                  <w:rFonts w:ascii="Calibri;sans-serif" w:hAnsi="Calibri;sans-serif"/>
                  <w:b w:val="false"/>
                  <w:color w:val="0000FF"/>
                  <w:sz w:val="24"/>
                  <w:u w:val="single"/>
                </w:rPr>
                <w:t>Other Information</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15">
              <w:r>
                <w:rPr>
                  <w:rStyle w:val="InternetLink"/>
                  <w:rFonts w:ascii="Calibri;sans-serif" w:hAnsi="Calibri;sans-serif"/>
                  <w:b w:val="false"/>
                  <w:color w:val="0000FF"/>
                  <w:sz w:val="24"/>
                  <w:u w:val="single"/>
                </w:rPr>
                <w:t>22</w:t>
              </w:r>
            </w:hyperlink>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18">
              <w:r>
                <w:rPr>
                  <w:rStyle w:val="InternetLink"/>
                  <w:rFonts w:ascii="Calibri;sans-serif" w:hAnsi="Calibri;sans-serif"/>
                  <w:b w:val="false"/>
                  <w:color w:val="0000FF"/>
                  <w:sz w:val="24"/>
                  <w:u w:val="single"/>
                </w:rPr>
                <w:t>Item 6.</w:t>
              </w:r>
            </w:hyperlink>
          </w:p>
        </w:tc>
        <w:tc>
          <w:tcPr>
            <w:tcW w:w="8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18">
              <w:r>
                <w:rPr>
                  <w:rStyle w:val="InternetLink"/>
                  <w:rFonts w:ascii="Calibri;sans-serif" w:hAnsi="Calibri;sans-serif"/>
                  <w:b w:val="false"/>
                  <w:color w:val="0000FF"/>
                  <w:sz w:val="24"/>
                  <w:u w:val="single"/>
                </w:rPr>
                <w:t>Exhibits</w:t>
              </w:r>
            </w:hyperlink>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18">
              <w:r>
                <w:rPr>
                  <w:rStyle w:val="InternetLink"/>
                  <w:rFonts w:ascii="Calibri;sans-serif" w:hAnsi="Calibri;sans-serif"/>
                  <w:b w:val="false"/>
                  <w:color w:val="0000FF"/>
                  <w:sz w:val="24"/>
                  <w:u w:val="single"/>
                </w:rPr>
                <w:t>23</w:t>
              </w:r>
            </w:hyperlink>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b82aecb81d74356a9ff9f8c9940dcc4_121">
              <w:r>
                <w:rPr>
                  <w:rStyle w:val="InternetLink"/>
                  <w:rFonts w:ascii="Calibri;sans-serif" w:hAnsi="Calibri;sans-serif"/>
                  <w:b w:val="false"/>
                  <w:color w:val="0000FF"/>
                  <w:sz w:val="24"/>
                  <w:u w:val="single"/>
                </w:rPr>
                <w:t>Signatures</w:t>
              </w:r>
            </w:hyperlink>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b82aecb81d74356a9ff9f8c9940dcc4_121">
              <w:r>
                <w:rPr>
                  <w:rStyle w:val="InternetLink"/>
                  <w:rFonts w:ascii="Calibri;sans-serif" w:hAnsi="Calibri;sans-serif"/>
                  <w:b w:val="false"/>
                  <w:color w:val="0000FF"/>
                  <w:sz w:val="24"/>
                  <w:u w:val="single"/>
                </w:rPr>
                <w:t>24</w:t>
              </w:r>
            </w:hyperlink>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60" w:after="283"/>
        <w:jc w:val="left"/>
        <w:rPr>
          <w:rFonts w:ascii="Calibri;sans-serif" w:hAnsi="Calibri;sans-serif"/>
          <w:b/>
          <w:color w:val="14AA40"/>
          <w:sz w:val="28"/>
        </w:rPr>
      </w:pPr>
      <w:r>
        <w:rPr>
          <w:rFonts w:ascii="Calibri;sans-serif" w:hAnsi="Calibri;sans-serif"/>
          <w:b/>
          <w:color w:val="14AA40"/>
          <w:sz w:val="2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080"/>
        <w:jc w:val="left"/>
        <w:rPr>
          <w:rFonts w:ascii="Calibri;sans-serif" w:hAnsi="Calibri;sans-serif"/>
          <w:b/>
          <w:color w:val="14AA40"/>
          <w:sz w:val="28"/>
        </w:rPr>
      </w:pPr>
      <w:r>
        <w:rPr>
          <w:rFonts w:ascii="Calibri;sans-serif" w:hAnsi="Calibri;sans-serif"/>
          <w:b/>
          <w:color w:val="14AA40"/>
          <w:sz w:val="2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6"/>
        <w:gridCol w:w="929"/>
        <w:gridCol w:w="929"/>
        <w:gridCol w:w="800"/>
        <w:gridCol w:w="800"/>
        <w:gridCol w:w="811"/>
        <w:gridCol w:w="109"/>
        <w:gridCol w:w="681"/>
        <w:gridCol w:w="681"/>
        <w:gridCol w:w="682"/>
        <w:gridCol w:w="196"/>
        <w:gridCol w:w="774"/>
        <w:gridCol w:w="109"/>
        <w:gridCol w:w="109"/>
        <w:gridCol w:w="109"/>
        <w:gridCol w:w="109"/>
        <w:gridCol w:w="196"/>
        <w:gridCol w:w="774"/>
        <w:gridCol w:w="161"/>
      </w:tblGrid>
      <w:tr>
        <w:trPr/>
        <w:tc>
          <w:tcPr>
            <w:tcW w:w="12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1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STATEMENTS OF OPERATIONS AND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(unaudited, in 000s, except per share amounts)</w:t>
            </w:r>
          </w:p>
        </w:tc>
        <w:tc>
          <w:tcPr>
            <w:tcW w:w="2537" w:type="dxa"/>
            <w:gridSpan w:val="9"/>
            <w:tcBorders/>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44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58" w:type="dxa"/>
            <w:gridSpan w:val="6"/>
            <w:tcBorders/>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REVENUES:</w:t>
            </w:r>
          </w:p>
        </w:tc>
        <w:tc>
          <w:tcPr>
            <w:tcW w:w="2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Service revenues</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181,771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171,726 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Royalty, product and other revenues</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12,039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193,810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183,800 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OPERATING EXPENSES:</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Costs of revenues</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269,581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259,358 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Selling, general and administrative</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152,560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130,768 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422,141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390,126 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11,917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 on borrowings</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(15,847)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(15,870)</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Loss from continuing operations before income tax benefit</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(232,261)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(212,360)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benefit</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(60,840)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(49,487)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(171,421)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(162,873)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Net loss from discontinued operations, net of tax benefits of $345 and $182</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NET LOSS</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(172,576)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(163,482)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BASIC AND DILUTED LOSS PER SHARE:</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Continuing operations</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DIVIDENDS DECLARED PER SHARE</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0.375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COMPREHENSIVE LOSS:</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(172,576)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(163,482)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24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 in foreign currency translation adjustments</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(loss)</w:t>
            </w:r>
          </w:p>
        </w:tc>
        <w:tc>
          <w:tcPr>
            <w:tcW w:w="2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(10,914)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Comprehensive loss</w:t>
            </w:r>
          </w:p>
        </w:tc>
        <w:tc>
          <w:tcPr>
            <w:tcW w:w="2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(166,459)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(174,396)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779645"/>
                <wp:effectExtent l="0" t="0" r="0" b="0"/>
                <wp:wrapNone/>
                <wp:docPr id="3" name="Frame3"/>
                <a:graphic xmlns:a="http://schemas.openxmlformats.org/drawingml/2006/main">
                  <a:graphicData uri="http://schemas.microsoft.com/office/word/2010/wordprocessingShape">
                    <wps:wsp>
                      <wps:cNvSpPr txBox="1"/>
                      <wps:spPr>
                        <a:xfrm>
                          <a:off x="0" y="0"/>
                          <a:ext cx="6480175" cy="4779645"/>
                        </a:xfrm>
                        <a:prstGeom prst="rect"/>
                        <a:solidFill>
                          <a:srgbClr val="FFFFFF"/>
                        </a:solidFill>
                      </wps:spPr>
                      <wps:txb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p>
                      <w:pPr>
                        <w:pStyle w:val="TextBody"/>
                        <w:bidi w:val="0"/>
                        <w:spacing w:before="100" w:after="283"/>
                        <w:jc w:val="right"/>
                        <w:rPr/>
                      </w:pPr>
                      <w:r>
                        <w:rPr/>
                      </w:r>
                    </w:p>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tbl>
      <w:tblPr>
        <w:tblW w:w="10205" w:type="dxa"/>
        <w:jc w:val="right"/>
        <w:tblInd w:w="0" w:type="dxa"/>
        <w:tblLayout w:type="fixed"/>
        <w:tblCellMar>
          <w:top w:w="28" w:type="dxa"/>
          <w:left w:w="28" w:type="dxa"/>
          <w:bottom w:w="28" w:type="dxa"/>
          <w:right w:w="28" w:type="dxa"/>
        </w:tblCellMar>
      </w:tblPr>
      <w:tblGrid>
        <w:gridCol w:w="2494"/>
        <w:gridCol w:w="2194"/>
        <w:gridCol w:w="2198"/>
        <w:gridCol w:w="109"/>
        <w:gridCol w:w="109"/>
        <w:gridCol w:w="109"/>
        <w:gridCol w:w="237"/>
        <w:gridCol w:w="1073"/>
        <w:gridCol w:w="131"/>
        <w:gridCol w:w="109"/>
        <w:gridCol w:w="109"/>
        <w:gridCol w:w="109"/>
        <w:gridCol w:w="196"/>
        <w:gridCol w:w="871"/>
        <w:gridCol w:w="157"/>
      </w:tblGrid>
      <w:tr>
        <w:trPr/>
        <w:tc>
          <w:tcPr>
            <w:tcW w:w="249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(unaudited, in 000s, except </w:t>
              <w:br/>
              <w:t>share and per share amounts)</w:t>
            </w:r>
          </w:p>
        </w:tc>
      </w:tr>
      <w:tr>
        <w:trPr/>
        <w:tc>
          <w:tcPr>
            <w:tcW w:w="6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September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June 30, 2024</w:t>
            </w:r>
          </w:p>
        </w:tc>
      </w:tr>
      <w:tr>
        <w:trPr/>
        <w:tc>
          <w:tcPr>
            <w:tcW w:w="6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415,860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1,053,326 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 restricted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23,157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21,867 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Receivables, less allowance for credit losses of $57,978 and $61,182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69,929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102,657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95,208 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611,603</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1,239,476 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Property and equipment, at cost, less accumulated depreciation and amortization of $840,343 and $838,814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135,533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131,319 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426,990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461,986 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256,053</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264,102 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792,195</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785,226 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tax assets and 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261,384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271,658 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66,209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65,043 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2,549,967</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3,218,810 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161,620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58,294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105,548 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income taxes and reserves for uncertain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205,470</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318,830 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189,432</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206,070 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revenue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181,069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191,050 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795,885</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977,328 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1,491,621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1,491,095 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tax liabilities and reserves for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296,370</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291,063 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247,062</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265,373 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revenue and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87,094</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103,357 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2,918,032</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3,128,216 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Common stock, no par, stated value $0.01 per share, 800,000,000 shares authorized, shares issued of 167,615,221 and 170,915,771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1,676</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1,709 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744,076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762,583 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(42,728)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(48,845)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earnings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(424,548)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Less treasury shares, at cost, of 30,572,921 and 31,324,609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(646,541)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(637,507)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stockholders' equity (deficiency)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(368,065)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90,594 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2,549,967</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3,218,810 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43560"/>
                <wp:effectExtent l="0" t="0" r="0" b="0"/>
                <wp:wrapNone/>
                <wp:docPr id="4" name="Frame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778"/>
        <w:gridCol w:w="1564"/>
        <w:gridCol w:w="1566"/>
        <w:gridCol w:w="109"/>
        <w:gridCol w:w="109"/>
        <w:gridCol w:w="109"/>
        <w:gridCol w:w="196"/>
        <w:gridCol w:w="794"/>
        <w:gridCol w:w="109"/>
        <w:gridCol w:w="109"/>
        <w:gridCol w:w="109"/>
        <w:gridCol w:w="109"/>
        <w:gridCol w:w="196"/>
        <w:gridCol w:w="79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177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STATEMENTS OF CASH FLOWS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(unaudited, in 000s)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 to reconcile net loss to 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28,831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8,727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assets and liabilities, net of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8,836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accrued expenses,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(66,017)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revenue, 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(27,025)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receivables, accrued income taxes and income tax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(129,397)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(328,581)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(334,989)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(18,735)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made for 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(5,901)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Franchise loans funded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(7,109)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from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(26,394)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(44,653)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of common stock, including shares surrendered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(238,376)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(150,442)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(284,450)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(195,198)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decrease in cash and cash equivalents, including restricted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(636,176)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(557,756)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1,075,193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439,017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457,560 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SUPPLEMENTARY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 paid, net (includes payments for purchased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48,343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paid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additions to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6,341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operating right of use assets and related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21,861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dividends payable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52,307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94995"/>
                <wp:effectExtent l="0" t="0" r="0" b="0"/>
                <wp:wrapNone/>
                <wp:docPr id="5"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92" w:type="dxa"/>
                              <w:jc w:val="right"/>
                              <w:tblInd w:w="0" w:type="dxa"/>
                              <w:tblLayout w:type="fixed"/>
                              <w:tblCellMar>
                                <w:top w:w="28" w:type="dxa"/>
                                <w:left w:w="28" w:type="dxa"/>
                                <w:bottom w:w="28" w:type="dxa"/>
                                <w:right w:w="28" w:type="dxa"/>
                              </w:tblCellMar>
                            </w:tblPr>
                            <w:tblGrid>
                              <w:gridCol w:w="1019"/>
                              <w:gridCol w:w="898"/>
                              <w:gridCol w:w="903"/>
                              <w:gridCol w:w="109"/>
                              <w:gridCol w:w="109"/>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 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right"/>
                        <w:tblInd w:w="0" w:type="dxa"/>
                        <w:tblLayout w:type="fixed"/>
                        <w:tblCellMar>
                          <w:top w:w="28" w:type="dxa"/>
                          <w:left w:w="28" w:type="dxa"/>
                          <w:bottom w:w="28" w:type="dxa"/>
                          <w:right w:w="28" w:type="dxa"/>
                        </w:tblCellMar>
                      </w:tblPr>
                      <w:tblGrid>
                        <w:gridCol w:w="1019"/>
                        <w:gridCol w:w="898"/>
                        <w:gridCol w:w="903"/>
                        <w:gridCol w:w="109"/>
                        <w:gridCol w:w="109"/>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 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tbl>
      <w:tblPr>
        <w:tblW w:w="13232" w:type="dxa"/>
        <w:jc w:val="center"/>
        <w:tblInd w:w="0" w:type="dxa"/>
        <w:tblLayout w:type="fixed"/>
        <w:tblCellMar>
          <w:top w:w="28" w:type="dxa"/>
          <w:left w:w="28" w:type="dxa"/>
          <w:bottom w:w="28" w:type="dxa"/>
          <w:right w:w="28" w:type="dxa"/>
        </w:tblCellMar>
      </w:tblPr>
      <w:tblGrid>
        <w:gridCol w:w="751"/>
        <w:gridCol w:w="265"/>
        <w:gridCol w:w="215"/>
        <w:gridCol w:w="109"/>
        <w:gridCol w:w="109"/>
        <w:gridCol w:w="109"/>
        <w:gridCol w:w="460"/>
        <w:gridCol w:w="291"/>
        <w:gridCol w:w="109"/>
        <w:gridCol w:w="109"/>
        <w:gridCol w:w="109"/>
        <w:gridCol w:w="109"/>
        <w:gridCol w:w="196"/>
        <w:gridCol w:w="571"/>
        <w:gridCol w:w="109"/>
        <w:gridCol w:w="109"/>
        <w:gridCol w:w="109"/>
        <w:gridCol w:w="109"/>
        <w:gridCol w:w="109"/>
        <w:gridCol w:w="109"/>
        <w:gridCol w:w="811"/>
        <w:gridCol w:w="109"/>
        <w:gridCol w:w="214"/>
        <w:gridCol w:w="822"/>
        <w:gridCol w:w="120"/>
        <w:gridCol w:w="109"/>
        <w:gridCol w:w="109"/>
        <w:gridCol w:w="109"/>
        <w:gridCol w:w="196"/>
        <w:gridCol w:w="661"/>
        <w:gridCol w:w="109"/>
        <w:gridCol w:w="109"/>
        <w:gridCol w:w="109"/>
        <w:gridCol w:w="109"/>
        <w:gridCol w:w="196"/>
        <w:gridCol w:w="751"/>
        <w:gridCol w:w="109"/>
        <w:gridCol w:w="109"/>
        <w:gridCol w:w="109"/>
        <w:gridCol w:w="109"/>
        <w:gridCol w:w="330"/>
        <w:gridCol w:w="331"/>
        <w:gridCol w:w="181"/>
        <w:gridCol w:w="109"/>
        <w:gridCol w:w="109"/>
        <w:gridCol w:w="109"/>
        <w:gridCol w:w="196"/>
        <w:gridCol w:w="751"/>
        <w:gridCol w:w="109"/>
        <w:gridCol w:w="220"/>
        <w:gridCol w:w="220"/>
        <w:gridCol w:w="221"/>
        <w:gridCol w:w="196"/>
        <w:gridCol w:w="751"/>
        <w:gridCol w:w="154"/>
      </w:tblGrid>
      <w:tr>
        <w:trPr/>
        <w:tc>
          <w:tcPr>
            <w:tcW w:w="7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STATEMENTS OF STOCKHOLDERS' EQUITY</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(amounts in 000s, except per share amounts)</w:t>
            </w:r>
          </w:p>
        </w:tc>
        <w:tc>
          <w:tcPr>
            <w:tcW w:w="3145" w:type="dxa"/>
            <w:gridSpan w:val="12"/>
            <w:tcBorders/>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 xml:space="preserve">Accumulated Other </w:t>
            </w:r>
          </w:p>
          <w:p>
            <w:pPr>
              <w:pStyle w:val="TableContents"/>
              <w:bidi w:val="0"/>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Comprehensive</w:t>
            </w:r>
          </w:p>
          <w:p>
            <w:pPr>
              <w:pStyle w:val="TableContents"/>
              <w:bidi w:val="0"/>
              <w:spacing w:lineRule="auto" w:line="240" w:before="0" w:after="0"/>
              <w:jc w:val="right"/>
              <w:rPr/>
            </w:pPr>
            <w:r>
              <w:rPr>
                <w:rFonts w:ascii="Calibri;sans-serif" w:hAnsi="Calibri;sans-serif"/>
                <w:b w:val="false"/>
                <w:color w:val="000000"/>
                <w:sz w:val="16"/>
              </w:rPr>
              <w:t>Loss</w:t>
            </w:r>
            <w:r>
              <w:rPr>
                <w:rFonts w:ascii="Calibri;sans-serif" w:hAnsi="Calibri;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Retained</w:t>
              <w:br/>
              <w:t xml:space="preserve">Earnings </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Total</w:t>
              <w:br/>
              <w:t>Stockholders’</w:t>
              <w:br/>
              <w:t>Equity</w:t>
            </w:r>
          </w:p>
        </w:tc>
        <w:tc>
          <w:tcPr>
            <w:tcW w:w="1762"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170,916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762,583</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(48,845)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12,654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(31,325)</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(637,507)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90,594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(172,576)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6,117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7,463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7,463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(23,990)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1,319</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26,848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(567)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(35,882)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(35,882)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(1,980)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(209,708)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(211,721)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$0.375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(52,307)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(52,307)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167,615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744,076</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(42,728)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(424,548)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(30,573)</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(646,541)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(368,065)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180"/>
        <w:jc w:val="right"/>
        <w:rPr/>
      </w:pPr>
      <w:r>
        <w:rPr/>
      </w:r>
    </w:p>
    <w:p>
      <w:pPr>
        <w:pStyle w:val="TextBody"/>
        <w:bidi w:val="0"/>
        <w:spacing w:before="0" w:after="0"/>
        <w:ind w:left="0" w:right="0" w:hanging="180"/>
        <w:jc w:val="both"/>
        <w:rPr/>
      </w:pPr>
      <w:r>
        <w:rPr/>
      </w:r>
    </w:p>
    <w:p>
      <w:pPr>
        <w:pStyle w:val="TextBody"/>
        <w:bidi w:val="0"/>
        <w:spacing w:before="0" w:after="0"/>
        <w:ind w:left="0" w:right="0" w:hanging="180"/>
        <w:jc w:val="both"/>
        <w:rPr/>
      </w:pPr>
      <w:r>
        <w:rPr/>
      </w:r>
    </w:p>
    <w:tbl>
      <w:tblPr>
        <w:tblW w:w="13274" w:type="dxa"/>
        <w:jc w:val="center"/>
        <w:tblInd w:w="0" w:type="dxa"/>
        <w:tblLayout w:type="fixed"/>
        <w:tblCellMar>
          <w:top w:w="28" w:type="dxa"/>
          <w:left w:w="28" w:type="dxa"/>
          <w:bottom w:w="28" w:type="dxa"/>
          <w:right w:w="28" w:type="dxa"/>
        </w:tblCellMar>
      </w:tblPr>
      <w:tblGrid>
        <w:gridCol w:w="733"/>
        <w:gridCol w:w="248"/>
        <w:gridCol w:w="250"/>
        <w:gridCol w:w="109"/>
        <w:gridCol w:w="109"/>
        <w:gridCol w:w="109"/>
        <w:gridCol w:w="368"/>
        <w:gridCol w:w="368"/>
        <w:gridCol w:w="181"/>
        <w:gridCol w:w="109"/>
        <w:gridCol w:w="109"/>
        <w:gridCol w:w="109"/>
        <w:gridCol w:w="196"/>
        <w:gridCol w:w="556"/>
        <w:gridCol w:w="109"/>
        <w:gridCol w:w="109"/>
        <w:gridCol w:w="109"/>
        <w:gridCol w:w="109"/>
        <w:gridCol w:w="109"/>
        <w:gridCol w:w="109"/>
        <w:gridCol w:w="811"/>
        <w:gridCol w:w="109"/>
        <w:gridCol w:w="217"/>
        <w:gridCol w:w="817"/>
        <w:gridCol w:w="122"/>
        <w:gridCol w:w="109"/>
        <w:gridCol w:w="109"/>
        <w:gridCol w:w="109"/>
        <w:gridCol w:w="196"/>
        <w:gridCol w:w="661"/>
        <w:gridCol w:w="109"/>
        <w:gridCol w:w="109"/>
        <w:gridCol w:w="109"/>
        <w:gridCol w:w="109"/>
        <w:gridCol w:w="196"/>
        <w:gridCol w:w="751"/>
        <w:gridCol w:w="109"/>
        <w:gridCol w:w="109"/>
        <w:gridCol w:w="109"/>
        <w:gridCol w:w="109"/>
        <w:gridCol w:w="330"/>
        <w:gridCol w:w="331"/>
        <w:gridCol w:w="181"/>
        <w:gridCol w:w="109"/>
        <w:gridCol w:w="109"/>
        <w:gridCol w:w="109"/>
        <w:gridCol w:w="196"/>
        <w:gridCol w:w="751"/>
        <w:gridCol w:w="109"/>
        <w:gridCol w:w="220"/>
        <w:gridCol w:w="220"/>
        <w:gridCol w:w="221"/>
        <w:gridCol w:w="196"/>
        <w:gridCol w:w="751"/>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799" w:type="dxa"/>
            <w:gridSpan w:val="46"/>
            <w:tcBorders/>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799" w:type="dxa"/>
            <w:gridSpan w:val="46"/>
            <w:tcBorders/>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Additional</w:t>
              <w:br/>
              <w:t>Paid-in</w:t>
              <w:b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 xml:space="preserve">Accumulated Other </w:t>
            </w:r>
          </w:p>
          <w:p>
            <w:pPr>
              <w:pStyle w:val="TableContents"/>
              <w:bidi w:val="0"/>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Comprehensive</w:t>
            </w:r>
          </w:p>
          <w:p>
            <w:pPr>
              <w:pStyle w:val="TableContents"/>
              <w:bidi w:val="0"/>
              <w:spacing w:lineRule="auto" w:line="240" w:before="0" w:after="0"/>
              <w:jc w:val="right"/>
              <w:rPr/>
            </w:pPr>
            <w:r>
              <w:rPr>
                <w:rFonts w:ascii="Calibri;sans-serif" w:hAnsi="Calibri;sans-serif"/>
                <w:b w:val="false"/>
                <w:color w:val="000000"/>
                <w:sz w:val="16"/>
              </w:rPr>
              <w:t>Loss</w:t>
            </w:r>
            <w:r>
              <w:rPr>
                <w:rFonts w:ascii="Calibri;sans-serif" w:hAnsi="Calibri;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Retained</w:t>
              <w:br/>
              <w:t xml:space="preserve">Earnings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Total</w:t>
              <w:br/>
              <w:t>Stockholders’</w:t>
              <w:br/>
              <w:t>Equity</w:t>
            </w:r>
          </w:p>
        </w:tc>
        <w:tc>
          <w:tcPr>
            <w:tcW w:w="1762"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178,936 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770,376 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(37,099)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(48,677)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(32,786)</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(654,325)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32,064 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(34,226)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(823)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(133,300)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$0.32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175,671 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740,434 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(393,621)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(31,742)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(645,441)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(344,884)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Calibri;sans-serif" w:hAnsi="Calibri;sans-serif"/>
          <w:b w:val="false"/>
          <w:color w:val="000000"/>
          <w:sz w:val="10"/>
        </w:rPr>
        <w:t xml:space="preserve">(1) </w:t>
      </w:r>
      <w:r>
        <w:rPr>
          <w:rFonts w:ascii="Calibri;sans-serif" w:hAnsi="Calibri;sans-serif"/>
          <w:b w:val="false"/>
          <w:color w:val="000000"/>
          <w:sz w:val="16"/>
        </w:rPr>
        <w:t>The balance of our accumulated other comprehensive loss consists of foreign currency translation adjustments.</w:t>
      </w:r>
    </w:p>
    <w:p>
      <w:pPr>
        <w:pStyle w:val="TextBody"/>
        <w:bidi w:val="0"/>
        <w:spacing w:lineRule="auto" w:line="288" w:before="0" w:after="0"/>
        <w:ind w:left="0" w:right="0" w:hanging="180"/>
        <w:jc w:val="both"/>
        <w:rPr/>
      </w:pPr>
      <w:r>
        <w:rPr>
          <w:rFonts w:ascii="Calibri;sans-serif" w:hAnsi="Calibri;sans-serif"/>
          <w:b w:val="false"/>
          <w:color w:val="000000"/>
          <w:sz w:val="10"/>
        </w:rPr>
        <w:t xml:space="preserve">(2) </w:t>
      </w:r>
      <w:r>
        <w:rPr>
          <w:rFonts w:ascii="Calibri;sans-serif" w:hAnsi="Calibri;sans-serif"/>
          <w:b w:val="false"/>
          <w:color w:val="000000"/>
          <w:sz w:val="16"/>
        </w:rPr>
        <w:t>Represents shares swapped or surrendered to us in connection with the vesting or exercise of stock-based awards.</w:t>
      </w:r>
    </w:p>
    <w:p>
      <w:pPr>
        <w:pStyle w:val="TextBody"/>
        <w:bidi w:val="0"/>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3560"/>
                <wp:effectExtent l="0" t="0" r="0" b="0"/>
                <wp:wrapNone/>
                <wp:docPr id="6" name="Frame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both"/>
        <w:rPr/>
      </w:pPr>
      <w:r>
        <w:rPr>
          <w:rFonts w:ascii="Calibri;sans-serif" w:hAnsi="Calibri;sans-serif"/>
          <w:b/>
          <w:color w:val="14AA40"/>
          <w:sz w:val="28"/>
        </w:rPr>
        <w:t>NOTES TO CONSOLIDATED FINANCIAL STATEMENTS</w:t>
      </w:r>
      <w:r>
        <w:rPr>
          <w:color w:val="000000"/>
        </w:rPr>
        <w:t xml:space="preserve">             </w:t>
      </w:r>
      <w:r>
        <w:rPr>
          <w:rFonts w:ascii="Calibri;sans-serif" w:hAnsi="Calibri;sans-serif"/>
          <w:b w:val="false"/>
          <w:color w:val="000000"/>
          <w:sz w:val="24"/>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Calibri;sans-serif" w:hAnsi="Calibri;sans-serif"/>
          <w:b/>
          <w:color w:val="14AA40"/>
          <w:sz w:val="28"/>
        </w:rPr>
        <w:t>NOTE 1: SUMMARY OF SIGNIFICANT ACCOUNTING POLICIES</w:t>
      </w:r>
      <w:r>
        <w:rPr>
          <w:color w:val="14AA40"/>
        </w:rPr>
        <w:t xml:space="preserve"> </w:t>
      </w:r>
    </w:p>
    <w:p>
      <w:pPr>
        <w:pStyle w:val="TextBody"/>
        <w:bidi w:val="0"/>
        <w:spacing w:lineRule="auto" w:line="288" w:before="120" w:after="283"/>
        <w:jc w:val="both"/>
        <w:rPr/>
      </w:pPr>
      <w:r>
        <w:rPr>
          <w:rFonts w:ascii="Calibri;sans-serif" w:hAnsi="Calibri;sans-serif"/>
          <w:b/>
          <w:color w:val="000000"/>
          <w:sz w:val="20"/>
        </w:rPr>
        <w:t>BASIS OF PRESENTATION</w:t>
      </w:r>
      <w:r>
        <w:rPr>
          <w:color w:val="000000"/>
        </w:rPr>
        <w:t xml:space="preserve"> – </w:t>
      </w:r>
      <w:r>
        <w:rPr>
          <w:rFonts w:ascii="Calibri;sans-serif" w:hAnsi="Calibri;sans-serif"/>
          <w:b w:val="false"/>
          <w:color w:val="000000"/>
          <w:sz w:val="20"/>
        </w:rPr>
        <w:t xml:space="preserve">The consolidated balance sheets as of September 30, 2024 and June 30, 2024, the consolidated statements of operations and comprehensive loss for the three months ended September 30, 2024 and 2023, the consolidated statements of cash flows for the three months ended September 30, 2024 and 2023, and the consolidated statements of stockholders' equity for the three months ended September 30, 2024 and 2023 have been prepared by the Company, without audit. In the opinion of management, all adjustments, which include only normal recurring adjustments, necessary to present fairly the financial position, results of operations, and cash flows as of September 30, 2024 and 2023 and for all periods presented, have been made.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"H&amp;R Block," "the Company," "we," "our," and "us" are used interchangeably to refer to H&amp;R Block, Inc., to H&amp;R Block, Inc. and its subsidiaries, or to H&amp;R Block, Inc.'s operating subsidiaries, as appropriate to the context.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June 30, 2024 Annual Report on Form 10-K. All amounts presented herein as of June 30, 2024 or for the year then ended are derived from our Annual Report on Form 10-K.</w:t>
      </w:r>
    </w:p>
    <w:p>
      <w:pPr>
        <w:pStyle w:val="TextBody"/>
        <w:bidi w:val="0"/>
        <w:spacing w:lineRule="auto" w:line="288" w:before="120" w:after="283"/>
        <w:ind w:left="0" w:right="0" w:firstLine="225"/>
        <w:jc w:val="both"/>
        <w:rPr/>
      </w:pPr>
      <w:r>
        <w:rPr>
          <w:rFonts w:ascii="Calibri;sans-serif" w:hAnsi="Calibri;sans-serif"/>
          <w:b/>
          <w:color w:val="000000"/>
          <w:sz w:val="20"/>
        </w:rPr>
        <w:t>MANAGEMENT ESTIMATES</w:t>
      </w:r>
      <w:r>
        <w:rPr>
          <w:color w:val="000000"/>
        </w:rPr>
        <w:t xml:space="preserve"> – </w:t>
      </w:r>
      <w:r>
        <w:rPr>
          <w:rFonts w:ascii="Calibri;sans-serif" w:hAnsi="Calibri;sans-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associated with pending claims and litigation, reserves for uncertain tax positions, and fair value of reporting units. Estimates have been prepared based on the best information available as of each balance sheet date. As such, actual results could differ materially from those estimates. </w:t>
      </w:r>
    </w:p>
    <w:p>
      <w:pPr>
        <w:pStyle w:val="TextBody"/>
        <w:bidi w:val="0"/>
        <w:spacing w:lineRule="auto" w:line="288" w:before="120" w:after="283"/>
        <w:ind w:left="0" w:right="0" w:firstLine="225"/>
        <w:jc w:val="both"/>
        <w:rPr/>
      </w:pPr>
      <w:r>
        <w:rPr>
          <w:rFonts w:ascii="Calibri;sans-serif" w:hAnsi="Calibri;sans-serif"/>
          <w:b/>
          <w:color w:val="000000"/>
          <w:sz w:val="20"/>
        </w:rPr>
        <w:t>SEASONALITY OF BUSINESS</w:t>
      </w:r>
      <w:r>
        <w:rPr>
          <w:color w:val="000000"/>
        </w:rPr>
        <w:t xml:space="preserve"> – </w:t>
      </w:r>
      <w:r>
        <w:rPr>
          <w:rFonts w:ascii="Calibri;sans-serif" w:hAnsi="Calibri;sans-serif"/>
          <w:b w:val="false"/>
          <w:color w:val="000000"/>
          <w:sz w:val="20"/>
        </w:rPr>
        <w:t>Our operating revenues are seasonal in nature with peak revenues typically occurring in the months of February through April. Therefore, results for interim periods are not indicative of results to be expected for the full year.</w:t>
      </w:r>
    </w:p>
    <w:p>
      <w:pPr>
        <w:pStyle w:val="TextBody"/>
        <w:bidi w:val="0"/>
        <w:spacing w:lineRule="auto" w:line="288" w:before="120" w:after="283"/>
        <w:ind w:left="0" w:right="0" w:firstLine="225"/>
        <w:jc w:val="both"/>
        <w:rPr/>
      </w:pPr>
      <w:r>
        <w:rPr>
          <w:rFonts w:ascii="Calibri;sans-serif" w:hAnsi="Calibri;sans-serif"/>
          <w:b/>
          <w:color w:val="000000"/>
          <w:sz w:val="20"/>
        </w:rPr>
        <w:t>DISCONTINUED OPERATIONS</w:t>
      </w:r>
      <w:r>
        <w:rPr>
          <w:color w:val="000000"/>
        </w:rPr>
        <w:t> – </w:t>
      </w:r>
      <w:r>
        <w:rPr>
          <w:rFonts w:ascii="Calibri;sans-serif" w:hAnsi="Calibri;sans-serif"/>
          <w:b w:val="false"/>
          <w:color w:val="000000"/>
          <w:sz w:val="20"/>
        </w:rPr>
        <w:t>Our discontinued operations include the results of operations of Sand Canyon Corporation, previously known as Option One Mortgage Corporation, which exited its mortgage business in fiscal year 2008.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94995"/>
                <wp:effectExtent l="0" t="0" r="0" b="0"/>
                <wp:wrapNone/>
                <wp:docPr id="7" name="Frame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left"/>
        <w:rPr/>
      </w:pPr>
      <w:r>
        <w:rPr>
          <w:rFonts w:ascii="Calibri;sans-serif" w:hAnsi="Calibri;sans-serif"/>
          <w:b/>
          <w:color w:val="14AA40"/>
          <w:sz w:val="28"/>
        </w:rPr>
        <w:t>NOTE 2: REVENUE RECOGNITION</w:t>
      </w:r>
      <w:r>
        <w:rPr>
          <w:color w:val="14AA40"/>
        </w:rPr>
        <w:t xml:space="preserve"> </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 majority of our revenues are from our United States (U.S.) tax services business. The following table disaggregates our U.S. revenues by major service line, with revenues from our international tax services businesses and from Wave included as separate lines:</w:t>
      </w:r>
    </w:p>
    <w:tbl>
      <w:tblPr>
        <w:tblW w:w="8210" w:type="dxa"/>
        <w:jc w:val="left"/>
        <w:tblInd w:w="0" w:type="dxa"/>
        <w:tblLayout w:type="fixed"/>
        <w:tblCellMar>
          <w:top w:w="28" w:type="dxa"/>
          <w:left w:w="28" w:type="dxa"/>
          <w:bottom w:w="28" w:type="dxa"/>
          <w:right w:w="28" w:type="dxa"/>
        </w:tblCellMar>
      </w:tblPr>
      <w:tblGrid>
        <w:gridCol w:w="1269"/>
        <w:gridCol w:w="1115"/>
        <w:gridCol w:w="1126"/>
        <w:gridCol w:w="109"/>
        <w:gridCol w:w="109"/>
        <w:gridCol w:w="109"/>
        <w:gridCol w:w="109"/>
        <w:gridCol w:w="109"/>
        <w:gridCol w:w="234"/>
        <w:gridCol w:w="234"/>
        <w:gridCol w:w="422"/>
        <w:gridCol w:w="1618"/>
        <w:gridCol w:w="234"/>
        <w:gridCol w:w="109"/>
        <w:gridCol w:w="109"/>
        <w:gridCol w:w="109"/>
        <w:gridCol w:w="196"/>
        <w:gridCol w:w="73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assisted tax preparation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42,963</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5,852</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DIY tax preparation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3,236</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Refund Transfers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860</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Peace of Mind® Extended Service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23,097</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Identity Shield®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3,909</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Emerald Card® and Spruce</w:t>
            </w:r>
            <w:r>
              <w:rPr>
                <w:rFonts w:ascii="Calibri;sans-serif" w:hAnsi="Calibr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8,826</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and fee income on Emerald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64,855</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26,403</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13,809</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193,810</w:t>
            </w: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183,800 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Changes in the balances of deferred revenue and wages for our Peace of Mind® Extended Service Plan (POM) are as follows:</w:t>
      </w:r>
    </w:p>
    <w:tbl>
      <w:tblPr>
        <w:tblW w:w="8577" w:type="dxa"/>
        <w:jc w:val="left"/>
        <w:tblInd w:w="0" w:type="dxa"/>
        <w:tblLayout w:type="fixed"/>
        <w:tblCellMar>
          <w:top w:w="28" w:type="dxa"/>
          <w:left w:w="28" w:type="dxa"/>
          <w:bottom w:w="28" w:type="dxa"/>
          <w:right w:w="28" w:type="dxa"/>
        </w:tblCellMar>
      </w:tblPr>
      <w:tblGrid>
        <w:gridCol w:w="1159"/>
        <w:gridCol w:w="1020"/>
        <w:gridCol w:w="1031"/>
        <w:gridCol w:w="109"/>
        <w:gridCol w:w="109"/>
        <w:gridCol w:w="109"/>
        <w:gridCol w:w="196"/>
        <w:gridCol w:w="751"/>
        <w:gridCol w:w="109"/>
        <w:gridCol w:w="109"/>
        <w:gridCol w:w="109"/>
        <w:gridCol w:w="109"/>
        <w:gridCol w:w="196"/>
        <w:gridCol w:w="736"/>
        <w:gridCol w:w="109"/>
        <w:gridCol w:w="109"/>
        <w:gridCol w:w="109"/>
        <w:gridCol w:w="109"/>
        <w:gridCol w:w="196"/>
        <w:gridCol w:w="661"/>
        <w:gridCol w:w="109"/>
        <w:gridCol w:w="109"/>
        <w:gridCol w:w="109"/>
        <w:gridCol w:w="109"/>
        <w:gridCol w:w="196"/>
        <w:gridCol w:w="646"/>
        <w:gridCol w:w="154"/>
      </w:tblGrid>
      <w:tr>
        <w:trPr/>
        <w:tc>
          <w:tcPr>
            <w:tcW w:w="115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POM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Deferred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Deferred Wages</w:t>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w:t>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156,610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167,257 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20,212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21,828 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Amounts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Amounts recognized on previous deferrals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(27,450)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130,723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16,598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As of September 30, 2024, deferred revenue related to POM was $130.7 million. We expect that $87.5 million will be recognized over the next twelve months, while the remaining balance will be recognized over the following five years. </w:t>
      </w:r>
    </w:p>
    <w:p>
      <w:pPr>
        <w:pStyle w:val="TextBody"/>
        <w:bidi w:val="0"/>
        <w:spacing w:lineRule="auto" w:line="288" w:before="120" w:after="283"/>
        <w:ind w:left="0" w:right="0" w:firstLine="270"/>
        <w:jc w:val="both"/>
        <w:rPr>
          <w:rFonts w:ascii="Calibri;sans-serif" w:hAnsi="Calibri;sans-serif"/>
          <w:b w:val="false"/>
          <w:color w:val="000000"/>
          <w:sz w:val="20"/>
          <w:shd w:fill="FFFFFF" w:val="clear"/>
        </w:rPr>
      </w:pPr>
      <w:r>
        <w:rPr>
          <w:rFonts w:ascii="Calibri;sans-serif" w:hAnsi="Calibri;sans-serif"/>
          <w:b w:val="false"/>
          <w:color w:val="000000"/>
          <w:sz w:val="20"/>
          <w:shd w:fill="FFFFFF" w:val="clear"/>
        </w:rPr>
        <w:t>As of September 30, 2024 and 2023, Tax Identity Shield® (TIS) deferred revenue was $17.7 million and $20.8 million, respectively. Deferred revenue related to TIS was $21.4 million and $25.2 million as of June 30, 2024 and 2023, respectively. All deferred revenue related to TIS will be recognized by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3: EARNINGS PER SHARE AND STOCKHOLDERS' EQUITY </w:t>
      </w:r>
    </w:p>
    <w:p>
      <w:pPr>
        <w:pStyle w:val="TextBody"/>
        <w:bidi w:val="0"/>
        <w:spacing w:lineRule="auto" w:line="288" w:before="120" w:after="283"/>
        <w:jc w:val="both"/>
        <w:rPr/>
      </w:pPr>
      <w:r>
        <w:rPr>
          <w:rFonts w:ascii="Calibri;sans-serif" w:hAnsi="Calibri;sans-serif"/>
          <w:b/>
          <w:color w:val="000000"/>
          <w:sz w:val="20"/>
        </w:rPr>
        <w:t xml:space="preserve">EARNINGS PER SHARE </w:t>
      </w:r>
      <w:r>
        <w:rPr>
          <w:color w:val="000000"/>
        </w:rPr>
        <w:t xml:space="preserve">– </w:t>
      </w:r>
      <w:r>
        <w:rPr>
          <w:rFonts w:ascii="Calibri;sans-serif" w:hAnsi="Calibri;sans-serif"/>
          <w:b w:val="false"/>
          <w:color w:val="000000"/>
          <w:sz w:val="20"/>
        </w:rPr>
        <w:t xml:space="preserve">Basic and diluted earnings (loss)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2.7 million and 3.5 million shares for the three months ended September 30, 2024 and </w:t>
      </w:r>
      <w:r>
        <w:rPr>
          <w:rFonts w:ascii="Calibri;sans-serif" w:hAnsi="Calibri;sans-serif"/>
          <w:b w:val="false"/>
          <w:color w:val="000000"/>
          <w:sz w:val="20"/>
          <w:shd w:fill="FFFFFF" w:val="clear"/>
        </w:rPr>
        <w:t xml:space="preserve">2023, </w:t>
      </w:r>
      <w:r>
        <w:rPr>
          <w:rFonts w:ascii="Calibri;sans-serif" w:hAnsi="Calibri;sans-serif"/>
          <w:b w:val="false"/>
          <w:color w:val="000000"/>
          <w:sz w:val="20"/>
        </w:rPr>
        <w:t xml:space="preserve">respectively, </w:t>
      </w:r>
      <w:r>
        <w:rPr>
          <w:rFonts w:ascii="Calibri;sans-serif" w:hAnsi="Calibri;sans-serif"/>
          <w:b w:val="false"/>
          <w:color w:val="000000"/>
          <w:sz w:val="20"/>
          <w:shd w:fill="FFFFFF" w:val="clear"/>
        </w:rPr>
        <w:t>as the effect would be antidilutive due to the net loss from continuing operations during the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3560"/>
                <wp:effectExtent l="0" t="0" r="0" b="0"/>
                <wp:wrapNone/>
                <wp:docPr id="8" name="Frame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6</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6</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left"/>
        <w:rPr>
          <w:rFonts w:ascii="Calibri;sans-serif" w:hAnsi="Calibri;sans-serif"/>
          <w:b w:val="false"/>
          <w:color w:val="000000"/>
          <w:sz w:val="20"/>
        </w:rPr>
      </w:pPr>
      <w:r>
        <w:rPr>
          <w:rFonts w:ascii="Calibri;sans-serif" w:hAnsi="Calibri;sans-serif"/>
          <w:b w:val="false"/>
          <w:color w:val="000000"/>
          <w:sz w:val="20"/>
        </w:rPr>
        <w:t>The computations of basic and diluted earnings (loss) per share from continuing operations are as follows:</w:t>
      </w:r>
    </w:p>
    <w:tbl>
      <w:tblPr>
        <w:tblW w:w="10205" w:type="dxa"/>
        <w:jc w:val="left"/>
        <w:tblInd w:w="0" w:type="dxa"/>
        <w:tblLayout w:type="fixed"/>
        <w:tblCellMar>
          <w:top w:w="28" w:type="dxa"/>
          <w:left w:w="28" w:type="dxa"/>
          <w:bottom w:w="28" w:type="dxa"/>
          <w:right w:w="28" w:type="dxa"/>
        </w:tblCellMar>
      </w:tblPr>
      <w:tblGrid>
        <w:gridCol w:w="1834"/>
        <w:gridCol w:w="1611"/>
        <w:gridCol w:w="1620"/>
        <w:gridCol w:w="241"/>
        <w:gridCol w:w="241"/>
        <w:gridCol w:w="241"/>
        <w:gridCol w:w="241"/>
        <w:gridCol w:w="241"/>
        <w:gridCol w:w="424"/>
        <w:gridCol w:w="181"/>
        <w:gridCol w:w="326"/>
        <w:gridCol w:w="1340"/>
        <w:gridCol w:w="181"/>
        <w:gridCol w:w="109"/>
        <w:gridCol w:w="109"/>
        <w:gridCol w:w="109"/>
        <w:gridCol w:w="196"/>
        <w:gridCol w:w="799"/>
        <w:gridCol w:w="161"/>
      </w:tblGrid>
      <w:tr>
        <w:trPr/>
        <w:tc>
          <w:tcPr>
            <w:tcW w:w="183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9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c>
          <w:tcPr>
            <w:tcW w:w="3511" w:type="dxa"/>
            <w:gridSpan w:val="10"/>
            <w:tcBorders/>
          </w:tcPr>
          <w:p>
            <w:pPr>
              <w:pStyle w:val="TableContents"/>
              <w:bidi w:val="0"/>
              <w:spacing w:before="0" w:after="283"/>
              <w:jc w:val="left"/>
              <w:rPr>
                <w:sz w:val="4"/>
                <w:szCs w:val="4"/>
              </w:rPr>
            </w:pPr>
            <w:r>
              <w:rPr>
                <w:sz w:val="4"/>
                <w:szCs w:val="4"/>
              </w:rPr>
            </w:r>
          </w:p>
        </w:tc>
      </w:tr>
      <w:tr>
        <w:trPr/>
        <w:tc>
          <w:tcPr>
            <w:tcW w:w="50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2"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83" w:type="dxa"/>
            <w:gridSpan w:val="6"/>
            <w:tcBorders/>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Calibri;sans-serif" w:hAnsi="Calibri;sans-serif"/>
                <w:b w:val="false"/>
                <w:color w:val="000000"/>
                <w:sz w:val="18"/>
              </w:rPr>
            </w:pPr>
            <w:r>
              <w:rPr>
                <w:rFonts w:ascii="Calibri;sans-serif" w:hAnsi="Calibri;sans-serif"/>
                <w:b w:val="false"/>
                <w:color w:val="000000"/>
                <w:sz w:val="18"/>
              </w:rPr>
              <w:t>2023</w:t>
            </w:r>
          </w:p>
        </w:tc>
      </w:tr>
      <w:tr>
        <w:trPr/>
        <w:tc>
          <w:tcPr>
            <w:tcW w:w="5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 attributable to shareholders</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(171,421)</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(162,873)</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Amounts allocated to participating securities</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(229)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 attributable to common shareholders</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(171,650)</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(163,050)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Basic weighted average common shares</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139,154</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146,273 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Potential dilutive shares</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Dilutive weighted average common shares</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139,154</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146,273 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Loss per share from continuing operations attributable to common shareholders:</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Basic</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Diluted</w:t>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The decrease in the weighted average shares outstanding is due to share repurchases completed in the current and prior fiscal years. </w:t>
      </w:r>
    </w:p>
    <w:p>
      <w:pPr>
        <w:pStyle w:val="TextBody"/>
        <w:bidi w:val="0"/>
        <w:spacing w:lineRule="auto" w:line="288" w:before="120" w:after="283"/>
        <w:ind w:left="0" w:right="0" w:firstLine="270"/>
        <w:jc w:val="both"/>
        <w:rPr/>
      </w:pPr>
      <w:r>
        <w:rPr>
          <w:rFonts w:ascii="Calibri;sans-serif" w:hAnsi="Calibri;sans-serif"/>
          <w:b/>
          <w:color w:val="000000"/>
          <w:sz w:val="20"/>
          <w:shd w:fill="FFFFFF" w:val="clear"/>
        </w:rPr>
        <w:t>STOCK-BASED COMPENSATION</w:t>
      </w:r>
      <w:r>
        <w:rPr>
          <w:color w:val="000000"/>
        </w:rPr>
        <w:t xml:space="preserve"> – </w:t>
      </w:r>
      <w:r>
        <w:rPr>
          <w:rFonts w:ascii="Calibri;sans-serif" w:hAnsi="Calibri;sans-serif"/>
          <w:b w:val="false"/>
          <w:color w:val="000000"/>
          <w:sz w:val="20"/>
        </w:rPr>
        <w:t xml:space="preserve">We granted 1.0 million and 1.6 million shares, including adjustments for performance achievement and dividend equivalents, under our stock-based compensation plans during the three months ended September 30, 2024 and 2023, respectively. Stock-based compensation expense of our continuing operations totaled $8.7 million and $7.6 million for the three months ended September 30, 2024 and 2023, respectively. As of September 30, 2024, unrecognized compensation cost for nonvested shares and units totaled $67.9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4: RECEIVABLES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Receivables, net of their related allowance, consist of the following:</w:t>
      </w:r>
    </w:p>
    <w:tbl>
      <w:tblPr>
        <w:tblW w:w="10205" w:type="dxa"/>
        <w:jc w:val="left"/>
        <w:tblInd w:w="0" w:type="dxa"/>
        <w:tblLayout w:type="fixed"/>
        <w:tblCellMar>
          <w:top w:w="28" w:type="dxa"/>
          <w:left w:w="28" w:type="dxa"/>
          <w:bottom w:w="28" w:type="dxa"/>
          <w:right w:w="28" w:type="dxa"/>
        </w:tblCellMar>
      </w:tblPr>
      <w:tblGrid>
        <w:gridCol w:w="1819"/>
        <w:gridCol w:w="1597"/>
        <w:gridCol w:w="1600"/>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646"/>
        <w:gridCol w:w="156"/>
      </w:tblGrid>
      <w:tr>
        <w:trPr/>
        <w:tc>
          <w:tcPr>
            <w:tcW w:w="1819"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5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June 30, 2024</w:t>
            </w:r>
          </w:p>
        </w:tc>
      </w:tr>
      <w:tr>
        <w:trPr/>
        <w:tc>
          <w:tcPr>
            <w:tcW w:w="5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r>
      <w:tr>
        <w:trPr/>
        <w:tc>
          <w:tcPr>
            <w:tcW w:w="5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Loans to franchisees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11,133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18,958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16,498 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Receivables for U.S. assisted and DIY tax preparation and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14,899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5,162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H&amp;R Block's Instant Refund®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Emerald Advance®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15,879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23,993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21,360 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Software receivables from retailers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Royalties and other receivables from franchisees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 payment processing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16,960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69,929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48,652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43,824 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Balances presented above as short-term are included in receivables, while the long-term portions are included in other noncurrent assets in the consolidated balance sheets. </w:t>
      </w:r>
    </w:p>
    <w:p>
      <w:pPr>
        <w:pStyle w:val="TextBody"/>
        <w:bidi w:val="0"/>
        <w:spacing w:lineRule="auto" w:line="288" w:before="120" w:after="283"/>
        <w:ind w:left="0" w:right="0" w:firstLine="225"/>
        <w:jc w:val="both"/>
        <w:rPr/>
      </w:pPr>
      <w:r>
        <w:rPr>
          <w:rFonts w:ascii="Calibri;sans-serif" w:hAnsi="Calibri;sans-serif"/>
          <w:b/>
          <w:color w:val="000000"/>
          <w:sz w:val="20"/>
        </w:rPr>
        <w:t xml:space="preserve">LOANS TO FRANCHISEES </w:t>
      </w:r>
      <w:r>
        <w:rPr>
          <w:color w:val="000000"/>
        </w:rPr>
        <w:t xml:space="preserve">– </w:t>
      </w:r>
      <w:r>
        <w:rPr>
          <w:rFonts w:ascii="Calibri;sans-serif" w:hAnsi="Calibri;sans-serif"/>
          <w:b w:val="false"/>
          <w:color w:val="000000"/>
          <w:sz w:val="20"/>
        </w:rPr>
        <w:t xml:space="preserve">Franchisee loan balances consist of term loans made primarily to finance the purchase of franchises and revolving lines of credit primarily for the purpose of funding working capital needs. As of </w:t>
      </w:r>
      <w:r>
        <w:rPr>
          <w:rFonts w:ascii="Calibri;sans-serif" w:hAnsi="Calibri;sans-serif"/>
          <w:b w:val="false"/>
          <w:color w:val="000000"/>
          <w:sz w:val="20"/>
          <w:shd w:fill="FFFFFF" w:val="clear"/>
        </w:rPr>
        <w:t xml:space="preserve">September 30, 2024 </w:t>
      </w:r>
      <w:r>
        <w:rPr>
          <w:rFonts w:ascii="Calibri;sans-serif" w:hAnsi="Calibri;sans-serif"/>
          <w:b w:val="false"/>
          <w:color w:val="000000"/>
          <w:sz w:val="20"/>
        </w:rPr>
        <w:t>and June 30, 2024, loans with a principal balance more than 90 days past due or on non-accrual status were $2.3 million and $1.1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94995"/>
                <wp:effectExtent l="0" t="0" r="0" b="0"/>
                <wp:wrapNone/>
                <wp:docPr id="9" name="Frame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pPr>
      <w:r>
        <w:rPr>
          <w:rFonts w:ascii="Calibri;sans-serif" w:hAnsi="Calibri;sans-serif"/>
          <w:b/>
          <w:color w:val="000000"/>
          <w:sz w:val="20"/>
        </w:rPr>
        <w:t>H&amp;R BLOCK'S INSTANT REFUND</w:t>
      </w:r>
      <w:r>
        <w:rPr>
          <w:rFonts w:ascii="Calibri;sans-serif" w:hAnsi="Calibri;sans-serif"/>
          <w:b w:val="false"/>
          <w:color w:val="000000"/>
          <w:sz w:val="20"/>
        </w:rPr>
        <w:t>®</w:t>
      </w:r>
      <w:r>
        <w:rPr>
          <w:color w:val="000000"/>
        </w:rPr>
        <w:t xml:space="preserve"> – </w:t>
      </w:r>
      <w:r>
        <w:rPr>
          <w:rFonts w:ascii="Calibri;sans-serif" w:hAnsi="Calibri;sans-serif"/>
          <w:b w:val="false"/>
          <w:color w:val="000000"/>
          <w:sz w:val="20"/>
        </w:rPr>
        <w:t xml:space="preserve">H&amp;R Block's Instant Refund® amounts are generally received from the Canada Revenue Agency within 60 days of filing the client's return, with the remaining balance collectible from the client.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review the credit quality of our Instant Refund receivables based on pools, which are segregated by the tax return year of origination, with older years being deemed more unlikely to be repaid. We establish an allowance for credit losses at an amount that we believe reflects the receivable at net realizable value. In December of each year, we charge-off the receivables and the related allowance to an amount we believe represents the net realizable value.</w:t>
      </w:r>
    </w:p>
    <w:p>
      <w:pPr>
        <w:pStyle w:val="TextBody"/>
        <w:bidi w:val="0"/>
        <w:spacing w:lineRule="auto" w:line="288" w:before="120" w:after="283"/>
        <w:ind w:left="0" w:right="0" w:firstLine="225"/>
        <w:jc w:val="both"/>
        <w:rPr/>
      </w:pPr>
      <w:r>
        <w:rPr>
          <w:rFonts w:ascii="Calibri;sans-serif" w:hAnsi="Calibri;sans-serif"/>
          <w:b w:val="false"/>
          <w:color w:val="000000"/>
          <w:sz w:val="20"/>
        </w:rPr>
        <w:t>Balances and amounts on non-accrual status, classified as impaired, or more than 60 days past due, by tax return year of origination, as of September 30, 2024 are as foll</w:t>
      </w:r>
      <w:r>
        <w:rPr>
          <w:rFonts w:ascii="Calibri;sans-serif" w:hAnsi="Calibri;sans-serif"/>
          <w:b w:val="false"/>
          <w:color w:val="000000"/>
          <w:sz w:val="20"/>
          <w:shd w:fill="FFFFFF" w:val="clear"/>
        </w:rPr>
        <w:t>ows:</w:t>
      </w:r>
    </w:p>
    <w:tbl>
      <w:tblPr>
        <w:tblW w:w="6044" w:type="dxa"/>
        <w:jc w:val="left"/>
        <w:tblInd w:w="0" w:type="dxa"/>
        <w:tblLayout w:type="fixed"/>
        <w:tblCellMar>
          <w:top w:w="28" w:type="dxa"/>
          <w:left w:w="28" w:type="dxa"/>
          <w:bottom w:w="28" w:type="dxa"/>
          <w:right w:w="28" w:type="dxa"/>
        </w:tblCellMar>
      </w:tblPr>
      <w:tblGrid>
        <w:gridCol w:w="821"/>
        <w:gridCol w:w="719"/>
        <w:gridCol w:w="724"/>
        <w:gridCol w:w="109"/>
        <w:gridCol w:w="109"/>
        <w:gridCol w:w="109"/>
        <w:gridCol w:w="196"/>
        <w:gridCol w:w="571"/>
        <w:gridCol w:w="109"/>
        <w:gridCol w:w="109"/>
        <w:gridCol w:w="109"/>
        <w:gridCol w:w="109"/>
        <w:gridCol w:w="479"/>
        <w:gridCol w:w="1395"/>
        <w:gridCol w:w="376"/>
      </w:tblGrid>
      <w:tr>
        <w:trP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2577" w:type="dxa"/>
            <w:gridSpan w:val="6"/>
            <w:tcBorders/>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return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More Than 60 Days Past Due</w:t>
            </w:r>
          </w:p>
        </w:tc>
      </w:tr>
      <w:tr>
        <w:trPr/>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1,617</w:t>
            </w:r>
            <w:r>
              <w:rPr>
                <w:color w:val="000000"/>
              </w:rPr>
              <w:t>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2022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1,390</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3,007</w:t>
            </w:r>
            <w:r>
              <w:rPr>
                <w:color w:val="000000"/>
              </w:rPr>
              <w:t>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2,015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Calibri;sans-serif" w:hAnsi="Calibri;sans-serif"/>
          <w:b/>
          <w:color w:val="000000"/>
          <w:sz w:val="20"/>
        </w:rPr>
        <w:t>EMERALD ADVANCE</w:t>
      </w:r>
      <w:r>
        <w:rPr>
          <w:rFonts w:ascii="Calibri;sans-serif" w:hAnsi="Calibri;sans-serif"/>
          <w:b w:val="false"/>
          <w:color w:val="000000"/>
          <w:sz w:val="20"/>
        </w:rPr>
        <w:t>®</w:t>
      </w:r>
      <w:r>
        <w:rPr>
          <w:color w:val="000000"/>
        </w:rPr>
        <w:t xml:space="preserve"> – </w:t>
      </w:r>
      <w:r>
        <w:rPr>
          <w:rFonts w:ascii="Calibri;sans-serif" w:hAnsi="Calibri;sans-serif"/>
          <w:b w:val="false"/>
          <w:color w:val="000000"/>
          <w:sz w:val="20"/>
        </w:rPr>
        <w:t>We review the credit quality of our purchased participation interests in EA receivables based on pools, which are segregated by the fiscal year of origination, with older years being deemed more unlikely to be repaid. We establish an allowance for credit losses at an amount that we believe reflects the receivable at net realizable value. Typically, in December of each year, we charge-off the receivables and the related allowance for EAs to an amount we believe represents the net realizable value.</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Balances and amounts on non-accrual status, classified as impaired, or more than 60 days past due, by fiscal year of origination, as of September 30, 2024 are as follows:</w:t>
      </w:r>
    </w:p>
    <w:tbl>
      <w:tblPr>
        <w:tblW w:w="4606" w:type="dxa"/>
        <w:jc w:val="left"/>
        <w:tblInd w:w="0" w:type="dxa"/>
        <w:tblLayout w:type="fixed"/>
        <w:tblCellMar>
          <w:top w:w="28" w:type="dxa"/>
          <w:left w:w="28" w:type="dxa"/>
          <w:bottom w:w="28" w:type="dxa"/>
          <w:right w:w="28" w:type="dxa"/>
        </w:tblCellMar>
      </w:tblPr>
      <w:tblGrid>
        <w:gridCol w:w="701"/>
        <w:gridCol w:w="615"/>
        <w:gridCol w:w="619"/>
        <w:gridCol w:w="109"/>
        <w:gridCol w:w="109"/>
        <w:gridCol w:w="109"/>
        <w:gridCol w:w="196"/>
        <w:gridCol w:w="661"/>
        <w:gridCol w:w="109"/>
        <w:gridCol w:w="109"/>
        <w:gridCol w:w="109"/>
        <w:gridCol w:w="109"/>
        <w:gridCol w:w="203"/>
        <w:gridCol w:w="687"/>
        <w:gridCol w:w="161"/>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06"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Non-Accrual</w:t>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65,608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65,608</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2023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7,800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7,800</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73,408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73,408</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(33,536)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39,872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3560"/>
                <wp:effectExtent l="0" t="0" r="0" b="0"/>
                <wp:wrapNone/>
                <wp:docPr id="10" name="Frame1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8</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8</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pPr>
      <w:r>
        <w:rPr>
          <w:rFonts w:ascii="Calibri;sans-serif" w:hAnsi="Calibri;sans-serif"/>
          <w:b/>
          <w:color w:val="000000"/>
          <w:sz w:val="20"/>
        </w:rPr>
        <w:t xml:space="preserve">ALLOWANCE FOR CREDIT LOSSES </w:t>
      </w:r>
      <w:r>
        <w:rPr>
          <w:color w:val="000000"/>
        </w:rPr>
        <w:t xml:space="preserve">– </w:t>
      </w:r>
      <w:r>
        <w:rPr>
          <w:rFonts w:ascii="Calibri;sans-serif" w:hAnsi="Calibri;sans-serif"/>
          <w:b w:val="false"/>
          <w:color w:val="000000"/>
          <w:sz w:val="20"/>
        </w:rPr>
        <w:t>Activity in the allowance for credit losses for our EA and all other short-term and long-term receivables for the three months ended September 30, 2024 and 2023 is as follows:</w:t>
      </w:r>
    </w:p>
    <w:tbl>
      <w:tblPr>
        <w:tblW w:w="7293" w:type="dxa"/>
        <w:jc w:val="left"/>
        <w:tblInd w:w="0" w:type="dxa"/>
        <w:tblLayout w:type="fixed"/>
        <w:tblCellMar>
          <w:top w:w="28" w:type="dxa"/>
          <w:left w:w="28" w:type="dxa"/>
          <w:bottom w:w="28" w:type="dxa"/>
          <w:right w:w="28" w:type="dxa"/>
        </w:tblCellMar>
      </w:tblPr>
      <w:tblGrid>
        <w:gridCol w:w="984"/>
        <w:gridCol w:w="862"/>
        <w:gridCol w:w="869"/>
        <w:gridCol w:w="109"/>
        <w:gridCol w:w="109"/>
        <w:gridCol w:w="109"/>
        <w:gridCol w:w="196"/>
        <w:gridCol w:w="661"/>
        <w:gridCol w:w="109"/>
        <w:gridCol w:w="109"/>
        <w:gridCol w:w="109"/>
        <w:gridCol w:w="109"/>
        <w:gridCol w:w="109"/>
        <w:gridCol w:w="109"/>
        <w:gridCol w:w="109"/>
        <w:gridCol w:w="109"/>
        <w:gridCol w:w="109"/>
        <w:gridCol w:w="109"/>
        <w:gridCol w:w="196"/>
        <w:gridCol w:w="661"/>
        <w:gridCol w:w="109"/>
        <w:gridCol w:w="109"/>
        <w:gridCol w:w="109"/>
        <w:gridCol w:w="109"/>
        <w:gridCol w:w="196"/>
        <w:gridCol w:w="661"/>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2"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2631" w:type="dxa"/>
            <w:gridSpan w:val="12"/>
            <w:tcBorders/>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EAs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Total</w:t>
            </w:r>
          </w:p>
        </w:tc>
      </w:tr>
      <w:tr>
        <w:trPr/>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33,536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45,327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78,863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1,024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33,536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44,889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78,425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There were no gross charge-offs of EAs for the three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5: GOODWILL AND INTANGIBLE ASSETS </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Changes in the carrying amount of goodwill for the three months ended September 30, 2024 are as follows:</w:t>
      </w:r>
    </w:p>
    <w:tbl>
      <w:tblPr>
        <w:tblW w:w="9082" w:type="dxa"/>
        <w:jc w:val="left"/>
        <w:tblInd w:w="0" w:type="dxa"/>
        <w:tblLayout w:type="fixed"/>
        <w:tblCellMar>
          <w:top w:w="28" w:type="dxa"/>
          <w:left w:w="28" w:type="dxa"/>
          <w:bottom w:w="28" w:type="dxa"/>
          <w:right w:w="28" w:type="dxa"/>
        </w:tblCellMar>
      </w:tblPr>
      <w:tblGrid>
        <w:gridCol w:w="1206"/>
        <w:gridCol w:w="1058"/>
        <w:gridCol w:w="1066"/>
        <w:gridCol w:w="109"/>
        <w:gridCol w:w="109"/>
        <w:gridCol w:w="109"/>
        <w:gridCol w:w="196"/>
        <w:gridCol w:w="751"/>
        <w:gridCol w:w="109"/>
        <w:gridCol w:w="109"/>
        <w:gridCol w:w="109"/>
        <w:gridCol w:w="109"/>
        <w:gridCol w:w="440"/>
        <w:gridCol w:w="1821"/>
        <w:gridCol w:w="244"/>
        <w:gridCol w:w="109"/>
        <w:gridCol w:w="109"/>
        <w:gridCol w:w="109"/>
        <w:gridCol w:w="196"/>
        <w:gridCol w:w="751"/>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28"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Accumulated Impairment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Net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18"/>
              </w:rPr>
            </w:pPr>
            <w:r>
              <w:rPr>
                <w:rFonts w:ascii="Calibri;sans-serif" w:hAnsi="Calibri;sans-serif"/>
                <w:b w:val="false"/>
                <w:color w:val="000000"/>
                <w:sz w:val="18"/>
              </w:rPr>
              <w:t>Balances as of 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923,523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8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(138,297)</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785,226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Acquisitions</w:t>
            </w:r>
            <w:r>
              <w:rPr>
                <w:rFonts w:ascii="Calibri;sans-serif" w:hAnsi="Calibr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Disposals and foreign currency changes,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3,726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3,726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930,492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(138,297)</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792,195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Calibri;sans-serif" w:hAnsi="Calibri;sans-serif"/>
          <w:b w:val="false"/>
          <w:color w:val="000000"/>
          <w:sz w:val="10"/>
        </w:rPr>
        <w:t>(1)</w:t>
      </w:r>
      <w:r>
        <w:rPr>
          <w:color w:val="000000"/>
        </w:rPr>
        <w:t>    </w:t>
      </w:r>
      <w:r>
        <w:rPr>
          <w:rFonts w:ascii="Calibri;sans-serif" w:hAnsi="Calibri;sans-serif"/>
          <w:b w:val="false"/>
          <w:color w:val="000000"/>
          <w:sz w:val="16"/>
        </w:rPr>
        <w:t>All goodwill added during the period is expected to be tax-deductible for federal income tax reporting.</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test goodwill for impairment annually as of February 1, or more frequently if events occur or circumstances change which would, more likely than not, reduce the fair value of a reporting unit below its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94995"/>
                <wp:effectExtent l="0" t="0" r="0" b="0"/>
                <wp:wrapNone/>
                <wp:docPr id="11" name="Frame1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Components of intangible assets are as follows:</w:t>
      </w:r>
    </w:p>
    <w:tbl>
      <w:tblPr>
        <w:tblW w:w="7306" w:type="dxa"/>
        <w:jc w:val="left"/>
        <w:tblInd w:w="0" w:type="dxa"/>
        <w:tblLayout w:type="fixed"/>
        <w:tblCellMar>
          <w:top w:w="28" w:type="dxa"/>
          <w:left w:w="28" w:type="dxa"/>
          <w:bottom w:w="28" w:type="dxa"/>
          <w:right w:w="28" w:type="dxa"/>
        </w:tblCellMar>
      </w:tblPr>
      <w:tblGrid>
        <w:gridCol w:w="836"/>
        <w:gridCol w:w="734"/>
        <w:gridCol w:w="739"/>
        <w:gridCol w:w="109"/>
        <w:gridCol w:w="109"/>
        <w:gridCol w:w="109"/>
        <w:gridCol w:w="334"/>
        <w:gridCol w:w="1280"/>
        <w:gridCol w:w="185"/>
        <w:gridCol w:w="109"/>
        <w:gridCol w:w="109"/>
        <w:gridCol w:w="109"/>
        <w:gridCol w:w="196"/>
        <w:gridCol w:w="811"/>
        <w:gridCol w:w="109"/>
        <w:gridCol w:w="109"/>
        <w:gridCol w:w="109"/>
        <w:gridCol w:w="109"/>
        <w:gridCol w:w="196"/>
        <w:gridCol w:w="75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6"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30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Gross 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Net</w:t>
            </w:r>
          </w:p>
        </w:tc>
      </w:tr>
      <w:tr>
        <w:trPr/>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406,195</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(232,023)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174,172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334,067</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(275,742)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58,325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Internally-developed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122,731</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(121,407)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1,324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22,070</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(19,705)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2,365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70,100</w:t>
            </w: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(52,988)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17,112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5,800</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2,755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960,963</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(704,910)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256,053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403,955 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(228,157)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331,435 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(270,245)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Internally-developed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122,673 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(119,610)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21,977 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70,100 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955,940 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(691,838)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264,102 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Calibri;sans-serif" w:hAnsi="Calibri;sans-serif"/>
          <w:b w:val="false"/>
          <w:color w:val="000000"/>
          <w:sz w:val="20"/>
        </w:rPr>
        <w:t>We made payments to acquire businesses totaling $5.9 million and $6.9 million during the three months ended September 30, 2024 and 2023, respectively. The amounts and weighted-average lives of intangible assets acquired during the three months e</w:t>
      </w:r>
      <w:r>
        <w:rPr>
          <w:rFonts w:ascii="Calibri;sans-serif" w:hAnsi="Calibri;sans-serif"/>
          <w:b w:val="false"/>
          <w:color w:val="000000"/>
          <w:sz w:val="20"/>
          <w:shd w:fill="FFFFFF" w:val="clear"/>
        </w:rPr>
        <w:t>nded September 30, 2024 a</w:t>
      </w:r>
      <w:r>
        <w:rPr>
          <w:rFonts w:ascii="Calibri;sans-serif" w:hAnsi="Calibri;sans-serif"/>
          <w:b w:val="false"/>
          <w:color w:val="000000"/>
          <w:sz w:val="20"/>
        </w:rPr>
        <w:t>re as follows:</w:t>
      </w:r>
    </w:p>
    <w:tbl>
      <w:tblPr>
        <w:tblW w:w="6239" w:type="dxa"/>
        <w:jc w:val="left"/>
        <w:tblInd w:w="0" w:type="dxa"/>
        <w:tblLayout w:type="fixed"/>
        <w:tblCellMar>
          <w:top w:w="28" w:type="dxa"/>
          <w:left w:w="28" w:type="dxa"/>
          <w:bottom w:w="28" w:type="dxa"/>
          <w:right w:w="28" w:type="dxa"/>
        </w:tblCellMar>
      </w:tblPr>
      <w:tblGrid>
        <w:gridCol w:w="771"/>
        <w:gridCol w:w="677"/>
        <w:gridCol w:w="681"/>
        <w:gridCol w:w="109"/>
        <w:gridCol w:w="109"/>
        <w:gridCol w:w="109"/>
        <w:gridCol w:w="196"/>
        <w:gridCol w:w="571"/>
        <w:gridCol w:w="109"/>
        <w:gridCol w:w="109"/>
        <w:gridCol w:w="109"/>
        <w:gridCol w:w="109"/>
        <w:gridCol w:w="755"/>
        <w:gridCol w:w="755"/>
        <w:gridCol w:w="1070"/>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6239" w:type="dxa"/>
            <w:gridSpan w:val="15"/>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(dollars in 000s)</w:t>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Weighted-Average Life (in years)</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2,500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2,191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4,775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1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pPr>
      <w:r>
        <w:rPr>
          <w:rFonts w:ascii="Calibri;sans-serif" w:hAnsi="Calibri;sans-serif"/>
          <w:b w:val="false"/>
          <w:color w:val="000000"/>
          <w:sz w:val="20"/>
        </w:rPr>
        <w:t>Amortization of intangible assets for the three</w:t>
      </w:r>
      <w:r>
        <w:rPr>
          <w:color w:val="000000"/>
          <w:shd w:fill="FFFFFF" w:val="clear"/>
        </w:rPr>
        <w:t xml:space="preserve"> </w:t>
      </w:r>
      <w:r>
        <w:rPr>
          <w:rFonts w:ascii="Calibri;sans-serif" w:hAnsi="Calibri;sans-serif"/>
          <w:b w:val="false"/>
          <w:color w:val="000000"/>
          <w:sz w:val="20"/>
          <w:shd w:fill="FFFFFF" w:val="clear"/>
        </w:rPr>
        <w:t xml:space="preserve">months ended September 30, 2024 was $12.9 million compared to $15.8 million for the </w:t>
      </w:r>
      <w:r>
        <w:rPr>
          <w:rFonts w:ascii="Calibri;sans-serif" w:hAnsi="Calibri;sans-serif"/>
          <w:b w:val="false"/>
          <w:color w:val="000000"/>
          <w:sz w:val="20"/>
        </w:rPr>
        <w:t>three</w:t>
      </w:r>
      <w:r>
        <w:rPr>
          <w:color w:val="000000"/>
          <w:shd w:fill="FFFFFF" w:val="clear"/>
        </w:rPr>
        <w:t xml:space="preserve"> </w:t>
      </w:r>
      <w:r>
        <w:rPr>
          <w:rFonts w:ascii="Calibri;sans-serif" w:hAnsi="Calibri;sans-serif"/>
          <w:b w:val="false"/>
          <w:color w:val="000000"/>
          <w:sz w:val="20"/>
          <w:shd w:fill="FFFFFF" w:val="clear"/>
        </w:rPr>
        <w:t>months ended September 30, 2023. Estimated amortization of intangible assets for fiscal years ending June 30, 2025, 2026, 2027, 2028, and 2029 is $44.1 million, $34.6 million, $27.9 million, $20.1 million and $12.0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43560"/>
                <wp:effectExtent l="0" t="0" r="0" b="0"/>
                <wp:wrapNone/>
                <wp:docPr id="12" name="Frame1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10</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10</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left"/>
        <w:rPr/>
      </w:pPr>
      <w:r>
        <w:rPr>
          <w:rFonts w:ascii="Calibri;sans-serif" w:hAnsi="Calibri;sans-serif"/>
          <w:b/>
          <w:color w:val="14AA40"/>
          <w:sz w:val="28"/>
        </w:rPr>
        <w:t>NOTE 6: LONG-TERM DEBT</w:t>
      </w:r>
      <w:r>
        <w:rPr>
          <w:color w:val="14AA40"/>
        </w:rPr>
        <w:t xml:space="preserve"> </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 components of long-term debt are as follows:</w:t>
      </w:r>
    </w:p>
    <w:tbl>
      <w:tblPr>
        <w:tblW w:w="6554" w:type="dxa"/>
        <w:jc w:val="center"/>
        <w:tblInd w:w="0" w:type="dxa"/>
        <w:tblLayout w:type="fixed"/>
        <w:tblCellMar>
          <w:top w:w="28" w:type="dxa"/>
          <w:left w:w="28" w:type="dxa"/>
          <w:bottom w:w="28" w:type="dxa"/>
          <w:right w:w="28" w:type="dxa"/>
        </w:tblCellMar>
      </w:tblPr>
      <w:tblGrid>
        <w:gridCol w:w="1116"/>
        <w:gridCol w:w="985"/>
        <w:gridCol w:w="989"/>
        <w:gridCol w:w="109"/>
        <w:gridCol w:w="109"/>
        <w:gridCol w:w="109"/>
        <w:gridCol w:w="261"/>
        <w:gridCol w:w="1183"/>
        <w:gridCol w:w="145"/>
        <w:gridCol w:w="109"/>
        <w:gridCol w:w="109"/>
        <w:gridCol w:w="109"/>
        <w:gridCol w:w="196"/>
        <w:gridCol w:w="871"/>
        <w:gridCol w:w="154"/>
      </w:tblGrid>
      <w:tr>
        <w:trPr/>
        <w:tc>
          <w:tcPr>
            <w:tcW w:w="111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June 30, 2024</w:t>
            </w:r>
          </w:p>
        </w:tc>
      </w:tr>
      <w:tr>
        <w:trPr/>
        <w:tc>
          <w:tcPr>
            <w:tcW w:w="3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Senior Notes, 5.250%, due October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1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350,000</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Senior Notes, 2.500%, due July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500,000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Senior Notes, 3.875%, due August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650,000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Debt issuance costs and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(8,379)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1,491,621</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1,491,095 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1,491,621</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1,491,095 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Estimated fair value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1,434,000</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Our unsecured committed line of credit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June 11, 2026, unless extended pursuant to the terms of the CLOC, at which time all outstanding amounts thereunder will be due and payable. Our CLOC includes an annual facility fee, which will vary depending on our then current credit ratings.</w:t>
      </w:r>
    </w:p>
    <w:p>
      <w:pPr>
        <w:pStyle w:val="TextBody"/>
        <w:bidi w:val="0"/>
        <w:spacing w:lineRule="auto" w:line="288" w:before="120" w:after="283"/>
        <w:ind w:left="0" w:right="0" w:firstLine="270"/>
        <w:jc w:val="both"/>
        <w:rPr/>
      </w:pPr>
      <w:r>
        <w:rPr>
          <w:rFonts w:ascii="Calibri;sans-serif" w:hAnsi="Calibri;sans-serif"/>
          <w:b w:val="false"/>
          <w:color w:val="000000"/>
          <w:sz w:val="20"/>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w:t>
      </w:r>
      <w:r>
        <w:rPr>
          <w:rFonts w:ascii="Calibri;sans-serif" w:hAnsi="Calibri;sans-serif"/>
          <w:b w:val="false"/>
          <w:color w:val="000000"/>
          <w:sz w:val="20"/>
          <w:shd w:fill="FFFFFF" w:val="clear"/>
        </w:rPr>
        <w:t xml:space="preserve">rposes. We were in compliance with these requirements as of September 30, 2024. </w:t>
      </w:r>
    </w:p>
    <w:p>
      <w:pPr>
        <w:pStyle w:val="TextBody"/>
        <w:bidi w:val="0"/>
        <w:spacing w:lineRule="auto" w:line="288" w:before="120" w:after="283"/>
        <w:ind w:left="0" w:right="0" w:firstLine="270"/>
        <w:jc w:val="both"/>
        <w:rPr/>
      </w:pPr>
      <w:r>
        <w:rPr>
          <w:rFonts w:ascii="Calibri;sans-serif" w:hAnsi="Calibri;sans-serif"/>
          <w:b w:val="false"/>
          <w:color w:val="000000"/>
          <w:sz w:val="20"/>
          <w:shd w:fill="FFFFFF" w:val="clear"/>
        </w:rPr>
        <w:t>We had no outst</w:t>
      </w:r>
      <w:r>
        <w:rPr>
          <w:rFonts w:ascii="Calibri;sans-serif" w:hAnsi="Calibri;sans-serif"/>
          <w:b w:val="false"/>
          <w:color w:val="000000"/>
          <w:sz w:val="20"/>
        </w:rPr>
        <w:t xml:space="preserve">anding balance under our CLOC and amounts available to borrow were not limited by the debt-to-EBITDA covenant as of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Calibri;sans-serif" w:hAnsi="Calibri;sans-serif"/>
          <w:b/>
          <w:color w:val="14AA40"/>
          <w:sz w:val="28"/>
        </w:rPr>
      </w:pPr>
      <w:r>
        <w:rPr>
          <w:rFonts w:ascii="Calibri;sans-serif" w:hAnsi="Calibri;sans-serif"/>
          <w:b/>
          <w:color w:val="14AA40"/>
          <w:sz w:val="28"/>
        </w:rPr>
        <w:t>NOTE 7: INCOME TAXES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 xml:space="preserve">We file a consolidated federal income tax return in the U.S. with the Internal Revenue Service (IRS) and file tax returns in various state, local, and foreign jurisdictions.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We had gross unrecognized tax benefits of $251.4 million and $251.8 million as of September 30, 2024 and June 30, 2024, respectively. The gross unrecognized tax benefits decreased by $0.4 million during the three months ended September 30, 2024. We believe it is reasonably possible that the balance of unrecognized tax benefits could decrease by approximately $144.4 million within the next twelve months. The anticipated decrease is due to the expiration of statutes of limitations, anticipated closure of various tax matters currently under examination, and settlements with tax authorities. For such matters where a change in the balance of unrecognized tax benefits is not yet deemed reasonably possible, no estimate has been included.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Our effective tax rate for continuing operations, including the effects of discrete tax items, was 26.2% and 23.3% for the three months ended September 30,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94995"/>
                <wp:effectExtent l="0" t="0" r="0" b="0"/>
                <wp:wrapNone/>
                <wp:docPr id="13" name="Frame1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Consistent with prior years, our pretax loss for the three months ended September 30, 2024 is expected to be offset by income in our third and fourth quarters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three months ended September 30, 2024 reflects management’s estimate of the annual effective tax rate applied to year-to-date loss from continuing operations adjusted for the tax impact of discrete items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8: COMMITMENTS AND CONTINGENCIES </w:t>
      </w:r>
    </w:p>
    <w:p>
      <w:pPr>
        <w:pStyle w:val="TextBody"/>
        <w:bidi w:val="0"/>
        <w:spacing w:lineRule="auto" w:line="288" w:before="120" w:after="283"/>
        <w:jc w:val="both"/>
        <w:rPr/>
      </w:pPr>
      <w:r>
        <w:rPr>
          <w:rFonts w:ascii="Calibri;sans-serif" w:hAnsi="Calibri;sans-serif"/>
          <w:b w:val="false"/>
          <w:color w:val="000000"/>
          <w:sz w:val="20"/>
        </w:rPr>
        <w:t>Our U.S. and Canadian businesses offer our 100% accuracy guarantee. Assisted tax returns</w:t>
      </w:r>
      <w:r>
        <w:rPr>
          <w:color w:val="000000"/>
        </w:rPr>
        <w:t xml:space="preserve"> </w:t>
      </w:r>
      <w:r>
        <w:rPr>
          <w:rFonts w:ascii="Calibri;sans-serif" w:hAnsi="Calibri;sans-serif"/>
          <w:b w:val="false"/>
          <w:color w:val="000000"/>
          <w:sz w:val="20"/>
        </w:rPr>
        <w:t xml:space="preserve">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respective taxing authority that a client would otherwise not have been required to pay. Our liability related to estimated losses under the 100% accuracy guarantee was $12.0 million and $14.1 million as of September 30, 2024 and June 30, 2024, respectively. The short-term and long-term portions of this liability are included in deferred revenue and other liabilities in the consolidated balance sheets.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$28.0 million and $26.9 million as of September 30, 2024 and June 30, 2024 respectively, with amounts recorded in deferred revenue and other liabilities. Should actual results differ from our estimates, future payments made will differ from the above estimate and any differences will be recorded in results from continuing operations. </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have contractual commitments to fund certain franchises with approved short-term lines of credit for the purpose of meeting their seasonal working capital needs. Our total obligation under these lines of credit was $15.7 million at September 30, 2024, and net of amounts drawn and outstanding, our remaining commitment to fund totaled $10.0 million.</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During the three months ended September 30, 2024, the Company entered into an agreement to purchase federal investment tax credits (“ITC”), if certain conditions are met. During the three months ended September 30, 2024, we paid $22.9 million for ITCs. As of September 30, 2024, the Company has a remaining commitment to purchase additional ITCs, estimated to be $74.0 million if certain conditions set forth in the agreement are satisfied, with the final payment anticipated to occur by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 xml:space="preserve">NOTE 9: LITIGATION AND OTHER RELATED CONTINGENCIES </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We are a defendant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In addition, jurisdictions may permit plaintiffs to allege monetary damages in amounts well exceeding reasonably possible verdicts in the jurisdiction for similar matters. We believe that the monetary relief which may be specified in a lawsuit or claim bears little relevance to its merits or disposition value due to this variability in pleadings and our experience in handling and resolving numerous claims over an extended period of time.</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and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43560"/>
                <wp:effectExtent l="0" t="0" r="0" b="0"/>
                <wp:wrapNone/>
                <wp:docPr id="14" name="Frame1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In addition to litigation and arbitration matters, we are also subject to other loss contingencies arising out of our business activities, including as described below.</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September 30, 2024.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Our accrued liabilities were $11.1 million and $7.2 million as of September 30, 2024 and June 30, 2024, respectively.</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September 30, 2024, we believe the estimate of the aggregate range of reasonably possible losses in excess of amounts accrued, where the range of loss can be estimated, is not material.</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4995"/>
                <wp:effectExtent l="0" t="0" r="0" b="0"/>
                <wp:wrapNone/>
                <wp:docPr id="15" name="Frame1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before="120" w:after="283"/>
        <w:ind w:left="0" w:right="0" w:firstLine="225"/>
        <w:jc w:val="both"/>
        <w:rPr/>
      </w:pPr>
      <w:r>
        <w:rPr/>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have received and are responding to certain governmental inquiries, class actions and mass arbitrations relating to the IRS Free File Program and other aspects of our DIY tax preparation services, including the use of pixels. Related to one of these matters, on February 23, 2024, the Federal Trade Commission (FTC) filed an administrative complaint before the FTC alleging unfair or deceptive business acts or practices in connection with certain aspects of our DIY tax preparation services. A hearing before an administrative law judge (ALJ) of the FTC was scheduled to begin on October 23, 2024. We filed a complaint in federal court in the Western District of Missouri challenging the constitutionality of the ALJ’s removal protections and seeking to enjoin the ALJ’s participation in the adjudication of the matter. The federal court denied our motion for a preliminary injunction on August 1, 2024. We filed an appeal with the Eighth Circuit Court of Appeals. On October 21, 2024, we entered into a proposed Consent Agreement to resolve the allegations of the complaint through a proposed Decision and Order, which is subject to final approval by the Commission. If approved, the proposed Decision and Order will fully resolve the claims. Proceedings before the ALJ are stayed pending a determination by the Commission. An accrual related to these matters is included in our loss contingency accrual.</w:t>
      </w:r>
    </w:p>
    <w:p>
      <w:pPr>
        <w:pStyle w:val="TextBody"/>
        <w:bidi w:val="0"/>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We are from time to time a party to litigation, arbitration and other loss contingencies not discussed herein arising out of our business operations. These matters may include actions by state attorneys general, other state regulators, federal regulators, individual plaintiffs, and cases in which plaintiffs seek to represent others who may be similarly situated. </w:t>
      </w:r>
    </w:p>
    <w:p>
      <w:pPr>
        <w:pStyle w:val="TextBody"/>
        <w:bidi w:val="0"/>
        <w:spacing w:lineRule="auto" w:line="288" w:before="120" w:after="120"/>
        <w:ind w:left="0" w:right="0" w:firstLine="270"/>
        <w:jc w:val="both"/>
        <w:rPr>
          <w:rFonts w:ascii="Calibri;sans-serif" w:hAnsi="Calibri;sans-serif"/>
          <w:b w:val="false"/>
          <w:color w:val="000000"/>
          <w:sz w:val="20"/>
        </w:rPr>
      </w:pPr>
      <w:r>
        <w:rPr>
          <w:rFonts w:ascii="Calibri;sans-serif" w:hAnsi="Calibri;sans-serif"/>
          <w:b w:val="false"/>
          <w:color w:val="000000"/>
          <w:sz w:val="20"/>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260"/>
        <w:jc w:val="both"/>
        <w:rPr>
          <w:rFonts w:ascii="Calibri;sans-serif" w:hAnsi="Calibri;sans-serif"/>
          <w:b/>
          <w:color w:val="14AA40"/>
          <w:sz w:val="28"/>
        </w:rPr>
      </w:pPr>
      <w:r>
        <w:rPr>
          <w:rFonts w:ascii="Calibri;sans-serif" w:hAnsi="Calibri;sans-serif"/>
          <w:b/>
          <w:color w:val="14AA40"/>
          <w:sz w:val="2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RESULTS OF OPERATIONS</w:t>
      </w:r>
    </w:p>
    <w:p>
      <w:pPr>
        <w:pStyle w:val="TextBody"/>
        <w:bidi w:val="0"/>
        <w:spacing w:lineRule="auto" w:line="288" w:before="120" w:after="283"/>
        <w:jc w:val="both"/>
        <w:rPr/>
      </w:pPr>
      <w:r>
        <w:rPr>
          <w:rFonts w:ascii="Calibri;sans-serif" w:hAnsi="Calibri;sans-serif"/>
          <w:b w:val="false"/>
          <w:color w:val="000000"/>
          <w:sz w:val="20"/>
        </w:rPr>
        <w:t xml:space="preserve">Our subsidiaries provide assisted and do-it-yourself (DIY) tax preparation solutions through multiple channels (including in-person, online and mobile applications, virtual, and desktop software) and distribute H&amp;R Block-branded products and services, including those of our bank partners, to the general public primarily in the United States (U.S.), Canada and Australia. Tax returns are either prepared by H&amp;R Block tax professionals in one of our company-owned or franchise offices, virtually or via an online review or prepared and filed by our clients through our DIY tax solutions. We also offer small business solutions through our company-owned and franchise offices (including in-person, online and virtual) and online through Wave. </w:t>
      </w:r>
      <w:r>
        <w:rPr>
          <w:rFonts w:ascii="Calibri;sans-serif" w:hAnsi="Calibri;sans-serif"/>
          <w:b w:val="false"/>
          <w:color w:val="000000"/>
          <w:sz w:val="20"/>
          <w:shd w:fill="FFFFFF" w:val="clear"/>
        </w:rPr>
        <w:t>We report a</w:t>
      </w:r>
      <w:r>
        <w:rPr>
          <w:color w:val="000000"/>
        </w:rPr>
        <w:t xml:space="preserve"> </w:t>
      </w:r>
      <w:r>
        <w:rPr>
          <w:rFonts w:ascii="Calibri;sans-serif" w:hAnsi="Calibri;sans-serif"/>
          <w:b w:val="false"/>
          <w:color w:val="000000"/>
          <w:sz w:val="20"/>
        </w:rPr>
        <w:t>single segment that includes all of our continuing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43560"/>
                <wp:effectExtent l="0" t="0" r="0" b="0"/>
                <wp:wrapNone/>
                <wp:docPr id="16" name="Frame1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tbl>
      <w:tblPr>
        <w:tblW w:w="9215" w:type="dxa"/>
        <w:jc w:val="left"/>
        <w:tblInd w:w="0" w:type="dxa"/>
        <w:tblLayout w:type="fixed"/>
        <w:tblCellMar>
          <w:top w:w="28" w:type="dxa"/>
          <w:left w:w="28" w:type="dxa"/>
          <w:bottom w:w="28" w:type="dxa"/>
          <w:right w:w="28" w:type="dxa"/>
        </w:tblCellMar>
      </w:tblPr>
      <w:tblGrid>
        <w:gridCol w:w="1276"/>
        <w:gridCol w:w="1121"/>
        <w:gridCol w:w="1127"/>
        <w:gridCol w:w="109"/>
        <w:gridCol w:w="109"/>
        <w:gridCol w:w="109"/>
        <w:gridCol w:w="196"/>
        <w:gridCol w:w="811"/>
        <w:gridCol w:w="109"/>
        <w:gridCol w:w="109"/>
        <w:gridCol w:w="109"/>
        <w:gridCol w:w="109"/>
        <w:gridCol w:w="196"/>
        <w:gridCol w:w="811"/>
        <w:gridCol w:w="109"/>
        <w:gridCol w:w="109"/>
        <w:gridCol w:w="109"/>
        <w:gridCol w:w="109"/>
        <w:gridCol w:w="196"/>
        <w:gridCol w:w="721"/>
        <w:gridCol w:w="109"/>
        <w:gridCol w:w="109"/>
        <w:gridCol w:w="109"/>
        <w:gridCol w:w="109"/>
        <w:gridCol w:w="313"/>
        <w:gridCol w:w="317"/>
        <w:gridCol w:w="495"/>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Consolidated – Financial Results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Assisted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42,963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5,852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DIY tax preparation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(15.9)</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Refund Transfers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(24.7)</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Peace of Mind® Extended Service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23,097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Identity Shield®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(14.7)</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13,809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25.8 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93,726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Emerald Card® and Spruce</w:t>
            </w:r>
            <w:r>
              <w:rPr>
                <w:rFonts w:ascii="Calibri;sans-serif" w:hAnsi="Calibr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8,826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and fee income on Emerald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8,826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64,855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26,403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193,810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183,800 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Field wages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68,094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(9.1)</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77,335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Benefits and other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38,754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184,183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169,781 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101,318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9,972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(81.9)</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28,831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43.1 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95,107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(18.1)</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422,141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(8.2)</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 on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(15,847)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Pretax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(232,261)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(212,360)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(19,901)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(60,840)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22.9 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(171,421)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(89.7)</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(172,576)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BASIC AND DILUTED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Adjusted diluted EPS</w:t>
            </w:r>
            <w:r>
              <w:rPr>
                <w:rFonts w:ascii="Calibri;sans-serif" w:hAnsi="Calibr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 xml:space="preserve">EBITDA </w:t>
            </w:r>
            <w:r>
              <w:rPr>
                <w:rFonts w:ascii="Calibri;sans-serif" w:hAnsi="Calibr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(187,583)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(166,265)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(12.8)</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Calibri;sans-serif" w:hAnsi="Calibri;sans-serif"/>
          <w:b w:val="false"/>
          <w:color w:val="000000"/>
          <w:sz w:val="10"/>
        </w:rPr>
        <w:t>(1)</w:t>
      </w:r>
      <w:r>
        <w:rPr>
          <w:color w:val="000000"/>
        </w:rPr>
        <w:t>    </w:t>
      </w:r>
      <w:r>
        <w:rPr>
          <w:rFonts w:ascii="Calibri;sans-serif" w:hAnsi="Calibri;sans-serif"/>
          <w:b w:val="false"/>
          <w:color w:val="000000"/>
          <w:sz w:val="16"/>
        </w:rPr>
        <w:t>All non-GAAP measures are results from continuing operations. See "</w:t>
      </w:r>
      <w:hyperlink w:anchor="i5b82aecb81d74356a9ff9f8c9940dcc4_85">
        <w:r>
          <w:rPr>
            <w:rStyle w:val="InternetLink"/>
            <w:rFonts w:ascii="Calibri;sans-serif" w:hAnsi="Calibri;sans-serif"/>
            <w:b w:val="false"/>
            <w:color w:val="0000FF"/>
            <w:sz w:val="16"/>
            <w:u w:val="single"/>
          </w:rPr>
          <w:t>Non-GAAP Financial Information</w:t>
        </w:r>
      </w:hyperlink>
      <w:r>
        <w:rPr>
          <w:rFonts w:ascii="Calibri;sans-serif" w:hAnsi="Calibri;sans-serif"/>
          <w:b w:val="false"/>
          <w:color w:val="000000"/>
          <w:sz w:val="16"/>
        </w:rPr>
        <w:t xml:space="preserve">" at the end of this item for a reconciliation of non-GAAP measures.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94995"/>
                <wp:effectExtent l="0" t="0" r="0" b="0"/>
                <wp:wrapNone/>
                <wp:docPr id="17" name="Frame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both"/>
        <w:rPr>
          <w:rFonts w:ascii="Calibri;sans-serif" w:hAnsi="Calibri;sans-serif"/>
          <w:b/>
          <w:color w:val="000000"/>
          <w:sz w:val="20"/>
        </w:rPr>
      </w:pPr>
      <w:r>
        <w:rPr>
          <w:rFonts w:ascii="Calibri;sans-serif" w:hAnsi="Calibri;sans-serif"/>
          <w:b/>
          <w:color w:val="000000"/>
          <w:sz w:val="20"/>
        </w:rPr>
        <w:t>Three months ended September 30, 2024 compared to September 30, 2023</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Revenues increased $10.0 million, or 5.4%, from the prior year. U.S. assisted tax preparation revenues increased $3.7 million, or 9.4%, due to higher company-owned tax return volumes combined with an increase in net average charge in the current year. Other revenues increased $2.8 million, or 25.8%, primarily due to higher bookkeeping fees.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International tax preparation revenues increased $4.3 million, or 7.1%, primarily due to higher tax return volumes in Australia combined with favorable foreign currency exchange rates. Wave revenues increased $2.5 million, or 10.3%, due to higher accounting, invoicing and receipts subscriptions and small business payments processing volumes.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Total operating expenses increased $32.0 million, or 8.2%, from the prior year. Field wages increased $5.7 million, or 9.1%, due to higher U.S. and Australian tax professional wages due to higher volumes in the current year. Other wages increased $5.2 million, or 7.3%, due to higher corporate wages primarily due to higher headcount. Benefits and other compensation increased $3.5 million, or 9.9%, primarily due to higher stock-based compensation and severance pay in the current year. Marketing and advertising expense increased $4.5 million, or 81.9%, primarily due to lower vendor refunds for expired customer incentives and higher online advertising in the current year.</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operating expenses increased $14.6 million, or 18.1%. The components of other expenses are as follows:</w:t>
      </w:r>
    </w:p>
    <w:tbl>
      <w:tblPr>
        <w:tblW w:w="8135" w:type="dxa"/>
        <w:jc w:val="center"/>
        <w:tblInd w:w="0" w:type="dxa"/>
        <w:tblLayout w:type="fixed"/>
        <w:tblCellMar>
          <w:top w:w="28" w:type="dxa"/>
          <w:left w:w="28" w:type="dxa"/>
          <w:bottom w:w="28" w:type="dxa"/>
          <w:right w:w="28" w:type="dxa"/>
        </w:tblCellMar>
      </w:tblPr>
      <w:tblGrid>
        <w:gridCol w:w="999"/>
        <w:gridCol w:w="877"/>
        <w:gridCol w:w="883"/>
        <w:gridCol w:w="109"/>
        <w:gridCol w:w="109"/>
        <w:gridCol w:w="109"/>
        <w:gridCol w:w="196"/>
        <w:gridCol w:w="661"/>
        <w:gridCol w:w="109"/>
        <w:gridCol w:w="109"/>
        <w:gridCol w:w="109"/>
        <w:gridCol w:w="109"/>
        <w:gridCol w:w="196"/>
        <w:gridCol w:w="646"/>
        <w:gridCol w:w="109"/>
        <w:gridCol w:w="109"/>
        <w:gridCol w:w="109"/>
        <w:gridCol w:w="109"/>
        <w:gridCol w:w="196"/>
        <w:gridCol w:w="721"/>
        <w:gridCol w:w="109"/>
        <w:gridCol w:w="109"/>
        <w:gridCol w:w="109"/>
        <w:gridCol w:w="109"/>
        <w:gridCol w:w="313"/>
        <w:gridCol w:w="317"/>
        <w:gridCol w:w="495"/>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7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r>
      <w:tr>
        <w:trPr/>
        <w:tc>
          <w:tcPr>
            <w:tcW w:w="27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Consulting and outsourced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15,444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(17.6)</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Bank partner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Client claims and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5,944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Employee and travel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Technology-related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24,501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Credit card/bank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18,149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3,544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Legal fees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14,462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(380.8)</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3,992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95,107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(18.1)</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75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Legal expenses increased $11.5 million primarily due to higher outside legal counsel spend.</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recorded an income tax benefit of $60.8 million in the current year compared to $49.5 million in the prior year. The effective tax rate for the three months ended September 30, 2024, and 2023 was 26.2% and 23.3%,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FINANCIAL CONDITION</w:t>
      </w:r>
    </w:p>
    <w:p>
      <w:pPr>
        <w:pStyle w:val="TextBody"/>
        <w:bidi w:val="0"/>
        <w:spacing w:lineRule="auto" w:line="288" w:before="120" w:after="283"/>
        <w:jc w:val="both"/>
        <w:rPr/>
      </w:pPr>
      <w:r>
        <w:rPr>
          <w:rFonts w:ascii="Calibri;sans-serif" w:hAnsi="Calibri;sans-serif"/>
          <w:b w:val="false"/>
          <w:color w:val="000000"/>
          <w:sz w:val="20"/>
        </w:rPr>
        <w:t xml:space="preserve">These comments should be read in conjunction with the consolidated balance sheets and consolidated statements of cash flows included in </w:t>
      </w:r>
      <w:hyperlink w:anchor="i5b82aecb81d74356a9ff9f8c9940dcc4_25">
        <w:r>
          <w:rPr>
            <w:rStyle w:val="InternetLink"/>
            <w:rFonts w:ascii="Calibri;sans-serif" w:hAnsi="Calibri;sans-serif"/>
            <w:b w:val="false"/>
            <w:color w:val="0000FF"/>
            <w:sz w:val="20"/>
            <w:u w:val="single"/>
          </w:rPr>
          <w:t>Part 1, Item 1</w:t>
        </w:r>
      </w:hyperlink>
      <w:r>
        <w:rPr>
          <w:rFonts w:ascii="Calibri;sans-serif" w:hAnsi="Calibri;sans-serif"/>
          <w:b w:val="false"/>
          <w:color w:val="000000"/>
          <w:sz w:val="20"/>
        </w:rPr>
        <w:t>.</w:t>
      </w:r>
    </w:p>
    <w:p>
      <w:pPr>
        <w:pStyle w:val="TextBody"/>
        <w:bidi w:val="0"/>
        <w:spacing w:lineRule="auto" w:line="288" w:before="120" w:after="283"/>
        <w:jc w:val="both"/>
        <w:rPr/>
      </w:pPr>
      <w:r>
        <w:rPr>
          <w:rFonts w:ascii="Calibri;sans-serif" w:hAnsi="Calibri;sans-serif"/>
          <w:b/>
          <w:color w:val="000000"/>
          <w:sz w:val="20"/>
        </w:rPr>
        <w:t>CAPITAL RESOURCES AND LIQUIDITY</w:t>
      </w:r>
      <w:r>
        <w:rPr>
          <w:color w:val="000000"/>
        </w:rPr>
        <w:t xml:space="preserve"> – </w:t>
      </w:r>
    </w:p>
    <w:p>
      <w:pPr>
        <w:pStyle w:val="TextBody"/>
        <w:bidi w:val="0"/>
        <w:spacing w:lineRule="auto" w:line="288" w:before="120" w:after="283"/>
        <w:ind w:left="0" w:right="0" w:firstLine="270"/>
        <w:jc w:val="both"/>
        <w:rPr/>
      </w:pPr>
      <w:r>
        <w:rPr>
          <w:rFonts w:ascii="Calibri;sans-serif" w:hAnsi="Calibri;sans-serif"/>
          <w:b/>
          <w:color w:val="000000"/>
          <w:sz w:val="20"/>
        </w:rPr>
        <w:t xml:space="preserve">OVERVIEW </w:t>
      </w:r>
      <w:r>
        <w:rPr>
          <w:color w:val="000000"/>
        </w:rPr>
        <w:t xml:space="preserve">– </w:t>
      </w:r>
      <w:r>
        <w:rPr>
          <w:rFonts w:ascii="Calibri;sans-serif" w:hAnsi="Calibri;sans-serif"/>
          <w:b w:val="false"/>
          <w:color w:val="000000"/>
          <w:sz w:val="20"/>
        </w:rPr>
        <w:t>Our primary sources of capital and liquidity include cash from operations (including changes in working capital), draws on our unsecured committed line of credit (CLOC), and issuances of debt. We use our sources of liquidity primarily to fund working capital, service and repay debt, pay dividends, repurchase shares of our common stock, and acquire businesses.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43560"/>
                <wp:effectExtent l="0" t="0" r="0" b="0"/>
                <wp:wrapNone/>
                <wp:docPr id="18" name="Frame1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16</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16</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January. We typically have relied on available cash balances from the prior tax season and borrowings to meet liquidity needs.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Given the likely availability of a number of liquidity options discussed herein, we believe that, in the absence of any unexpected developments, our existing sources of capital as of September 30, 2024 are sufficient to meet our operating, investing and financing needs.</w:t>
      </w:r>
    </w:p>
    <w:p>
      <w:pPr>
        <w:pStyle w:val="TextBody"/>
        <w:bidi w:val="0"/>
        <w:spacing w:lineRule="auto" w:line="288" w:before="120" w:after="283"/>
        <w:ind w:left="0" w:right="0" w:firstLine="270"/>
        <w:jc w:val="both"/>
        <w:rPr/>
      </w:pPr>
      <w:r>
        <w:rPr>
          <w:rFonts w:ascii="Calibri;sans-serif" w:hAnsi="Calibri;sans-serif"/>
          <w:b/>
          <w:color w:val="000000"/>
          <w:sz w:val="20"/>
        </w:rPr>
        <w:t xml:space="preserve">DISCUSSION OF CONSOLIDATED STATEMENTS OF CASH FLOWS </w:t>
      </w:r>
      <w:r>
        <w:rPr>
          <w:color w:val="000000"/>
        </w:rPr>
        <w:t xml:space="preserve">– </w:t>
      </w:r>
      <w:r>
        <w:rPr>
          <w:rFonts w:ascii="Calibri;sans-serif" w:hAnsi="Calibri;sans-serif"/>
          <w:b w:val="false"/>
          <w:color w:val="000000"/>
          <w:sz w:val="20"/>
        </w:rPr>
        <w:t xml:space="preserve">The following table summarizes our statements of cash flows for the three months ended September 30, 2024 and 2023. See </w:t>
      </w:r>
      <w:hyperlink w:anchor="i5b82aecb81d74356a9ff9f8c9940dcc4_25">
        <w:r>
          <w:rPr>
            <w:rStyle w:val="InternetLink"/>
            <w:rFonts w:ascii="Calibri;sans-serif" w:hAnsi="Calibri;sans-serif"/>
            <w:b w:val="false"/>
            <w:color w:val="0000FF"/>
            <w:sz w:val="20"/>
            <w:u w:val="single"/>
          </w:rPr>
          <w:t>Item 1</w:t>
        </w:r>
      </w:hyperlink>
      <w:r>
        <w:rPr>
          <w:color w:val="000000"/>
        </w:rPr>
        <w:t xml:space="preserve"> </w:t>
      </w:r>
      <w:r>
        <w:rPr>
          <w:rFonts w:ascii="Calibri;sans-serif" w:hAnsi="Calibri;sans-serif"/>
          <w:b w:val="false"/>
          <w:color w:val="000000"/>
          <w:sz w:val="20"/>
        </w:rPr>
        <w:t>for the complete consolidated statements of cash flows for these periods.</w:t>
      </w:r>
    </w:p>
    <w:tbl>
      <w:tblPr>
        <w:tblW w:w="8564" w:type="dxa"/>
        <w:jc w:val="left"/>
        <w:tblInd w:w="0" w:type="dxa"/>
        <w:tblLayout w:type="fixed"/>
        <w:tblCellMar>
          <w:top w:w="28" w:type="dxa"/>
          <w:left w:w="28" w:type="dxa"/>
          <w:bottom w:w="28" w:type="dxa"/>
          <w:right w:w="28" w:type="dxa"/>
        </w:tblCellMar>
      </w:tblPr>
      <w:tblGrid>
        <w:gridCol w:w="1961"/>
        <w:gridCol w:w="1721"/>
        <w:gridCol w:w="1733"/>
        <w:gridCol w:w="109"/>
        <w:gridCol w:w="109"/>
        <w:gridCol w:w="109"/>
        <w:gridCol w:w="196"/>
        <w:gridCol w:w="811"/>
        <w:gridCol w:w="109"/>
        <w:gridCol w:w="109"/>
        <w:gridCol w:w="109"/>
        <w:gridCol w:w="109"/>
        <w:gridCol w:w="196"/>
        <w:gridCol w:w="811"/>
        <w:gridCol w:w="109"/>
        <w:gridCol w:w="109"/>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(328,581)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(334,989)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(26,394)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(284,450)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(195,198)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Effects of exchange rates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3,249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decrease in cash and cash equivalents, including restricted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(636,176)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(557,756)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pPr>
      <w:r>
        <w:rPr>
          <w:rFonts w:ascii="Calibri;sans-serif" w:hAnsi="Calibri;sans-serif"/>
          <w:b/>
          <w:color w:val="000000"/>
          <w:sz w:val="20"/>
        </w:rPr>
        <w:t>Operating Activities.</w:t>
      </w:r>
      <w:r>
        <w:rPr>
          <w:color w:val="000000"/>
        </w:rPr>
        <w:t xml:space="preserve"> </w:t>
      </w:r>
      <w:r>
        <w:rPr>
          <w:rFonts w:ascii="Calibri;sans-serif" w:hAnsi="Calibri;sans-serif"/>
          <w:b w:val="false"/>
          <w:color w:val="000000"/>
          <w:sz w:val="20"/>
        </w:rPr>
        <w:t>Cash used in operations totaled $328.6 million for the three months ended September 30, 2024 compared to $335.0 million in the prior year period. The change is primarily due to changes in accrued liabilities compared to the prior year period.</w:t>
      </w:r>
    </w:p>
    <w:p>
      <w:pPr>
        <w:pStyle w:val="TextBody"/>
        <w:bidi w:val="0"/>
        <w:spacing w:lineRule="auto" w:line="288" w:before="120" w:after="283"/>
        <w:ind w:left="0" w:right="0" w:firstLine="270"/>
        <w:jc w:val="both"/>
        <w:rPr/>
      </w:pPr>
      <w:r>
        <w:rPr>
          <w:rFonts w:ascii="Calibri;sans-serif" w:hAnsi="Calibri;sans-serif"/>
          <w:b/>
          <w:color w:val="000000"/>
          <w:sz w:val="20"/>
        </w:rPr>
        <w:t xml:space="preserve">Investing Activities. </w:t>
      </w:r>
      <w:r>
        <w:rPr>
          <w:rFonts w:ascii="Calibri;sans-serif" w:hAnsi="Calibri;sans-serif"/>
          <w:b w:val="false"/>
          <w:color w:val="000000"/>
          <w:sz w:val="20"/>
        </w:rPr>
        <w:t>Cash used in investing activities totaled $26.4 million for the three months ended September 30, 2024 compared to $23.9 million in the prior year period. The change is primarily due to higher capital expenditures in the current year.</w:t>
      </w:r>
    </w:p>
    <w:p>
      <w:pPr>
        <w:pStyle w:val="TextBody"/>
        <w:bidi w:val="0"/>
        <w:spacing w:lineRule="auto" w:line="288" w:before="120" w:after="283"/>
        <w:ind w:left="0" w:right="0" w:firstLine="270"/>
        <w:jc w:val="both"/>
        <w:rPr/>
      </w:pPr>
      <w:r>
        <w:rPr>
          <w:rFonts w:ascii="Calibri;sans-serif" w:hAnsi="Calibri;sans-serif"/>
          <w:b/>
          <w:color w:val="000000"/>
          <w:sz w:val="20"/>
        </w:rPr>
        <w:t xml:space="preserve">Financing Activities. </w:t>
      </w:r>
      <w:r>
        <w:rPr>
          <w:rFonts w:ascii="Calibri;sans-serif" w:hAnsi="Calibri;sans-serif"/>
          <w:b w:val="false"/>
          <w:color w:val="000000"/>
          <w:sz w:val="20"/>
        </w:rPr>
        <w:t>Cash used in financing activities totaled $284.5 million for the three months ended September 30, 2024 compared to $195.2 million in the prior year period. The change is primarily due to higher repurchases of common stock in the current year.</w:t>
      </w:r>
    </w:p>
    <w:p>
      <w:pPr>
        <w:pStyle w:val="TextBody"/>
        <w:bidi w:val="0"/>
        <w:spacing w:lineRule="auto" w:line="288" w:before="120" w:after="283"/>
        <w:ind w:left="0" w:right="0" w:firstLine="270"/>
        <w:jc w:val="both"/>
        <w:rPr/>
      </w:pPr>
      <w:r>
        <w:rPr>
          <w:rFonts w:ascii="Calibri;sans-serif" w:hAnsi="Calibri;sans-serif"/>
          <w:b/>
          <w:color w:val="000000"/>
          <w:sz w:val="20"/>
        </w:rPr>
        <w:t>CASH REQUIREMENTS</w:t>
      </w:r>
      <w:r>
        <w:rPr>
          <w:color w:val="000000"/>
        </w:rPr>
        <w:t xml:space="preserve"> –</w:t>
      </w:r>
    </w:p>
    <w:p>
      <w:pPr>
        <w:pStyle w:val="TextBody"/>
        <w:bidi w:val="0"/>
        <w:spacing w:lineRule="auto" w:line="288" w:before="120" w:after="283"/>
        <w:ind w:left="0" w:right="0" w:firstLine="270"/>
        <w:jc w:val="both"/>
        <w:rPr/>
      </w:pPr>
      <w:r>
        <w:rPr>
          <w:rFonts w:ascii="Calibri;sans-serif" w:hAnsi="Calibri;sans-serif"/>
          <w:b/>
          <w:color w:val="000000"/>
          <w:sz w:val="20"/>
        </w:rPr>
        <w:t>Dividends and Share Repurchases.</w:t>
      </w:r>
      <w:r>
        <w:rPr>
          <w:color w:val="000000"/>
        </w:rPr>
        <w:t xml:space="preserve"> </w:t>
      </w:r>
      <w:r>
        <w:rPr>
          <w:rFonts w:ascii="Calibri;sans-serif" w:hAnsi="Calibri;sans-serif"/>
          <w:b w:val="false"/>
          <w:color w:val="000000"/>
          <w:sz w:val="20"/>
        </w:rPr>
        <w:t>Returning capital to shareholders in the form of dividends and the repurchase of outstanding shares is, and has historically been, a significant component of our capital allocation plan.</w:t>
      </w:r>
    </w:p>
    <w:p>
      <w:pPr>
        <w:pStyle w:val="TextBody"/>
        <w:bidi w:val="0"/>
        <w:spacing w:lineRule="auto" w:line="288" w:before="120" w:after="283"/>
        <w:ind w:left="0" w:right="0" w:firstLine="270"/>
        <w:jc w:val="both"/>
        <w:rPr/>
      </w:pPr>
      <w:r>
        <w:rPr>
          <w:rFonts w:ascii="Calibri;sans-serif" w:hAnsi="Calibri;sans-serif"/>
          <w:b w:val="false"/>
          <w:color w:val="000000"/>
          <w:sz w:val="20"/>
        </w:rPr>
        <w:t xml:space="preserve">We have consistently paid quarterly dividends. Dividends paid totaled </w:t>
      </w:r>
      <w:r>
        <w:rPr>
          <w:rFonts w:ascii="Calibri;sans-serif" w:hAnsi="Calibri;sans-serif"/>
          <w:b w:val="false"/>
          <w:color w:val="000000"/>
          <w:sz w:val="20"/>
          <w:shd w:fill="FFFFFF" w:val="clear"/>
        </w:rPr>
        <w:t>$44.7 million</w:t>
      </w:r>
      <w:r>
        <w:rPr>
          <w:color w:val="000000"/>
        </w:rPr>
        <w:t xml:space="preserve"> </w:t>
      </w:r>
      <w:r>
        <w:rPr>
          <w:rFonts w:ascii="Calibri;sans-serif" w:hAnsi="Calibri;sans-serif"/>
          <w:b w:val="false"/>
          <w:color w:val="000000"/>
          <w:sz w:val="20"/>
        </w:rPr>
        <w:t xml:space="preserve">and </w:t>
      </w:r>
      <w:r>
        <w:rPr>
          <w:rFonts w:ascii="Calibri;sans-serif" w:hAnsi="Calibri;sans-serif"/>
          <w:b w:val="false"/>
          <w:color w:val="000000"/>
          <w:sz w:val="20"/>
          <w:shd w:fill="FFFFFF" w:val="clear"/>
        </w:rPr>
        <w:t>$43.0 million</w:t>
      </w:r>
      <w:r>
        <w:rPr>
          <w:color w:val="000000"/>
        </w:rPr>
        <w:t xml:space="preserve"> </w:t>
      </w:r>
      <w:r>
        <w:rPr>
          <w:rFonts w:ascii="Calibri;sans-serif" w:hAnsi="Calibri;sans-serif"/>
          <w:b w:val="false"/>
          <w:color w:val="000000"/>
          <w:sz w:val="20"/>
        </w:rPr>
        <w:t>for the three months ended September 30, 2024 and 2023, respectively. Although we have historically paid dividends and plan to continue to do so, there can be no assurances that circumstances will not change in the future that could affect our ability or decisions to pay dividends.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On August 15, 2024, the Board of Directors approved a $1.5 billion share repurchase program. The repurchase program does not have an expiration date and replaced the previously existing share repurchase program. During the three months ended September 30, 2024, we repurchased $209.6 million of our common stock at an average price of $63.51 per share, excluding excise taxes in connection with such repurchases. In the prior year period, we repurchased $132.0 million of our common stock at an average price of $40.43 per share, excluding excise taxes in connection with such repurchases. Our current share repurchase program has remaining authorization of $1.3 billion and does not have an expiration date.</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pStyle w:val="TextBody"/>
        <w:bidi w:val="0"/>
        <w:spacing w:lineRule="auto" w:line="288" w:before="120" w:after="283"/>
        <w:jc w:val="both"/>
        <w:rPr/>
      </w:pPr>
      <w:r>
        <w:rPr>
          <w:color w:val="000000"/>
        </w:rPr>
        <w:t>    </w:t>
      </w:r>
      <w:r>
        <w:rPr>
          <w:rFonts w:ascii="Calibri;sans-serif" w:hAnsi="Calibri;sans-serif"/>
          <w:b/>
          <w:color w:val="000000"/>
          <w:sz w:val="20"/>
        </w:rPr>
        <w:t xml:space="preserve">Capital Investment. </w:t>
      </w:r>
      <w:r>
        <w:rPr>
          <w:rFonts w:ascii="Calibri;sans-serif" w:hAnsi="Calibri;sans-serif"/>
          <w:b w:val="false"/>
          <w:color w:val="000000"/>
          <w:sz w:val="20"/>
        </w:rPr>
        <w:t xml:space="preserve">Capital expenditures totaled $18.7 million and $12.9 million for the three months ended September 30, 2024 and 2023, respectively. Our capital expenditures relate primarily to recurring improvements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94995"/>
                <wp:effectExtent l="0" t="0" r="0" b="0"/>
                <wp:wrapNone/>
                <wp:docPr id="19" name="Frame19"/>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both"/>
        <w:rPr/>
      </w:pPr>
      <w:r>
        <w:rPr>
          <w:rFonts w:ascii="Calibri;sans-serif" w:hAnsi="Calibri;sans-serif"/>
          <w:b w:val="false"/>
          <w:color w:val="000000"/>
          <w:sz w:val="20"/>
        </w:rPr>
        <w:t xml:space="preserve">retail offices, as well as investments in computers, software and related assets. In addition to our capital expenditures, we also made payments to acquire businesses. We acquired franchisee and competitor businesses totaling $5.9 million and $6.9 million during the three months ended September 30, 2024 and 2023, respectively. See </w:t>
      </w:r>
      <w:hyperlink w:anchor="i5b82aecb81d74356a9ff9f8c9940dcc4_49">
        <w:r>
          <w:rPr>
            <w:rStyle w:val="InternetLink"/>
            <w:rFonts w:ascii="Calibri;sans-serif" w:hAnsi="Calibri;sans-serif"/>
            <w:b w:val="false"/>
            <w:color w:val="0000FF"/>
            <w:sz w:val="20"/>
            <w:u w:val="single"/>
          </w:rPr>
          <w:t>Item 1, note 5</w:t>
        </w:r>
      </w:hyperlink>
      <w:r>
        <w:rPr>
          <w:color w:val="000000"/>
        </w:rPr>
        <w:t xml:space="preserve"> </w:t>
      </w:r>
      <w:r>
        <w:rPr>
          <w:rFonts w:ascii="Calibri;sans-serif" w:hAnsi="Calibri;sans-serif"/>
          <w:b w:val="false"/>
          <w:color w:val="000000"/>
          <w:sz w:val="20"/>
        </w:rPr>
        <w:t xml:space="preserve">for additional information on our acquisitions. </w:t>
      </w:r>
    </w:p>
    <w:p>
      <w:pPr>
        <w:pStyle w:val="TextBody"/>
        <w:bidi w:val="0"/>
        <w:spacing w:lineRule="auto" w:line="288" w:before="120" w:after="283"/>
        <w:ind w:left="0" w:right="0" w:firstLine="270"/>
        <w:jc w:val="both"/>
        <w:rPr/>
      </w:pPr>
      <w:r>
        <w:rPr>
          <w:rFonts w:ascii="Calibri;sans-serif" w:hAnsi="Calibri;sans-serif"/>
          <w:b/>
          <w:color w:val="000000"/>
          <w:sz w:val="20"/>
        </w:rPr>
        <w:t xml:space="preserve">FINANCING RESOURCES </w:t>
      </w:r>
      <w:r>
        <w:rPr>
          <w:color w:val="000000"/>
        </w:rPr>
        <w:t xml:space="preserve">– </w:t>
      </w:r>
      <w:r>
        <w:rPr>
          <w:rFonts w:ascii="Calibri;sans-serif" w:hAnsi="Calibri;sans-serif"/>
          <w:b w:val="false"/>
          <w:color w:val="000000"/>
          <w:sz w:val="20"/>
        </w:rPr>
        <w:t xml:space="preserve">The CLOC has capacity up to $1.5 billion and is scheduled to expire in June 2026. Proceeds under the CLOC may be used for working capital needs or for other general corporate purposes. </w:t>
      </w:r>
      <w:r>
        <w:rPr>
          <w:rFonts w:ascii="Calibri;sans-serif" w:hAnsi="Calibri;sans-serif"/>
          <w:b w:val="false"/>
          <w:color w:val="000000"/>
          <w:sz w:val="20"/>
          <w:shd w:fill="FFFFFF" w:val="clear"/>
        </w:rPr>
        <w:t>We had no outst</w:t>
      </w:r>
      <w:r>
        <w:rPr>
          <w:rFonts w:ascii="Calibri;sans-serif" w:hAnsi="Calibri;sans-serif"/>
          <w:b w:val="false"/>
          <w:color w:val="000000"/>
          <w:sz w:val="20"/>
        </w:rPr>
        <w:t xml:space="preserve">anding balance under our CLOC and amounts available to borrow were not limited by the debt-to-EBITDA covenant as of September 30, 2024. </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table provides ratings for debt issued by Block Financial LLC (Block Financial) as of September 30, 2024 and June 30, 2024:</w:t>
      </w:r>
    </w:p>
    <w:tbl>
      <w:tblPr>
        <w:tblW w:w="7669"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305"/>
        <w:gridCol w:w="305"/>
        <w:gridCol w:w="306"/>
        <w:gridCol w:w="109"/>
        <w:gridCol w:w="109"/>
        <w:gridCol w:w="109"/>
        <w:gridCol w:w="290"/>
        <w:gridCol w:w="290"/>
        <w:gridCol w:w="291"/>
        <w:gridCol w:w="109"/>
        <w:gridCol w:w="109"/>
        <w:gridCol w:w="109"/>
        <w:gridCol w:w="225"/>
        <w:gridCol w:w="225"/>
        <w:gridCol w:w="226"/>
        <w:gridCol w:w="109"/>
        <w:gridCol w:w="109"/>
        <w:gridCol w:w="109"/>
        <w:gridCol w:w="305"/>
        <w:gridCol w:w="305"/>
        <w:gridCol w:w="306"/>
        <w:gridCol w:w="109"/>
        <w:gridCol w:w="109"/>
        <w:gridCol w:w="109"/>
        <w:gridCol w:w="290"/>
        <w:gridCol w:w="290"/>
        <w:gridCol w:w="291"/>
        <w:gridCol w:w="109"/>
        <w:gridCol w:w="109"/>
        <w:gridCol w:w="109"/>
        <w:gridCol w:w="211"/>
        <w:gridCol w:w="211"/>
        <w:gridCol w:w="299"/>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000000"/>
                <w:sz w:val="18"/>
              </w:rPr>
            </w:pPr>
            <w:r>
              <w:rPr>
                <w:rFonts w:ascii="Calibri;sans-serif" w:hAnsi="Calibri;sans-serif"/>
                <w:b w:val="false"/>
                <w:color w:val="000000"/>
                <w:sz w:val="18"/>
              </w:rPr>
              <w:t>June 30, 2024</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Outlook</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Moody's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P-3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Baa3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Stable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S&amp;P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Stable</w:t>
            </w:r>
          </w:p>
        </w:tc>
      </w:tr>
      <w:tr>
        <w:trPr/>
        <w:tc>
          <w:tcPr>
            <w:tcW w:w="7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than described above, there have been no material changes in our borrowings from those reported as of June 30, 2024 in our Annual Report on Form 10-K.</w:t>
      </w:r>
    </w:p>
    <w:p>
      <w:pPr>
        <w:pStyle w:val="TextBody"/>
        <w:bidi w:val="0"/>
        <w:spacing w:lineRule="auto" w:line="288" w:before="120" w:after="283"/>
        <w:ind w:left="0" w:right="0" w:firstLine="270"/>
        <w:jc w:val="both"/>
        <w:rPr/>
      </w:pPr>
      <w:r>
        <w:rPr>
          <w:rFonts w:ascii="Calibri;sans-serif" w:hAnsi="Calibri;sans-serif"/>
          <w:b/>
          <w:color w:val="000000"/>
          <w:sz w:val="20"/>
        </w:rPr>
        <w:t xml:space="preserve">CASH AND OTHER ASSETS </w:t>
      </w:r>
      <w:r>
        <w:rPr>
          <w:color w:val="000000"/>
        </w:rPr>
        <w:t xml:space="preserve">– </w:t>
      </w:r>
      <w:r>
        <w:rPr>
          <w:rFonts w:ascii="Calibri;sans-serif" w:hAnsi="Calibri;sans-serif"/>
          <w:b w:val="false"/>
          <w:color w:val="000000"/>
          <w:sz w:val="20"/>
        </w:rPr>
        <w:t>As of September 30, 2024, we held cash and cash equivalents, excluding restricted amounts, of $415.9 million, including $183.5 million held by our foreign subsidiaries.</w:t>
      </w:r>
    </w:p>
    <w:p>
      <w:pPr>
        <w:pStyle w:val="TextBody"/>
        <w:bidi w:val="0"/>
        <w:spacing w:lineRule="auto" w:line="288" w:before="120" w:after="283"/>
        <w:ind w:left="0" w:right="0" w:firstLine="270"/>
        <w:jc w:val="both"/>
        <w:rPr/>
      </w:pPr>
      <w:r>
        <w:rPr>
          <w:rFonts w:ascii="Calibri;sans-serif" w:hAnsi="Calibri;sans-serif"/>
          <w:b/>
          <w:color w:val="000000"/>
          <w:sz w:val="20"/>
        </w:rPr>
        <w:t>Foreign Operations.</w:t>
      </w:r>
      <w:r>
        <w:rPr>
          <w:color w:val="000000"/>
        </w:rPr>
        <w:t xml:space="preserve"> </w:t>
      </w:r>
      <w:r>
        <w:rPr>
          <w:rFonts w:ascii="Calibri;sans-serif" w:hAnsi="Calibri;sans-serif"/>
          <w:b w:val="false"/>
          <w:color w:val="000000"/>
          <w:sz w:val="20"/>
        </w:rPr>
        <w:t xml:space="preserve">Seasonal borrowing needs of our Canadian operations are typically funded by our U.S. operations. To mitigate foreign currency risk, we sometimes enter into foreign exchange forward contracts. There were no forward contracts outstanding as of September 30, 2024. </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do not currently intend to repatriate non-borrowed funds held by our foreign subsidiaries in a manner that would trigger a tax liability.</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The impact of changes in foreign exchange rates during the period on our international cash balances resulted in an increase of $3.2 million during the three months ended September 30, 2024 and in a decrease of $3.7 million during the three months ended September 30, 2023. </w:t>
      </w:r>
    </w:p>
    <w:p>
      <w:pPr>
        <w:pStyle w:val="TextBody"/>
        <w:bidi w:val="0"/>
        <w:spacing w:lineRule="auto" w:line="288" w:before="120" w:after="283"/>
        <w:ind w:left="0" w:right="0" w:firstLine="270"/>
        <w:jc w:val="both"/>
        <w:rPr/>
      </w:pPr>
      <w:r>
        <w:rPr>
          <w:rFonts w:ascii="Calibri;sans-serif" w:hAnsi="Calibri;sans-serif"/>
          <w:b/>
          <w:color w:val="000000"/>
          <w:sz w:val="20"/>
        </w:rPr>
        <w:t>CONTRACTUAL OBLIGATIONS AND COMMERCIAL COMMITMENTS</w:t>
      </w:r>
      <w:r>
        <w:rPr>
          <w:color w:val="000000"/>
        </w:rPr>
        <w:t xml:space="preserve"> – </w:t>
      </w:r>
      <w:r>
        <w:rPr>
          <w:rFonts w:ascii="Calibri;sans-serif" w:hAnsi="Calibri;sans-serif"/>
          <w:b w:val="false"/>
          <w:color w:val="000000"/>
          <w:sz w:val="20"/>
        </w:rPr>
        <w:t>The Company entered into an agreement to purchase federal Investment tax credits (“ITC”). During the three months ended September 30, 2024, we paid $22.9 million for ITCs. As of September 30, 2024, the Company has a remaining commitment to purchase additional ITCs, estimated to be $74.0 million, with the final closing payment anticipated to occur by June 30, 2025.</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Effective October 18, 2024, we amended our Program Management Agreement (PMA) with Pathward®, N.A to extend the term of the PMA for two years until June 30, 2027. There have been no other material changes in our contractual obligations and commercial commitments from those reported in our June 30, 2024 Annual Report on Form 10-K.</w:t>
      </w:r>
    </w:p>
    <w:p>
      <w:pPr>
        <w:pStyle w:val="TextBody"/>
        <w:bidi w:val="0"/>
        <w:spacing w:lineRule="auto" w:line="288" w:before="120" w:after="283"/>
        <w:ind w:left="0" w:right="0" w:firstLine="270"/>
        <w:jc w:val="both"/>
        <w:rPr/>
      </w:pPr>
      <w:r>
        <w:rPr>
          <w:rFonts w:ascii="Calibri;sans-serif" w:hAnsi="Calibri;sans-serif"/>
          <w:b/>
          <w:color w:val="000000"/>
          <w:sz w:val="20"/>
        </w:rPr>
        <w:t>SUMMARIZED GUARANTOR FINANCIAL STATEMENTS</w:t>
      </w:r>
      <w:r>
        <w:rPr>
          <w:color w:val="000000"/>
        </w:rPr>
        <w:t xml:space="preserve"> – </w:t>
      </w:r>
      <w:r>
        <w:rPr>
          <w:rFonts w:ascii="Calibri;sans-serif" w:hAnsi="Calibri;sans-serif"/>
          <w:b w:val="false"/>
          <w:color w:val="000000"/>
          <w:sz w:val="20"/>
        </w:rPr>
        <w:t xml:space="preserve">Block Financial is a 100% owned subsidiary of H&amp;R Block, Inc. Block Financial is the Issuer and H&amp;R Block, Inc. is the full and unconditional Guarantor of our Senior Notes, CLOC and other indebtedness issued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43560"/>
                <wp:effectExtent l="0" t="0" r="0" b="0"/>
                <wp:wrapNone/>
                <wp:docPr id="20" name="Frame2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18</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18</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table presents summarized financial information for H&amp;R Block, Inc. (Guarantor) and Block Financial (Issuer) on a combined basis after intercompany eliminations and excludes investments in and equity earnings in non-guarantor subsidiaries.</w:t>
      </w:r>
    </w:p>
    <w:tbl>
      <w:tblPr>
        <w:tblW w:w="7957" w:type="dxa"/>
        <w:jc w:val="left"/>
        <w:tblInd w:w="0" w:type="dxa"/>
        <w:tblLayout w:type="fixed"/>
        <w:tblCellMar>
          <w:top w:w="28" w:type="dxa"/>
          <w:left w:w="28" w:type="dxa"/>
          <w:bottom w:w="28" w:type="dxa"/>
          <w:right w:w="28" w:type="dxa"/>
        </w:tblCellMar>
      </w:tblPr>
      <w:tblGrid>
        <w:gridCol w:w="1650"/>
        <w:gridCol w:w="1451"/>
        <w:gridCol w:w="1459"/>
        <w:gridCol w:w="109"/>
        <w:gridCol w:w="109"/>
        <w:gridCol w:w="109"/>
        <w:gridCol w:w="322"/>
        <w:gridCol w:w="1088"/>
        <w:gridCol w:w="179"/>
        <w:gridCol w:w="109"/>
        <w:gridCol w:w="109"/>
        <w:gridCol w:w="109"/>
        <w:gridCol w:w="227"/>
        <w:gridCol w:w="749"/>
        <w:gridCol w:w="178"/>
      </w:tblGrid>
      <w:tr>
        <w:trPr/>
        <w:tc>
          <w:tcPr>
            <w:tcW w:w="16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SUMMARIZED BALANCE SHEET - GUARANTOR AND ISSUER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4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June 30, 2024</w:t>
            </w:r>
          </w:p>
        </w:tc>
      </w:tr>
      <w:tr>
        <w:trPr/>
        <w:tc>
          <w:tcPr>
            <w:tcW w:w="4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0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48,965</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44,423 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1,781,716</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1,778,832 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89,972</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77,848 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1,500,355</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1,492,211 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2"/>
        <w:gridCol w:w="1159"/>
        <w:gridCol w:w="1115"/>
        <w:gridCol w:w="341"/>
        <w:gridCol w:w="341"/>
        <w:gridCol w:w="341"/>
        <w:gridCol w:w="622"/>
        <w:gridCol w:w="1792"/>
        <w:gridCol w:w="341"/>
        <w:gridCol w:w="109"/>
        <w:gridCol w:w="109"/>
        <w:gridCol w:w="109"/>
        <w:gridCol w:w="449"/>
        <w:gridCol w:w="1687"/>
        <w:gridCol w:w="358"/>
      </w:tblGrid>
      <w:tr>
        <w:trPr/>
        <w:tc>
          <w:tcPr>
            <w:tcW w:w="133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73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SUMMARIZED STATEMENTS OF OPERATIONS - GUARANTOR AND ISSUER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Three months ended 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Twelve months ended June 30, 2024</w:t>
            </w:r>
          </w:p>
        </w:tc>
      </w:tr>
      <w:tr>
        <w:trPr/>
        <w:tc>
          <w:tcPr>
            <w:tcW w:w="3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7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9,758</w:t>
            </w:r>
            <w:r>
              <w:rPr>
                <w:color w:val="000000"/>
              </w:rPr>
              <w:t> </w:t>
            </w:r>
          </w:p>
        </w:tc>
        <w:tc>
          <w:tcPr>
            <w:tcW w:w="3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144,206 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from continuing operations before income taxes</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11,588</w:t>
            </w: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75,819 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w:t>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8,906</w:t>
            </w: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57,441 </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7,750</w:t>
            </w: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54,795 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The table above reflects $1.7 billion of non-current intercompany receivables due to the Issuer from non-guarantor subsidiaries as of September 30, 2024 and June 30,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Calibri;sans-serif" w:hAnsi="Calibri;sans-serif"/>
          <w:b/>
          <w:color w:val="000000"/>
          <w:sz w:val="20"/>
        </w:rPr>
      </w:pPr>
      <w:r>
        <w:rPr>
          <w:rFonts w:ascii="Calibri;sans-serif" w:hAnsi="Calibri;sans-serif"/>
          <w:b/>
          <w:color w:val="000000"/>
          <w:sz w:val="20"/>
        </w:rPr>
        <w:t>REGULATORY ENVIRONMENT</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There have been no material changes in our regulatory environment from what was reported in our June 30,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NON-GAAP FINANCIAL INFORMATION</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Non-GAAP financial measures should not be considered as a substitute for, or superior to, measures of financial performance prepared in accordance with U.S. generally accepted accounting principles (GAAP). Because these measures are not measures of financial performance under GAAP and are susceptible to varying calculations, they may not be comparable to similarly titled measures for other companies.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94995"/>
                <wp:effectExtent l="0" t="0" r="0" b="0"/>
                <wp:wrapNone/>
                <wp:docPr id="21" name="Frame21"/>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is a reconciliation of net loss to EBITDA from continuing operations, which is a non-GAAP financial measure:</w:t>
      </w:r>
    </w:p>
    <w:tbl>
      <w:tblPr>
        <w:tblW w:w="8527" w:type="dxa"/>
        <w:jc w:val="center"/>
        <w:tblInd w:w="0" w:type="dxa"/>
        <w:tblLayout w:type="fixed"/>
        <w:tblCellMar>
          <w:top w:w="28" w:type="dxa"/>
          <w:left w:w="28" w:type="dxa"/>
          <w:bottom w:w="28" w:type="dxa"/>
          <w:right w:w="28" w:type="dxa"/>
        </w:tblCellMar>
      </w:tblPr>
      <w:tblGrid>
        <w:gridCol w:w="1359"/>
        <w:gridCol w:w="1193"/>
        <w:gridCol w:w="1198"/>
        <w:gridCol w:w="109"/>
        <w:gridCol w:w="109"/>
        <w:gridCol w:w="109"/>
        <w:gridCol w:w="109"/>
        <w:gridCol w:w="109"/>
        <w:gridCol w:w="224"/>
        <w:gridCol w:w="224"/>
        <w:gridCol w:w="403"/>
        <w:gridCol w:w="1669"/>
        <w:gridCol w:w="224"/>
        <w:gridCol w:w="109"/>
        <w:gridCol w:w="109"/>
        <w:gridCol w:w="109"/>
        <w:gridCol w:w="196"/>
        <w:gridCol w:w="81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88" w:type="dxa"/>
            <w:gridSpan w:val="6"/>
            <w:tcBorders/>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2023</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 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6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(172,576)</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(163,482)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1,155</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(171,421)</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(162,873)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 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(60,840)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15,847</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28,831</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(16,162)</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EBITDA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(187,583)</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(166,265)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is a reconciliation of our results from continuing operations to our adjusted results from continuing operations, which is a non-GAAP financial measure:</w:t>
      </w:r>
    </w:p>
    <w:tbl>
      <w:tblPr>
        <w:tblW w:w="10205" w:type="dxa"/>
        <w:jc w:val="left"/>
        <w:tblInd w:w="0" w:type="dxa"/>
        <w:tblLayout w:type="fixed"/>
        <w:tblCellMar>
          <w:top w:w="28" w:type="dxa"/>
          <w:left w:w="28" w:type="dxa"/>
          <w:bottom w:w="28" w:type="dxa"/>
          <w:right w:w="28" w:type="dxa"/>
        </w:tblCellMar>
      </w:tblPr>
      <w:tblGrid>
        <w:gridCol w:w="1688"/>
        <w:gridCol w:w="1481"/>
        <w:gridCol w:w="1487"/>
        <w:gridCol w:w="270"/>
        <w:gridCol w:w="270"/>
        <w:gridCol w:w="270"/>
        <w:gridCol w:w="270"/>
        <w:gridCol w:w="270"/>
        <w:gridCol w:w="492"/>
        <w:gridCol w:w="196"/>
        <w:gridCol w:w="355"/>
        <w:gridCol w:w="1468"/>
        <w:gridCol w:w="196"/>
        <w:gridCol w:w="109"/>
        <w:gridCol w:w="109"/>
        <w:gridCol w:w="109"/>
        <w:gridCol w:w="196"/>
        <w:gridCol w:w="809"/>
        <w:gridCol w:w="160"/>
      </w:tblGrid>
      <w:tr>
        <w:trPr/>
        <w:tc>
          <w:tcPr>
            <w:tcW w:w="1688"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c>
          <w:tcPr>
            <w:tcW w:w="3707" w:type="dxa"/>
            <w:gridSpan w:val="10"/>
            <w:tcBorders/>
          </w:tcPr>
          <w:p>
            <w:pPr>
              <w:pStyle w:val="TableContents"/>
              <w:bidi w:val="0"/>
              <w:spacing w:before="0" w:after="283"/>
              <w:jc w:val="left"/>
              <w:rPr>
                <w:sz w:val="4"/>
                <w:szCs w:val="4"/>
              </w:rPr>
            </w:pPr>
            <w:r>
              <w:rPr>
                <w:sz w:val="4"/>
                <w:szCs w:val="4"/>
              </w:rPr>
            </w:r>
          </w:p>
        </w:tc>
      </w:tr>
      <w:tr>
        <w:trPr/>
        <w:tc>
          <w:tcPr>
            <w:tcW w:w="4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September 30,</w:t>
            </w:r>
          </w:p>
        </w:tc>
        <w:tc>
          <w:tcPr>
            <w:tcW w:w="1492" w:type="dxa"/>
            <w:gridSpan w:val="6"/>
            <w:tcBorders/>
          </w:tcPr>
          <w:p>
            <w:pPr>
              <w:pStyle w:val="TableContents"/>
              <w:bidi w:val="0"/>
              <w:spacing w:before="0" w:after="283"/>
              <w:jc w:val="left"/>
              <w:rPr>
                <w:sz w:val="4"/>
                <w:szCs w:val="4"/>
              </w:rPr>
            </w:pPr>
            <w:r>
              <w:rPr>
                <w:sz w:val="4"/>
                <w:szCs w:val="4"/>
              </w:rPr>
            </w:r>
          </w:p>
        </w:tc>
      </w:tr>
      <w:tr>
        <w:trPr/>
        <w:tc>
          <w:tcPr>
            <w:tcW w:w="4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Calibri;sans-serif" w:hAnsi="Calibri;sans-serif"/>
                <w:b w:val="false"/>
                <w:color w:val="000000"/>
                <w:sz w:val="18"/>
              </w:rPr>
            </w:pPr>
            <w:r>
              <w:rPr>
                <w:rFonts w:ascii="Calibri;sans-serif" w:hAnsi="Calibri;sans-serif"/>
                <w:b w:val="false"/>
                <w:color w:val="000000"/>
                <w:sz w:val="18"/>
              </w:rPr>
              <w:t>2023</w:t>
            </w:r>
          </w:p>
        </w:tc>
      </w:tr>
      <w:tr>
        <w:trPr/>
        <w:tc>
          <w:tcPr>
            <w:tcW w:w="4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 - as reported</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(171,421)</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(162,873)</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Amortization of intangibles related to acquisitions (pretax)</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11,128</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 xml:space="preserve">Tax effect of adjustments </w:t>
            </w:r>
            <w:r>
              <w:rPr>
                <w:rFonts w:ascii="Calibri;sans-serif" w:hAnsi="Calibri;sans-serif"/>
                <w:b w:val="false"/>
                <w:color w:val="000000"/>
                <w:sz w:val="12"/>
              </w:rPr>
              <w:t>(1)</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(2,645)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(2,936)</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net loss from continuing operations</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(162,938)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(153,254)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Diluted loss per share from continuing operations - as reported</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 net of tax</w:t>
            </w:r>
          </w:p>
        </w:tc>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0.06</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diluted loss per share from continuing operations</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8"/>
              </w:rPr>
            </w:pPr>
            <w:r>
              <w:rPr>
                <w:rFonts w:ascii="Calibri;sans-serif" w:hAnsi="Calibri;sans-serif"/>
                <w:b/>
                <w:color w:val="000000"/>
                <w:sz w:val="18"/>
              </w:rPr>
              <w:t>(1.17)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Calibri;sans-serif" w:hAnsi="Calibri;sans-serif"/>
          <w:b w:val="false"/>
          <w:color w:val="000000"/>
          <w:sz w:val="10"/>
        </w:rPr>
        <w:t>(1)</w:t>
      </w:r>
      <w:r>
        <w:rPr>
          <w:rFonts w:ascii="Calibri;sans-serif" w:hAnsi="Calibri;sans-serif"/>
          <w:b w:val="false"/>
          <w:color w:val="000000"/>
          <w:sz w:val="16"/>
        </w:rPr>
        <w:t>Tax effect of adjustments is the difference between the tax provision calculated on a GAAP basis and on an adjusted non-GAAP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FORWARD-LOOKING INFORMATION</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This report and other documents filed with the Securities and Exchange Commission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external events beyond the Company's control, such as outbreaks of infectious disease, severe weather events, natural or manmade disasters, or changes in the regulatory environment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43560"/>
                <wp:effectExtent l="0" t="0" r="0" b="0"/>
                <wp:wrapNone/>
                <wp:docPr id="22" name="Frame2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20</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20</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pStyle w:val="TextBody"/>
        <w:bidi w:val="0"/>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Details about risks, uncertainties and assumptions that could affect various aspects of our business are included throughout our Annual Report on Form 10-K for the fiscal year ended June 30, 2024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Calibri;sans-serif" w:hAnsi="Calibri;sans-serif"/>
          <w:b/>
          <w:color w:val="14AA40"/>
          <w:sz w:val="28"/>
        </w:rPr>
      </w:pPr>
      <w:r>
        <w:rPr>
          <w:rFonts w:ascii="Calibri;sans-serif" w:hAnsi="Calibri;sans-serif"/>
          <w:b/>
          <w:color w:val="14AA40"/>
          <w:sz w:val="28"/>
        </w:rPr>
        <w:t>ITEM 3.     QUANTITATIVE AND QUALITATIVE DISCLOSURES ABOUT MARKET RISK</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There have been no material changes in our market risks from those reported in our June 30,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4.     CONTROLS AND PROCEDURES</w:t>
      </w:r>
    </w:p>
    <w:p>
      <w:pPr>
        <w:pStyle w:val="TextBody"/>
        <w:bidi w:val="0"/>
        <w:spacing w:lineRule="auto" w:line="288" w:before="120" w:after="283"/>
        <w:jc w:val="both"/>
        <w:rPr/>
      </w:pPr>
      <w:r>
        <w:rPr>
          <w:rFonts w:ascii="Calibri;sans-serif" w:hAnsi="Calibri;sans-serif"/>
          <w:b/>
          <w:color w:val="000000"/>
          <w:sz w:val="20"/>
        </w:rPr>
        <w:t>EVALUATION OF DISCLOSURE CONTROLS AND PROCEDURES</w:t>
      </w:r>
      <w:r>
        <w:rPr>
          <w:color w:val="000000"/>
        </w:rPr>
        <w:t xml:space="preserve"> – </w:t>
      </w:r>
      <w:r>
        <w:rPr>
          <w:rFonts w:ascii="Calibri;sans-serif" w:hAnsi="Calibri;sans-serif"/>
          <w:b w:val="false"/>
          <w:color w:val="000000"/>
          <w:sz w:val="20"/>
        </w:rPr>
        <w:t>As of the end of the period covered by this Form 10-Q, management, 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pStyle w:val="TextBody"/>
        <w:bidi w:val="0"/>
        <w:spacing w:lineRule="auto" w:line="288" w:before="120" w:after="283"/>
        <w:jc w:val="both"/>
        <w:rPr/>
      </w:pPr>
      <w:r>
        <w:rPr>
          <w:rFonts w:ascii="Calibri;sans-serif" w:hAnsi="Calibri;sans-serif"/>
          <w:b/>
          <w:color w:val="000000"/>
          <w:sz w:val="20"/>
        </w:rPr>
        <w:t>CHANGES IN INTERNAL CONTROL OVER FINANCIAL REPORTING</w:t>
      </w:r>
      <w:r>
        <w:rPr>
          <w:color w:val="000000"/>
        </w:rPr>
        <w:t xml:space="preserve"> – </w:t>
      </w:r>
      <w:r>
        <w:rPr>
          <w:rFonts w:ascii="Calibri;sans-serif" w:hAnsi="Calibri;sans-serif"/>
          <w:b w:val="false"/>
          <w:color w:val="000000"/>
          <w:sz w:val="20"/>
        </w:rPr>
        <w:t>There were no changes during the three months ended September 30, 2024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1.     LEGAL PROCEEDINGS</w:t>
      </w:r>
    </w:p>
    <w:p>
      <w:pPr>
        <w:pStyle w:val="TextBody"/>
        <w:bidi w:val="0"/>
        <w:spacing w:lineRule="auto" w:line="288" w:before="120" w:after="283"/>
        <w:jc w:val="both"/>
        <w:rPr/>
      </w:pPr>
      <w:r>
        <w:rPr>
          <w:rFonts w:ascii="Calibri;sans-serif" w:hAnsi="Calibri;sans-serif"/>
          <w:b w:val="false"/>
          <w:color w:val="000000"/>
          <w:sz w:val="20"/>
        </w:rPr>
        <w:t xml:space="preserve">For a description of our material pending legal proceedings, see discussion in </w:t>
      </w:r>
      <w:hyperlink w:anchor="i5b82aecb81d74356a9ff9f8c9940dcc4_64">
        <w:r>
          <w:rPr>
            <w:rStyle w:val="InternetLink"/>
            <w:rFonts w:ascii="Calibri;sans-serif" w:hAnsi="Calibri;sans-serif"/>
            <w:b w:val="false"/>
            <w:color w:val="0000FF"/>
            <w:sz w:val="20"/>
            <w:u w:val="single"/>
          </w:rPr>
          <w:t>Part I, Item 1, note 9</w:t>
        </w:r>
      </w:hyperlink>
      <w:r>
        <w:rPr>
          <w:color w:val="000000"/>
        </w:rPr>
        <w:t xml:space="preserve"> </w:t>
      </w:r>
      <w:r>
        <w:rPr>
          <w:rFonts w:ascii="Calibri;sans-serif" w:hAnsi="Calibri;sans-serif"/>
          <w:b w:val="false"/>
          <w:color w:val="000000"/>
          <w:sz w:val="20"/>
        </w:rPr>
        <w:t>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1A.    RISK FACTORS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There have been no material changes in our risk factors from those reported in our June 30,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94995"/>
                <wp:effectExtent l="0" t="0" r="0" b="0"/>
                <wp:wrapNone/>
                <wp:docPr id="23" name="Frame2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2.    UNREGISTERED SALES OF EQUITY SECURITIES AND USE OF PROCEEDS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A summary of our purchases of H&amp;R Block common stock during the three months ended September 30, 2024 is as follows:</w:t>
      </w:r>
    </w:p>
    <w:tbl>
      <w:tblPr>
        <w:tblW w:w="10145" w:type="dxa"/>
        <w:jc w:val="left"/>
        <w:tblInd w:w="0" w:type="dxa"/>
        <w:tblLayout w:type="fixed"/>
        <w:tblCellMar>
          <w:top w:w="28" w:type="dxa"/>
          <w:left w:w="28" w:type="dxa"/>
          <w:bottom w:w="28" w:type="dxa"/>
          <w:right w:w="28" w:type="dxa"/>
        </w:tblCellMar>
      </w:tblPr>
      <w:tblGrid>
        <w:gridCol w:w="811"/>
        <w:gridCol w:w="717"/>
        <w:gridCol w:w="721"/>
        <w:gridCol w:w="109"/>
        <w:gridCol w:w="109"/>
        <w:gridCol w:w="109"/>
        <w:gridCol w:w="519"/>
        <w:gridCol w:w="519"/>
        <w:gridCol w:w="521"/>
        <w:gridCol w:w="109"/>
        <w:gridCol w:w="109"/>
        <w:gridCol w:w="109"/>
        <w:gridCol w:w="196"/>
        <w:gridCol w:w="571"/>
        <w:gridCol w:w="109"/>
        <w:gridCol w:w="109"/>
        <w:gridCol w:w="109"/>
        <w:gridCol w:w="109"/>
        <w:gridCol w:w="664"/>
        <w:gridCol w:w="664"/>
        <w:gridCol w:w="666"/>
        <w:gridCol w:w="109"/>
        <w:gridCol w:w="109"/>
        <w:gridCol w:w="109"/>
        <w:gridCol w:w="341"/>
        <w:gridCol w:w="1548"/>
        <w:gridCol w:w="270"/>
      </w:tblGrid>
      <w:tr>
        <w:trPr/>
        <w:tc>
          <w:tcPr>
            <w:tcW w:w="8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0145" w:type="dxa"/>
            <w:gridSpan w:val="27"/>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r>
      <w:tr>
        <w:trPr/>
        <w:tc>
          <w:tcPr>
            <w:tcW w:w="2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pPr>
            <w:r>
              <w:rPr>
                <w:rFonts w:ascii="Calibri;sans-serif" w:hAnsi="Calibri;sans-serif"/>
                <w:b w:val="false"/>
                <w:color w:val="000000"/>
                <w:sz w:val="18"/>
              </w:rPr>
              <w:t>Total Number of</w:t>
              <w:br/>
              <w:t xml:space="preserve">Shares Purchased </w:t>
            </w:r>
            <w:r>
              <w:rPr>
                <w:rFonts w:ascii="Calibri;sans-serif" w:hAnsi="Calibri;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Average</w:t>
              <w:br/>
              <w:t>Price Paid</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Calibri;sans-serif" w:hAnsi="Calibri;sans-serif"/>
                <w:b w:val="false"/>
                <w:color w:val="000000"/>
                <w:sz w:val="18"/>
              </w:rPr>
            </w:pPr>
            <w:r>
              <w:rPr>
                <w:rFonts w:ascii="Calibri;sans-serif" w:hAnsi="Calibri;sans-serif"/>
                <w:b w:val="false"/>
                <w:color w:val="000000"/>
                <w:sz w:val="18"/>
              </w:rPr>
              <w:t>Total Number of Shares</w:t>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 xml:space="preserve">Purchased as Part of </w:t>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Publicly Announced Plans </w:t>
            </w:r>
          </w:p>
          <w:p>
            <w:pPr>
              <w:pStyle w:val="TableContents"/>
              <w:bidi w:val="0"/>
              <w:spacing w:lineRule="auto" w:line="240" w:before="0" w:after="0"/>
              <w:jc w:val="right"/>
              <w:rPr/>
            </w:pPr>
            <w:r>
              <w:rPr>
                <w:rFonts w:ascii="Calibri;sans-serif" w:hAnsi="Calibri;sans-serif"/>
                <w:b w:val="false"/>
                <w:color w:val="000000"/>
                <w:sz w:val="18"/>
              </w:rPr>
              <w:t>or Programs</w:t>
            </w:r>
            <w:r>
              <w:rPr>
                <w:color w:val="000000"/>
              </w:rPr>
              <w:t xml:space="preserve"> </w:t>
            </w:r>
            <w:r>
              <w:rPr>
                <w:rFonts w:ascii="Calibri;sans-serif" w:hAnsi="Calibri;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283"/>
              <w:jc w:val="right"/>
              <w:rPr>
                <w:rFonts w:ascii="Calibri;sans-serif" w:hAnsi="Calibri;sans-serif"/>
                <w:b w:val="false"/>
                <w:color w:val="000000"/>
                <w:sz w:val="18"/>
              </w:rPr>
            </w:pPr>
            <w:r>
              <w:rPr>
                <w:rFonts w:ascii="Calibri;sans-serif" w:hAnsi="Calibri;sans-serif"/>
                <w:b w:val="false"/>
                <w:color w:val="000000"/>
                <w:sz w:val="18"/>
              </w:rPr>
              <w:t>Maximum Dollar Value of</w:t>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 xml:space="preserve">Shares that May Yet Be </w:t>
            </w:r>
          </w:p>
          <w:p>
            <w:pPr>
              <w:pStyle w:val="TableContents"/>
              <w:bidi w:val="0"/>
              <w:spacing w:lineRule="auto" w:line="240" w:before="0" w:after="0"/>
              <w:jc w:val="right"/>
              <w:rPr>
                <w:rFonts w:ascii="Calibri;sans-serif" w:hAnsi="Calibri;sans-serif"/>
                <w:b w:val="false"/>
                <w:color w:val="000000"/>
                <w:sz w:val="18"/>
              </w:rPr>
            </w:pPr>
            <w:r>
              <w:rPr>
                <w:rFonts w:ascii="Calibri;sans-serif" w:hAnsi="Calibri;sans-serif"/>
                <w:b w:val="false"/>
                <w:color w:val="000000"/>
                <w:sz w:val="18"/>
              </w:rPr>
              <w:t>Purchased Under the Plans </w:t>
            </w:r>
          </w:p>
          <w:p>
            <w:pPr>
              <w:pStyle w:val="TableContents"/>
              <w:bidi w:val="0"/>
              <w:spacing w:lineRule="auto" w:line="240" w:before="0" w:after="0"/>
              <w:jc w:val="right"/>
              <w:rPr/>
            </w:pPr>
            <w:r>
              <w:rPr>
                <w:rFonts w:ascii="Calibri;sans-serif" w:hAnsi="Calibri;sans-serif"/>
                <w:b w:val="false"/>
                <w:color w:val="000000"/>
                <w:sz w:val="18"/>
              </w:rPr>
              <w:t>or Programs</w:t>
            </w:r>
            <w:r>
              <w:rPr>
                <w:color w:val="000000"/>
              </w:rPr>
              <w:t xml:space="preserve"> </w:t>
            </w:r>
            <w:r>
              <w:rPr>
                <w:rFonts w:ascii="Calibri;sans-serif" w:hAnsi="Calibri;sans-serif"/>
                <w:b w:val="false"/>
                <w:color w:val="000000"/>
                <w:sz w:val="12"/>
              </w:rPr>
              <w:t>(2)</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July 1 -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w:t>
            </w:r>
            <w:r>
              <w:rPr>
                <w:color w:val="000000"/>
              </w:rPr>
              <w:t> </w:t>
            </w:r>
          </w:p>
        </w:tc>
        <w:tc>
          <w:tcPr>
            <w:tcW w:w="5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54.74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1,500,000</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August 1 - August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1,077</w:t>
            </w: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513</w:t>
            </w: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1,467,237</w:t>
            </w: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September 1 -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2,788</w:t>
            </w: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63.41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2,788</w:t>
            </w: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1,290,424</w:t>
            </w: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3,868</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63.46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18"/>
              </w:rPr>
              <w:t>3,301</w:t>
            </w:r>
            <w:r>
              <w:rPr>
                <w:color w:val="000000"/>
              </w:rPr>
              <w:t>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Calibri;sans-serif" w:hAnsi="Calibri;sans-serif"/>
          <w:b w:val="false"/>
          <w:color w:val="000000"/>
          <w:sz w:val="10"/>
        </w:rPr>
        <w:t>(1)</w:t>
      </w:r>
      <w:r>
        <w:rPr>
          <w:rFonts w:ascii="Calibri;sans-serif" w:hAnsi="Calibri;sans-serif"/>
          <w:b w:val="false"/>
          <w:color w:val="000000"/>
          <w:sz w:val="16"/>
        </w:rPr>
        <w:t xml:space="preserve">We purchased approximately </w:t>
      </w:r>
      <w:r>
        <w:rPr>
          <w:rFonts w:ascii="Calibri;sans-serif" w:hAnsi="Calibri;sans-serif"/>
          <w:b w:val="false"/>
          <w:color w:val="000000"/>
          <w:sz w:val="16"/>
          <w:shd w:fill="FFFFFF" w:val="clear"/>
        </w:rPr>
        <w:t>567 thousand</w:t>
      </w:r>
      <w:r>
        <w:rPr>
          <w:color w:val="000000"/>
        </w:rPr>
        <w:t xml:space="preserve"> </w:t>
      </w:r>
      <w:r>
        <w:rPr>
          <w:rFonts w:ascii="Calibri;sans-serif" w:hAnsi="Calibri;sans-serif"/>
          <w:b w:val="false"/>
          <w:color w:val="000000"/>
          <w:sz w:val="16"/>
        </w:rPr>
        <w:t xml:space="preserve">shares in connection with funding employee income tax withholding obligations arising upon the lapse of restrictions on restricted share units. </w:t>
      </w:r>
    </w:p>
    <w:p>
      <w:pPr>
        <w:pStyle w:val="TextBody"/>
        <w:bidi w:val="0"/>
        <w:spacing w:lineRule="auto" w:line="288" w:before="0" w:after="0"/>
        <w:ind w:left="0" w:right="0" w:hanging="180"/>
        <w:jc w:val="both"/>
        <w:rPr/>
      </w:pPr>
      <w:r>
        <w:rPr>
          <w:rFonts w:ascii="Calibri;sans-serif" w:hAnsi="Calibri;sans-serif"/>
          <w:b w:val="false"/>
          <w:color w:val="000000"/>
          <w:sz w:val="10"/>
        </w:rPr>
        <w:t>(2)</w:t>
      </w:r>
      <w:r>
        <w:rPr>
          <w:rFonts w:ascii="Calibri;sans-serif" w:hAnsi="Calibri;sans-serif"/>
          <w:b w:val="false"/>
          <w:color w:val="000000"/>
          <w:sz w:val="16"/>
        </w:rPr>
        <w:t>On August 15, 2024, we announced that our Board of Directors approved a $1.5 billion share repurchase program. The repurchase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3.    DEFAULTS UPON SENIOR SECURITIES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4.    MINE SAFETY DISCLOSURES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14AA40"/>
          <w:sz w:val="28"/>
        </w:rPr>
      </w:pPr>
      <w:r>
        <w:rPr>
          <w:rFonts w:ascii="Calibri;sans-serif" w:hAnsi="Calibri;sans-serif"/>
          <w:b/>
          <w:color w:val="14AA40"/>
          <w:sz w:val="28"/>
        </w:rPr>
        <w:t>ITEM 5.    OTHER INFORMATION</w:t>
      </w:r>
    </w:p>
    <w:p>
      <w:pPr>
        <w:pStyle w:val="TextBody"/>
        <w:bidi w:val="0"/>
        <w:spacing w:lineRule="auto" w:line="288" w:before="120" w:after="283"/>
        <w:jc w:val="both"/>
        <w:rPr>
          <w:rFonts w:ascii="Calibri;sans-serif" w:hAnsi="Calibri;sans-serif"/>
          <w:b/>
          <w:color w:val="000000"/>
          <w:sz w:val="20"/>
        </w:rPr>
      </w:pPr>
      <w:r>
        <w:rPr>
          <w:rFonts w:ascii="Calibri;sans-serif" w:hAnsi="Calibri;sans-serif"/>
          <w:b/>
          <w:color w:val="000000"/>
          <w:sz w:val="20"/>
        </w:rPr>
        <w:t>Director and Section 16 Officer Trading Arrangements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During the three months ended September 30, 2024, no director or officer of the Company adopted or terminated a "Rule 10b5-1 trading arrangement" or "non-Rule 10b5-1 trading arrangement," as each term is defined in Item 408(a) of Regulation S-K.</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43560"/>
                <wp:effectExtent l="0" t="0" r="0" b="0"/>
                <wp:wrapNone/>
                <wp:docPr id="24" name="Frame2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22</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0" w:after="0"/>
        <w:jc w:val="left"/>
        <w:rPr>
          <w:rFonts w:ascii="Calibri;sans-serif" w:hAnsi="Calibri;sans-serif"/>
          <w:b/>
          <w:color w:val="14AA40"/>
          <w:sz w:val="28"/>
        </w:rPr>
      </w:pPr>
      <w:r>
        <w:rPr>
          <w:rFonts w:ascii="Calibri;sans-serif" w:hAnsi="Calibri;sans-serif"/>
          <w:b/>
          <w:color w:val="14AA40"/>
          <w:sz w:val="28"/>
        </w:rPr>
        <w:t>ITEM 6.    EXHIBITS</w:t>
      </w:r>
    </w:p>
    <w:p>
      <w:pPr>
        <w:pStyle w:val="TextBody"/>
        <w:bidi w:val="0"/>
        <w:spacing w:lineRule="auto" w:line="288" w:before="60" w:after="283"/>
        <w:jc w:val="both"/>
        <w:rPr>
          <w:rFonts w:ascii="Calibri;sans-serif" w:hAnsi="Calibri;sans-serif"/>
          <w:b w:val="false"/>
          <w:color w:val="000000"/>
          <w:sz w:val="20"/>
        </w:rPr>
      </w:pPr>
      <w:r>
        <w:rPr>
          <w:rFonts w:ascii="Calibri;sans-serif" w:hAnsi="Calibri;sans-serif"/>
          <w:b w:val="false"/>
          <w:color w:val="000000"/>
          <w:sz w:val="20"/>
        </w:rPr>
        <w:t>The following exhibits are numbered in accordance with the Exhibit Table of Item 601 of Regulation S-K:</w:t>
      </w:r>
    </w:p>
    <w:tbl>
      <w:tblPr>
        <w:tblW w:w="10205" w:type="dxa"/>
        <w:jc w:val="left"/>
        <w:tblInd w:w="0" w:type="dxa"/>
        <w:tblLayout w:type="fixed"/>
        <w:tblCellMar>
          <w:top w:w="28" w:type="dxa"/>
          <w:left w:w="28" w:type="dxa"/>
          <w:bottom w:w="28" w:type="dxa"/>
          <w:right w:w="28" w:type="dxa"/>
        </w:tblCellMar>
      </w:tblPr>
      <w:tblGrid>
        <w:gridCol w:w="215"/>
        <w:gridCol w:w="189"/>
        <w:gridCol w:w="190"/>
        <w:gridCol w:w="2898"/>
        <w:gridCol w:w="2775"/>
        <w:gridCol w:w="3938"/>
      </w:tblGrid>
      <w:tr>
        <w:trPr/>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5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Calibri;sans-serif" w:hAnsi="Calibri;sans-serif"/>
                  <w:b w:val="false"/>
                  <w:color w:val="0000FF"/>
                  <w:sz w:val="20"/>
                  <w:u w:val="single"/>
                </w:rPr>
                <w:t>10.1</w:t>
              </w:r>
            </w:hyperlink>
          </w:p>
        </w:tc>
        <w:tc>
          <w:tcPr>
            <w:tcW w:w="9611"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Calibri;sans-serif" w:hAnsi="Calibri;sans-serif"/>
                  <w:b w:val="false"/>
                  <w:color w:val="0000FF"/>
                  <w:sz w:val="20"/>
                  <w:u w:val="single"/>
                </w:rPr>
                <w:t>Fourth Amendment to Program Management Agreement, dated October 18, 2024, by and between Emerald Financial Services, LLC and Pathward, N.A. filed as Exhibit 10.1 to the Company’s current report on Form 8-K filed October 23, 2024, file number 1-06089, is incorporated herein by reference.</w:t>
              </w:r>
            </w:hyperlink>
          </w:p>
        </w:tc>
      </w:tr>
      <w:tr>
        <w:trPr/>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Calibri;sans-serif" w:hAnsi="Calibri;sans-serif"/>
                  <w:b w:val="false"/>
                  <w:color w:val="0000FF"/>
                  <w:sz w:val="20"/>
                  <w:u w:val="single"/>
                </w:rPr>
                <w:t>22</w:t>
              </w:r>
            </w:hyperlink>
          </w:p>
        </w:tc>
        <w:tc>
          <w:tcPr>
            <w:tcW w:w="961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Calibri;sans-serif" w:hAnsi="Calibri;sans-serif"/>
                  <w:b w:val="false"/>
                  <w:color w:val="0000FF"/>
                  <w:sz w:val="20"/>
                  <w:u w:val="single"/>
                </w:rPr>
                <w:t>List of Guarantor and Issuer Subsidiaries, filed as Exhibit 22 to the Company’s Annual Report on Form 10-K for the year ended June 30, 2024, file number 1-06089, is incorporated herein by reference.</w:t>
              </w:r>
            </w:hyperlink>
          </w:p>
        </w:tc>
      </w:tr>
      <w:tr>
        <w:trPr/>
        <w:tc>
          <w:tcPr>
            <w:tcW w:w="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rbq1fy25exhibit311.htm">
              <w:r>
                <w:rPr>
                  <w:rStyle w:val="InternetLink"/>
                  <w:rFonts w:ascii="Calibri;sans-serif" w:hAnsi="Calibri;sans-serif"/>
                  <w:b w:val="false"/>
                  <w:color w:val="0000FF"/>
                  <w:sz w:val="20"/>
                  <w:u w:val="single"/>
                </w:rPr>
                <w:t>31.1</w:t>
              </w:r>
            </w:hyperlink>
          </w:p>
        </w:tc>
        <w:tc>
          <w:tcPr>
            <w:tcW w:w="9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pPr>
            <w:hyperlink w:anchor="hrbq1fy25exhibit311.htm">
              <w:r>
                <w:rPr>
                  <w:rStyle w:val="InternetLink"/>
                  <w:rFonts w:ascii="Calibri;sans-serif" w:hAnsi="Calibri;sans-serif"/>
                  <w:b w:val="false"/>
                  <w:color w:val="0000FF"/>
                  <w:sz w:val="20"/>
                  <w:u w:val="single"/>
                </w:rPr>
                <w:t>Certification by Chief Executive Officer pursuant to Section 302 of the Sarbanes-Oxley Act of 2002.</w:t>
              </w:r>
            </w:hyperlink>
          </w:p>
        </w:tc>
      </w:tr>
      <w:tr>
        <w:trPr/>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rbq1fy25exhibit312.htm">
              <w:r>
                <w:rPr>
                  <w:rStyle w:val="InternetLink"/>
                  <w:rFonts w:ascii="Calibri;sans-serif" w:hAnsi="Calibri;sans-serif"/>
                  <w:b w:val="false"/>
                  <w:color w:val="0000FF"/>
                  <w:sz w:val="20"/>
                  <w:u w:val="single"/>
                </w:rPr>
                <w:t>31.2</w:t>
              </w:r>
            </w:hyperlink>
          </w:p>
        </w:tc>
        <w:tc>
          <w:tcPr>
            <w:tcW w:w="9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0"/>
              <w:jc w:val="both"/>
              <w:rPr/>
            </w:pPr>
            <w:hyperlink w:anchor="hrbq1fy25exhibit312.htm">
              <w:r>
                <w:rPr>
                  <w:rStyle w:val="InternetLink"/>
                  <w:rFonts w:ascii="Calibri;sans-serif" w:hAnsi="Calibri;sans-serif"/>
                  <w:b w:val="false"/>
                  <w:color w:val="0000FF"/>
                  <w:sz w:val="20"/>
                  <w:u w:val="single"/>
                </w:rPr>
                <w:t>Certification by Chief Financial Officer pursuant to Section 302 of the Sarbanes-Oxley Act of 2002.</w:t>
              </w:r>
            </w:hyperlink>
          </w:p>
        </w:tc>
      </w:tr>
      <w:tr>
        <w:trPr/>
        <w:tc>
          <w:tcPr>
            <w:tcW w:w="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hrbq1fy25exhibit321.htm">
              <w:r>
                <w:rPr>
                  <w:rStyle w:val="InternetLink"/>
                  <w:rFonts w:ascii="Calibri;sans-serif" w:hAnsi="Calibri;sans-serif"/>
                  <w:b w:val="false"/>
                  <w:color w:val="0000FF"/>
                  <w:sz w:val="20"/>
                  <w:u w:val="single"/>
                </w:rPr>
                <w:t>32.1</w:t>
              </w:r>
            </w:hyperlink>
          </w:p>
        </w:tc>
        <w:tc>
          <w:tcPr>
            <w:tcW w:w="9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hrbq1fy25exhibit321.htm">
              <w:r>
                <w:rPr>
                  <w:rStyle w:val="InternetLink"/>
                  <w:rFonts w:ascii="Calibri;sans-serif" w:hAnsi="Calibri;sans-serif"/>
                  <w:b w:val="false"/>
                  <w:color w:val="0000FF"/>
                  <w:sz w:val="20"/>
                  <w:u w:val="single"/>
                </w:rPr>
                <w:t>Certification by Chief Executive Officer pursuant to 18 U.S.C. 1350, as adopted by Section 906 of the Sarbanes-Oxley Act of 2002.</w:t>
              </w:r>
            </w:hyperlink>
          </w:p>
        </w:tc>
      </w:tr>
      <w:tr>
        <w:trPr/>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hrbq1fy25exhibit322.htm">
              <w:r>
                <w:rPr>
                  <w:rStyle w:val="InternetLink"/>
                  <w:rFonts w:ascii="Calibri;sans-serif" w:hAnsi="Calibri;sans-serif"/>
                  <w:b w:val="false"/>
                  <w:color w:val="0000FF"/>
                  <w:sz w:val="20"/>
                  <w:u w:val="single"/>
                </w:rPr>
                <w:t>32.2</w:t>
              </w:r>
            </w:hyperlink>
          </w:p>
        </w:tc>
        <w:tc>
          <w:tcPr>
            <w:tcW w:w="9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hrbq1fy25exhibit322.htm">
              <w:r>
                <w:rPr>
                  <w:rStyle w:val="InternetLink"/>
                  <w:rFonts w:ascii="Calibri;sans-serif" w:hAnsi="Calibri;sans-serif"/>
                  <w:b w:val="false"/>
                  <w:color w:val="0000FF"/>
                  <w:sz w:val="20"/>
                  <w:u w:val="single"/>
                </w:rPr>
                <w:t>Certification by Chief Financial Officer pursuant to 18 U.S.C. 1350, as adopted by Section 906 of the Sarbanes-Oxley Act of 2002.</w:t>
              </w:r>
            </w:hyperlink>
          </w:p>
        </w:tc>
      </w:tr>
      <w:tr>
        <w:trPr/>
        <w:tc>
          <w:tcPr>
            <w:tcW w:w="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101.INS</w:t>
            </w:r>
          </w:p>
        </w:tc>
        <w:tc>
          <w:tcPr>
            <w:tcW w:w="9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Inline XBRL Instance Document - the instance document does not appear in the Interactive Data File because its XBRL tags are embedded within the Inline XBRL document</w:t>
            </w:r>
          </w:p>
        </w:tc>
      </w:tr>
      <w:tr>
        <w:trPr/>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101.SCH</w:t>
            </w:r>
          </w:p>
        </w:tc>
        <w:tc>
          <w:tcPr>
            <w:tcW w:w="9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Schema</w:t>
            </w:r>
          </w:p>
        </w:tc>
      </w:tr>
      <w:tr>
        <w:trPr/>
        <w:tc>
          <w:tcPr>
            <w:tcW w:w="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101.CAL</w:t>
            </w:r>
          </w:p>
        </w:tc>
        <w:tc>
          <w:tcPr>
            <w:tcW w:w="9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Extension Calculation Linkbase</w:t>
            </w:r>
          </w:p>
        </w:tc>
      </w:tr>
      <w:tr>
        <w:trPr/>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101.LAB</w:t>
            </w:r>
          </w:p>
        </w:tc>
        <w:tc>
          <w:tcPr>
            <w:tcW w:w="9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Label Linkbase</w:t>
            </w:r>
          </w:p>
        </w:tc>
      </w:tr>
      <w:tr>
        <w:trPr/>
        <w:tc>
          <w:tcPr>
            <w:tcW w:w="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101.PRE</w:t>
            </w:r>
          </w:p>
        </w:tc>
        <w:tc>
          <w:tcPr>
            <w:tcW w:w="9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Presentation Linkbase</w:t>
            </w:r>
          </w:p>
        </w:tc>
      </w:tr>
      <w:tr>
        <w:trPr/>
        <w:tc>
          <w:tcPr>
            <w:tcW w:w="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101.DEF</w:t>
            </w:r>
          </w:p>
        </w:tc>
        <w:tc>
          <w:tcPr>
            <w:tcW w:w="9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Definition Linkbase</w:t>
            </w:r>
          </w:p>
        </w:tc>
      </w:tr>
      <w:tr>
        <w:trPr/>
        <w:tc>
          <w:tcPr>
            <w:tcW w:w="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9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94995"/>
                <wp:effectExtent l="0" t="0" r="0" b="0"/>
                <wp:wrapNone/>
                <wp:docPr id="25" name="Frame2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162" w:type="dxa"/>
                              <w:jc w:val="lef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left"/>
                        <w:tblInd w:w="0" w:type="dxa"/>
                        <w:tblLayout w:type="fixed"/>
                        <w:tblCellMar>
                          <w:top w:w="28" w:type="dxa"/>
                          <w:left w:w="28" w:type="dxa"/>
                          <w:bottom w:w="28" w:type="dxa"/>
                          <w:right w:w="28" w:type="dxa"/>
                        </w:tblCellMar>
                      </w:tblPr>
                      <w:tblGrid>
                        <w:gridCol w:w="1008"/>
                        <w:gridCol w:w="889"/>
                        <w:gridCol w:w="893"/>
                        <w:gridCol w:w="109"/>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|Q1 FY2025 Form 10-Q</w:t>
                            </w:r>
                          </w:p>
                        </w:tc>
                        <w:tc>
                          <w:tcPr>
                            <w:tcW w:w="37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pPr>
      <w:hyperlink w:anchor="i5b82aecb81d74356a9ff9f8c9940dcc4_7">
        <w:r>
          <w:rPr>
            <w:rStyle w:val="InternetLink"/>
            <w:rFonts w:ascii="Calibri;sans-serif" w:hAnsi="Calibri;sans-serif"/>
            <w:b w:val="false"/>
            <w:color w:val="0000FF"/>
            <w:sz w:val="18"/>
            <w:u w:val="single"/>
          </w:rPr>
          <w:t>Table of Contents</w:t>
        </w:r>
      </w:hyperlink>
    </w:p>
    <w:p>
      <w:pPr>
        <w:pStyle w:val="TextBody"/>
        <w:bidi w:val="0"/>
        <w:spacing w:lineRule="auto" w:line="288" w:before="120" w:after="283"/>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thereunto duly authorized.</w:t>
      </w:r>
    </w:p>
    <w:tbl>
      <w:tblPr>
        <w:tblW w:w="3059" w:type="dxa"/>
        <w:jc w:val="right"/>
        <w:tblInd w:w="0" w:type="dxa"/>
        <w:tblLayout w:type="fixed"/>
        <w:tblCellMar>
          <w:top w:w="28" w:type="dxa"/>
          <w:left w:w="28" w:type="dxa"/>
          <w:bottom w:w="28" w:type="dxa"/>
          <w:right w:w="28" w:type="dxa"/>
        </w:tblCellMar>
      </w:tblPr>
      <w:tblGrid>
        <w:gridCol w:w="977"/>
        <w:gridCol w:w="860"/>
        <w:gridCol w:w="1222"/>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H&amp;R BLOCK, INC.</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Jeffrey J. Jones II</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J. Jones II</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President and Chief Executive Officer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2024</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Tiffany L. Mason</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Tiffany L. Mason</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Financial Officer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2024</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Kellie J. Logerwell</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Kellie J. Logerwell</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Accounting Officer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2024</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Exhibit 31.1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43560"/>
                <wp:effectExtent l="0" t="0" r="0" b="0"/>
                <wp:wrapNone/>
                <wp:docPr id="26" name="Frame2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434.35pt;mso-position-horizontal:left;mso-position-horizontal-relative:text">
                <v:textbox>
                  <w:txbxContent>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val="false"/>
                                <w:color w:val="FFFFFF"/>
                                <w:sz w:val="16"/>
                                <w:shd w:fill="000000" w:val="clear"/>
                              </w:rPr>
                            </w:pPr>
                            <w:r>
                              <w:rPr>
                                <w:rFonts w:ascii="Calibri;sans-serif" w:hAnsi="Calibri;sans-serif"/>
                                <w:b w:val="false"/>
                                <w:color w:val="FFFFFF"/>
                                <w:sz w:val="16"/>
                                <w:shd w:fill="000000" w:val="clear"/>
                              </w:rPr>
                              <w:t>24</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6"/>
                              </w:rPr>
                              <w:t xml:space="preserve">Q1 FY2025 Form 10-Q| </w:t>
                            </w:r>
                            <w:r>
                              <w:rPr>
                                <w:rFonts w:ascii="Calibri;sans-serif" w:hAnsi="Calibri;sans-serif"/>
                                <w:b/>
                                <w:color w:val="000000"/>
                                <w:sz w:val="16"/>
                              </w:rPr>
                              <w:t>H&amp;R Block,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I, Jeffrey J. Jones II, Chief Executive Officer, certify that: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 I have reviewed this quarterly report on Form 10-Q of H&amp;R Block, Inc.;</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 Any fraud, whether or not material, that involves management or other employees who have a significant role in the registrant's internal control over financial reporting.</w:t>
      </w:r>
    </w:p>
    <w:tbl>
      <w:tblPr>
        <w:tblW w:w="4346" w:type="dxa"/>
        <w:jc w:val="left"/>
        <w:tblInd w:w="0" w:type="dxa"/>
        <w:tblLayout w:type="fixed"/>
        <w:tblCellMar>
          <w:top w:w="28" w:type="dxa"/>
          <w:left w:w="28" w:type="dxa"/>
          <w:bottom w:w="28" w:type="dxa"/>
          <w:right w:w="28" w:type="dxa"/>
        </w:tblCellMar>
      </w:tblPr>
      <w:tblGrid>
        <w:gridCol w:w="190"/>
        <w:gridCol w:w="167"/>
        <w:gridCol w:w="168"/>
        <w:gridCol w:w="529"/>
        <w:gridCol w:w="529"/>
        <w:gridCol w:w="531"/>
        <w:gridCol w:w="109"/>
        <w:gridCol w:w="109"/>
        <w:gridCol w:w="109"/>
        <w:gridCol w:w="556"/>
        <w:gridCol w:w="556"/>
        <w:gridCol w:w="793"/>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Jeffrey J. Jones II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J. Jones II</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w:t>
              <w:br/>
              <w:t>H&amp;R Block, Inc.</w:t>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Calibri;sans-serif" w:hAnsi="Calibri;sans-serif"/>
          <w:b w:val="false"/>
          <w:color w:val="000000"/>
          <w:sz w:val="20"/>
        </w:rPr>
      </w:pPr>
      <w:r>
        <w:rPr>
          <w:rFonts w:ascii="Calibri;sans-serif" w:hAnsi="Calibri;sans-serif"/>
          <w:b w:val="false"/>
          <w:color w:val="000000"/>
          <w:sz w:val="20"/>
        </w:rPr>
        <w:t>Exhibit 31.2</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I, Tiffany L. Mason, Chief Financial Officer, certify that: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 I have reviewed this quarterly report on Form 10-Q of H&amp;R Block, Inc.;</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 Any fraud, whether or not material, that involves management or other employees who have a significant role in the registrant's internal control over financial reporting.</w:t>
      </w:r>
    </w:p>
    <w:tbl>
      <w:tblPr>
        <w:tblW w:w="4301" w:type="dxa"/>
        <w:jc w:val="left"/>
        <w:tblInd w:w="0" w:type="dxa"/>
        <w:tblLayout w:type="fixed"/>
        <w:tblCellMar>
          <w:top w:w="28" w:type="dxa"/>
          <w:left w:w="28" w:type="dxa"/>
          <w:bottom w:w="28" w:type="dxa"/>
          <w:right w:w="28" w:type="dxa"/>
        </w:tblCellMar>
      </w:tblPr>
      <w:tblGrid>
        <w:gridCol w:w="190"/>
        <w:gridCol w:w="167"/>
        <w:gridCol w:w="168"/>
        <w:gridCol w:w="529"/>
        <w:gridCol w:w="529"/>
        <w:gridCol w:w="531"/>
        <w:gridCol w:w="109"/>
        <w:gridCol w:w="109"/>
        <w:gridCol w:w="109"/>
        <w:gridCol w:w="544"/>
        <w:gridCol w:w="544"/>
        <w:gridCol w:w="772"/>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Tiffany L. Mason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Tiffany L. Mason</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Financial Officer</w:t>
              <w:br/>
              <w:t>H&amp;R Block,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Exhibit 32.1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Calibri;sans-serif" w:hAnsi="Calibri;sans-serif"/>
          <w:b w:val="false"/>
          <w:color w:val="000000"/>
          <w:sz w:val="20"/>
        </w:rPr>
        <w:t>In connection with the quarterly report of H&amp;R Block, Inc. (the “Company”) on Form 10</w:t>
        <w:noBreakHyphen/>
        <w:t xml:space="preserve">Q for the fiscal quarter ended September 30, 2024 as filed with the Securities and Exchange Commission on the date hereof (the “Report”), I, Jeffrey J. Jones II, Chief Executive Officer of the Company, certify pursuant to 18 U.S.C. § 1350, as adopted pursuant to § 906 of the Sarbanes-Oxley Act of 2002, that: </w:t>
      </w:r>
    </w:p>
    <w:p>
      <w:pPr>
        <w:pStyle w:val="TextBody"/>
        <w:bidi w:val="0"/>
        <w:spacing w:before="0" w:after="0"/>
        <w:jc w:val="both"/>
        <w:rPr/>
      </w:pPr>
      <w:r>
        <w:rPr/>
      </w:r>
    </w:p>
    <w:p>
      <w:pPr>
        <w:pStyle w:val="TextBody"/>
        <w:bidi w:val="0"/>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 xml:space="preserve">(1)The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1920" w:type="dxa"/>
        <w:jc w:val="right"/>
        <w:tblInd w:w="0" w:type="dxa"/>
        <w:tblLayout w:type="fixed"/>
        <w:tblCellMar>
          <w:top w:w="28" w:type="dxa"/>
          <w:left w:w="28" w:type="dxa"/>
          <w:bottom w:w="28" w:type="dxa"/>
          <w:right w:w="28" w:type="dxa"/>
        </w:tblCellMar>
      </w:tblPr>
      <w:tblGrid>
        <w:gridCol w:w="613"/>
        <w:gridCol w:w="540"/>
        <w:gridCol w:w="767"/>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Jeffrey J. Jones II</w:t>
            </w:r>
          </w:p>
        </w:tc>
      </w:tr>
      <w:tr>
        <w:trPr/>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J. Jones II</w:t>
              <w:br/>
              <w:t>Chief Executive Officer</w:t>
              <w:br/>
              <w:t>H&amp;R Block, Inc.</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2024</w:t>
            </w:r>
          </w:p>
        </w:tc>
      </w:tr>
    </w:tbl>
    <w:p>
      <w:pPr>
        <w:pStyle w:val="TextBody"/>
        <w:bidi w:val="0"/>
        <w:spacing w:before="120" w:after="283"/>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Exhibit 32.2</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Calibri;sans-serif" w:hAnsi="Calibri;sans-serif"/>
          <w:b w:val="false"/>
          <w:color w:val="000000"/>
          <w:sz w:val="20"/>
        </w:rPr>
        <w:t>In connection with the quarterly report of H&amp;R Block, Inc. (the “Company”) on Form 10</w:t>
        <w:noBreakHyphen/>
        <w:t xml:space="preserve">Q for the fiscal quarter ended September 30, 2024 as filed with the Securities and Exchange Commission on the date hereof (the “Report”), I, Tiffany L. Mason, Chief Financial Officer of the Company, certify pursuant to 18 U.S.C. § 1350, as adopted pursuant to § 906 of the Sarbanes-Oxley Act of 2002, that: </w:t>
      </w:r>
    </w:p>
    <w:p>
      <w:pPr>
        <w:pStyle w:val="TextBody"/>
        <w:bidi w:val="0"/>
        <w:spacing w:before="0" w:after="0"/>
        <w:jc w:val="both"/>
        <w:rPr/>
      </w:pPr>
      <w:r>
        <w:rPr/>
      </w:r>
    </w:p>
    <w:p>
      <w:pPr>
        <w:pStyle w:val="TextBody"/>
        <w:bidi w:val="0"/>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 xml:space="preserve">(1)The Report fully complies with the requirements of Section 13(a) or 15(d) of the Securities Exchange Act of 1934;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1875" w:type="dxa"/>
        <w:jc w:val="right"/>
        <w:tblInd w:w="0" w:type="dxa"/>
        <w:tblLayout w:type="fixed"/>
        <w:tblCellMar>
          <w:top w:w="28" w:type="dxa"/>
          <w:left w:w="28" w:type="dxa"/>
          <w:bottom w:w="28" w:type="dxa"/>
          <w:right w:w="28" w:type="dxa"/>
        </w:tblCellMar>
      </w:tblPr>
      <w:tblGrid>
        <w:gridCol w:w="600"/>
        <w:gridCol w:w="526"/>
        <w:gridCol w:w="749"/>
      </w:tblGrid>
      <w:tr>
        <w:trPr/>
        <w:tc>
          <w:tcPr>
            <w:tcW w:w="6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Tiffany L. Mason</w:t>
            </w:r>
          </w:p>
        </w:tc>
      </w:tr>
      <w:tr>
        <w:trPr/>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Tiffany L. Mason</w:t>
              <w:br/>
              <w:t>Chief Financial Officer</w:t>
              <w:br/>
              <w:t>H&amp;R Block, Inc.</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November 7, 2024</w:t>
            </w:r>
          </w:p>
        </w:tc>
      </w:tr>
    </w:tbl>
    <w:p>
      <w:pPr>
        <w:pStyle w:val="TextBody"/>
        <w:bidi w:val="0"/>
        <w:spacing w:before="12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659/000183886224000037/fourthamendmenttoprogramma.htm" TargetMode="External"/><Relationship Id="rId3" Type="http://schemas.openxmlformats.org/officeDocument/2006/relationships/hyperlink" Target="https://www.sec.gov/Archives/edgar/data/12659/000183886224000037/fourthamendmenttoprogramma.htm" TargetMode="External"/><Relationship Id="rId4" Type="http://schemas.openxmlformats.org/officeDocument/2006/relationships/hyperlink" Target="https://www.sec.gov/Archives/edgar/data/12659/000183886224000030/hrb20240630exhibit22.htm" TargetMode="External"/><Relationship Id="rId5" Type="http://schemas.openxmlformats.org/officeDocument/2006/relationships/hyperlink" Target="https://www.sec.gov/Archives/edgar/data/12659/000183886224000030/hrb20240630exhibit2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11553</Words>
  <Characters>63790</Characters>
  <CharactersWithSpaces>74309</CharactersWithSpaces>
  <Paragraphs>1871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