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Charnaux Christian H.</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H&amp;R BLOCK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Borders>
              <w:bottom w:val="single" w:sz="8" w:color="0000EE"/>
            </w:tcBorders>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01/22/2026</w:t>
            </w:r>
          </w:p>
        </w:tc>
        <w:tc>
          <w:tcPr>
            <w:tcW w:w="2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H&amp;R BLOCK</w:t>
            </w:r>
          </w:p>
        </w:tc>
        <w:tc>
          <w:tcPr>
            <w:tcW w:w="146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2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H&amp;R BLOCK WAY</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64105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01/22/2026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3,727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3,727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restricted share units (DRSUs) granted under the H&amp;R Block, Inc. 2018 Long Term Incentive Plan. DRSUs fully vest on the first anniversary of the grant date, subject to the reporting person's continued service as a director as of such vesting date. Prior to receipt of the award, each director has the opportunity to elect to receive the shares of common stock underlying the DRSU award either immediately upon vesting or to defer receipt of the shares until the six-month anniversary date of termination of service as a director.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Katharine M. Haynes, per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01/23/2026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50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6715" TargetMode="External"/><Relationship Id="rId14" Type="http://schemas.openxmlformats.org/officeDocument/2006/relationships/hyperlink" Target="http://www.sec.gov/cgi-bin/browse-edgar?action=getcompany&amp;CIK=0000012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2026-01-23T15:44:53Z</dcterms:created>
  <dcterms:modified xsi:type="dcterms:W3CDTF">2026-01-23T15:44:53Z</dcterms:modified>
</cp:coreProperties>
</file>