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2240" w:h="15840"/>
          <w:pgMar w:left="1134" w:right="567" w:header="0" w:top="567" w:footer="0" w:bottom="567" w:gutter="0"/>
          <w:pgNumType w:fmt="decimal"/>
          <w:formProt w:val="false"/>
          <w:textDirection w:val="lrTb"/>
          <w:docGrid w:type="default" w:linePitch="600" w:charSpace="32768"/>
        </w:sectPr>
      </w:pPr>
    </w:p>
    <w:p>
      <w:pPr>
        <w:pStyle w:val="TextBody"/>
        <w:spacing w:lineRule="auto" w:line="288" w:before="120" w:after="283"/>
        <w:rPr/>
      </w:pPr>
      <w:hyperlink w:anchor="ica06acc7160d4977b3f034161052416e_7">
        <w:r>
          <w:rPr>
            <w:rStyle w:val="InternetLink"/>
            <w:rFonts w:ascii="Calibri;sans-serif" w:hAnsi="Calibri;sans-serif"/>
            <w:b w:val="false"/>
            <w:color w:val="0000FF"/>
            <w:sz w:val="18"/>
            <w:u w:val="single"/>
          </w:rPr>
          <w:t>Table of Contents</w:t>
        </w:r>
      </w:hyperlink>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720"/>
        <w:jc w:val="center"/>
        <w:rPr>
          <w:rFonts w:ascii="Calibri;sans-serif" w:hAnsi="Calibri;sans-serif"/>
          <w:b/>
          <w:color w:val="000000"/>
          <w:sz w:val="20"/>
        </w:rPr>
      </w:pPr>
      <w:r>
        <w:rPr>
          <w:rFonts w:ascii="Calibri;sans-serif" w:hAnsi="Calibri;sans-serif"/>
          <w:b/>
          <w:color w:val="000000"/>
          <w:sz w:val="20"/>
        </w:rPr>
        <w:t>UNITED STATES</w:t>
      </w:r>
    </w:p>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SECURITIES AND EXCHANGE COMMISSION</w:t>
      </w:r>
    </w:p>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Washington, D.C. 20549</w:t>
      </w:r>
    </w:p>
    <w:p>
      <w:pPr>
        <w:pStyle w:val="TextBody"/>
        <w:spacing w:lineRule="auto" w:line="288" w:before="0" w:after="0"/>
        <w:jc w:val="center"/>
        <w:rPr>
          <w:rFonts w:ascii="Calibri;sans-serif" w:hAnsi="Calibri;sans-serif"/>
          <w:b/>
          <w:color w:val="000000"/>
          <w:sz w:val="20"/>
        </w:rPr>
      </w:pPr>
      <w:r>
        <w:rPr>
          <w:rFonts w:ascii="Calibri;sans-serif" w:hAnsi="Calibri;sans-serif"/>
          <w:b/>
          <w:color w:val="000000"/>
          <w:sz w:val="20"/>
        </w:rPr>
        <w:t xml:space="preserve">FORM 10-Q </w:t>
      </w:r>
    </w:p>
    <w:tbl>
      <w:tblPr>
        <w:tblW w:w="8942" w:type="dxa"/>
        <w:jc w:val="left"/>
        <w:tblInd w:w="0" w:type="dxa"/>
        <w:tblCellMar>
          <w:top w:w="28" w:type="dxa"/>
          <w:left w:w="28" w:type="dxa"/>
          <w:bottom w:w="28" w:type="dxa"/>
          <w:right w:w="28" w:type="dxa"/>
        </w:tblCellMar>
      </w:tblPr>
      <w:tblGrid>
        <w:gridCol w:w="128"/>
        <w:gridCol w:w="113"/>
        <w:gridCol w:w="113"/>
        <w:gridCol w:w="113"/>
        <w:gridCol w:w="113"/>
        <w:gridCol w:w="113"/>
        <w:gridCol w:w="1282"/>
        <w:gridCol w:w="1282"/>
        <w:gridCol w:w="1282"/>
        <w:gridCol w:w="1282"/>
        <w:gridCol w:w="1282"/>
        <w:gridCol w:w="1839"/>
      </w:tblGrid>
      <w:tr>
        <w:trPr/>
        <w:tc>
          <w:tcPr>
            <w:tcW w:w="128"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c>
          <w:tcPr>
            <w:tcW w:w="1839" w:type="dxa"/>
            <w:tcBorders/>
            <w:shd w:fill="auto" w:val="clear"/>
            <w:vAlign w:val="center"/>
          </w:tcPr>
          <w:p>
            <w:pPr>
              <w:pStyle w:val="TableContents"/>
              <w:spacing w:before="0" w:after="283"/>
              <w:rPr>
                <w:sz w:val="4"/>
                <w:szCs w:val="4"/>
              </w:rPr>
            </w:pPr>
            <w:r>
              <w:rPr>
                <w:sz w:val="4"/>
                <w:szCs w:val="4"/>
              </w:rPr>
            </w:r>
          </w:p>
        </w:tc>
      </w:tr>
      <w:tr>
        <w:trPr/>
        <w:tc>
          <w:tcPr>
            <w:tcW w:w="4539" w:type="dxa"/>
            <w:gridSpan w:val="9"/>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(Mark One)</w:t>
            </w:r>
          </w:p>
        </w:tc>
        <w:tc>
          <w:tcPr>
            <w:tcW w:w="44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QUARTERLY REPORT PURSUANT TO SECTION 13 OR 15(d) OF THE SECURITIES EXCHANGE ACT OF 1934</w:t>
            </w:r>
          </w:p>
        </w:tc>
      </w:tr>
      <w:tr>
        <w:trPr/>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For the quarterly period ended</w:t>
            </w:r>
          </w:p>
        </w:tc>
        <w:tc>
          <w:tcPr>
            <w:tcW w:w="440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Calibri;sans-serif" w:hAnsi="Calibri;sans-serif"/>
                <w:b/>
                <w:color w:val="000000"/>
                <w:sz w:val="20"/>
              </w:rPr>
            </w:pPr>
            <w:r>
              <w:rPr>
                <w:rFonts w:ascii="Calibri;sans-serif" w:hAnsi="Calibri;sans-serif"/>
                <w:b/>
                <w:color w:val="000000"/>
                <w:sz w:val="20"/>
              </w:rPr>
              <w:t>March 31, 2023</w:t>
            </w:r>
          </w:p>
        </w:tc>
      </w:tr>
      <w:tr>
        <w:trPr/>
        <w:tc>
          <w:tcPr>
            <w:tcW w:w="8942"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20"/>
              </w:rPr>
            </w:pPr>
            <w:r>
              <w:rPr>
                <w:rFonts w:ascii="Calibri;sans-serif" w:hAnsi="Calibri;sans-serif"/>
                <w:b w:val="false"/>
                <w:color w:val="000000"/>
                <w:sz w:val="20"/>
              </w:rPr>
              <w:t>OR</w:t>
            </w:r>
          </w:p>
        </w:tc>
      </w:tr>
      <w:tr>
        <w:trPr/>
        <w:tc>
          <w:tcPr>
            <w:tcW w:w="3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TRANSITION REPORT PURSUANT TO SECTION 13 OR 15(d) OF THE SECURITIES EXCHANGE ACT OF 1934</w:t>
            </w:r>
          </w:p>
        </w:tc>
      </w:tr>
      <w:tr>
        <w:trPr/>
        <w:tc>
          <w:tcPr>
            <w:tcW w:w="3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0"/>
              </w:rPr>
            </w:pPr>
            <w:r>
              <w:rPr>
                <w:rFonts w:ascii="Calibri;sans-serif" w:hAnsi="Calibri;sans-serif"/>
                <w:b/>
                <w:color w:val="000000"/>
                <w:sz w:val="20"/>
              </w:rPr>
              <w:t xml:space="preserve">For the transition period from to </w:t>
            </w:r>
          </w:p>
        </w:tc>
      </w:tr>
    </w:tbl>
    <w:p>
      <w:pPr>
        <w:pStyle w:val="TextBody"/>
        <w:spacing w:lineRule="auto" w:line="288" w:before="120" w:after="283"/>
        <w:jc w:val="center"/>
        <w:rPr>
          <w:rFonts w:ascii="Calibri;sans-serif" w:hAnsi="Calibri;sans-serif"/>
          <w:b/>
          <w:color w:val="000000"/>
          <w:sz w:val="20"/>
        </w:rPr>
      </w:pPr>
      <w:r>
        <w:rPr>
          <w:rFonts w:ascii="Calibri;sans-serif" w:hAnsi="Calibri;sans-serif"/>
          <w:b/>
          <w:color w:val="000000"/>
          <w:sz w:val="20"/>
        </w:rPr>
        <w:t xml:space="preserve">Commission file number 1-06089 </w:t>
      </w:r>
    </w:p>
    <w:p>
      <w:pPr>
        <w:pStyle w:val="TextBody"/>
        <w:spacing w:before="120" w:after="283"/>
        <w:jc w:val="center"/>
        <w:rPr/>
      </w:pPr>
      <w:r>
        <w:rPr/>
      </w:r>
    </w:p>
    <w:p>
      <w:pPr>
        <w:pStyle w:val="TextBody"/>
        <w:spacing w:lineRule="auto" w:line="288" w:before="120" w:after="283"/>
        <w:jc w:val="center"/>
        <w:rPr>
          <w:rFonts w:ascii="Calibri;sans-serif" w:hAnsi="Calibri;sans-serif"/>
          <w:b/>
          <w:color w:val="000000"/>
          <w:sz w:val="20"/>
        </w:rPr>
      </w:pPr>
      <w:r>
        <w:rPr>
          <w:rFonts w:ascii="Calibri;sans-serif" w:hAnsi="Calibri;sans-serif"/>
          <w:b/>
          <w:color w:val="000000"/>
          <w:sz w:val="20"/>
        </w:rPr>
        <w:t xml:space="preserve">H&amp;R Block, Inc. </w:t>
      </w:r>
    </w:p>
    <w:p>
      <w:pPr>
        <w:pStyle w:val="TextBody"/>
        <w:spacing w:lineRule="auto" w:line="288" w:before="0" w:after="0"/>
        <w:jc w:val="center"/>
        <w:rPr>
          <w:rFonts w:ascii="Calibri;sans-serif" w:hAnsi="Calibri;sans-serif"/>
          <w:b w:val="false"/>
          <w:color w:val="000000"/>
          <w:sz w:val="16"/>
        </w:rPr>
      </w:pPr>
      <w:r>
        <w:rPr>
          <w:rFonts w:ascii="Calibri;sans-serif" w:hAnsi="Calibri;sans-serif"/>
          <w:b w:val="false"/>
          <w:color w:val="000000"/>
          <w:sz w:val="16"/>
        </w:rPr>
        <w:t>(Exact name of registrant as specified in its charter)</w:t>
      </w:r>
    </w:p>
    <w:tbl>
      <w:tblPr>
        <w:tblW w:w="3851" w:type="dxa"/>
        <w:jc w:val="left"/>
        <w:tblInd w:w="0" w:type="dxa"/>
        <w:tblCellMar>
          <w:top w:w="28" w:type="dxa"/>
          <w:left w:w="28" w:type="dxa"/>
          <w:bottom w:w="28" w:type="dxa"/>
          <w:right w:w="28" w:type="dxa"/>
        </w:tblCellMar>
      </w:tblPr>
      <w:tblGrid>
        <w:gridCol w:w="781"/>
        <w:gridCol w:w="685"/>
        <w:gridCol w:w="693"/>
        <w:gridCol w:w="109"/>
        <w:gridCol w:w="109"/>
        <w:gridCol w:w="109"/>
        <w:gridCol w:w="399"/>
        <w:gridCol w:w="399"/>
        <w:gridCol w:w="567"/>
      </w:tblGrid>
      <w:tr>
        <w:trPr/>
        <w:tc>
          <w:tcPr>
            <w:tcW w:w="781"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6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r>
      <w:tr>
        <w:trPr/>
        <w:tc>
          <w:tcPr>
            <w:tcW w:w="21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color w:val="000000"/>
                <w:sz w:val="20"/>
              </w:rPr>
            </w:pPr>
            <w:r>
              <w:rPr>
                <w:rFonts w:ascii="Calibri;sans-serif" w:hAnsi="Calibri;sans-serif"/>
                <w:b/>
                <w:color w:val="000000"/>
                <w:sz w:val="20"/>
              </w:rPr>
              <w:t>Missouri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color w:val="000000"/>
                <w:sz w:val="20"/>
              </w:rPr>
            </w:pPr>
            <w:r>
              <w:rPr>
                <w:rFonts w:ascii="Calibri;sans-serif" w:hAnsi="Calibri;sans-serif"/>
                <w:b/>
                <w:color w:val="000000"/>
                <w:sz w:val="20"/>
              </w:rPr>
              <w:t>44-0607856</w:t>
            </w:r>
          </w:p>
        </w:tc>
      </w:tr>
      <w:tr>
        <w:trPr/>
        <w:tc>
          <w:tcPr>
            <w:tcW w:w="21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(State or other jurisdiction of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(I.R.S. Employer</w:t>
            </w:r>
          </w:p>
        </w:tc>
      </w:tr>
      <w:tr>
        <w:trPr/>
        <w:tc>
          <w:tcPr>
            <w:tcW w:w="21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Identification No.)</w:t>
            </w:r>
          </w:p>
        </w:tc>
      </w:tr>
    </w:tbl>
    <w:p>
      <w:pPr>
        <w:pStyle w:val="TextBody"/>
        <w:spacing w:lineRule="auto" w:line="288" w:before="60" w:after="283"/>
        <w:jc w:val="center"/>
        <w:rPr>
          <w:rFonts w:ascii="Calibri;sans-serif" w:hAnsi="Calibri;sans-serif"/>
          <w:b/>
          <w:color w:val="000000"/>
          <w:sz w:val="20"/>
        </w:rPr>
      </w:pPr>
      <w:r>
        <w:rPr>
          <w:rFonts w:ascii="Calibri;sans-serif" w:hAnsi="Calibri;sans-serif"/>
          <w:b/>
          <w:color w:val="000000"/>
          <w:sz w:val="20"/>
        </w:rPr>
        <w:t xml:space="preserve">One H&amp;R Block Way, Kansas City, Missouri 64105 </w:t>
      </w:r>
    </w:p>
    <w:p>
      <w:pPr>
        <w:pStyle w:val="TextBody"/>
        <w:spacing w:lineRule="auto" w:line="288" w:before="0" w:after="0"/>
        <w:jc w:val="center"/>
        <w:rPr>
          <w:rFonts w:ascii="Calibri;sans-serif" w:hAnsi="Calibri;sans-serif"/>
          <w:b w:val="false"/>
          <w:color w:val="000000"/>
          <w:sz w:val="16"/>
        </w:rPr>
      </w:pPr>
      <w:r>
        <w:rPr>
          <w:rFonts w:ascii="Calibri;sans-serif" w:hAnsi="Calibri;sans-serif"/>
          <w:b w:val="false"/>
          <w:color w:val="000000"/>
          <w:sz w:val="16"/>
        </w:rPr>
        <w:t>(Address of principal executive offices, including zip code)</w:t>
      </w:r>
    </w:p>
    <w:p>
      <w:pPr>
        <w:pStyle w:val="TextBody"/>
        <w:spacing w:lineRule="auto" w:line="288" w:before="60" w:after="283"/>
        <w:jc w:val="center"/>
        <w:rPr>
          <w:rFonts w:ascii="Calibri;sans-serif" w:hAnsi="Calibri;sans-serif"/>
          <w:b/>
          <w:color w:val="000000"/>
          <w:sz w:val="20"/>
        </w:rPr>
      </w:pPr>
      <w:r>
        <w:rPr>
          <w:rFonts w:ascii="Calibri;sans-serif" w:hAnsi="Calibri;sans-serif"/>
          <w:b/>
          <w:color w:val="000000"/>
          <w:sz w:val="20"/>
        </w:rPr>
        <w:t xml:space="preserve">(816) 854-3000 </w:t>
      </w:r>
    </w:p>
    <w:p>
      <w:pPr>
        <w:pStyle w:val="TextBody"/>
        <w:spacing w:lineRule="auto" w:line="288" w:before="0" w:after="0"/>
        <w:jc w:val="center"/>
        <w:rPr>
          <w:rFonts w:ascii="Calibri;sans-serif" w:hAnsi="Calibri;sans-serif"/>
          <w:b w:val="false"/>
          <w:color w:val="000000"/>
          <w:sz w:val="16"/>
        </w:rPr>
      </w:pPr>
      <w:r>
        <w:rPr>
          <w:rFonts w:ascii="Calibri;sans-serif" w:hAnsi="Calibri;sans-serif"/>
          <w:b w:val="false"/>
          <w:color w:val="000000"/>
          <w:sz w:val="16"/>
        </w:rPr>
        <w:t>(Registrant's telephone number, including area code)</w:t>
      </w:r>
    </w:p>
    <w:p>
      <w:pPr>
        <w:pStyle w:val="TextBody"/>
        <w:spacing w:lineRule="auto" w:line="288" w:before="60" w:after="283"/>
        <w:jc w:val="center"/>
        <w:rPr>
          <w:rFonts w:ascii="Calibri;sans-serif" w:hAnsi="Calibri;sans-serif"/>
          <w:b/>
          <w:color w:val="000000"/>
          <w:sz w:val="18"/>
        </w:rPr>
      </w:pPr>
      <w:r>
        <w:rPr>
          <w:rFonts w:ascii="Calibri;sans-serif" w:hAnsi="Calibri;sans-serif"/>
          <w:b/>
          <w:color w:val="000000"/>
          <w:sz w:val="18"/>
        </w:rPr>
        <w:t>Securities registered pursuant to Section 12(b) of the Act:</w:t>
      </w:r>
    </w:p>
    <w:tbl>
      <w:tblPr>
        <w:tblW w:w="7078" w:type="dxa"/>
        <w:jc w:val="left"/>
        <w:tblInd w:w="0" w:type="dxa"/>
        <w:tblCellMar>
          <w:top w:w="28" w:type="dxa"/>
          <w:left w:w="28" w:type="dxa"/>
          <w:bottom w:w="28" w:type="dxa"/>
          <w:right w:w="28" w:type="dxa"/>
        </w:tblCellMar>
      </w:tblPr>
      <w:tblGrid>
        <w:gridCol w:w="938"/>
        <w:gridCol w:w="823"/>
        <w:gridCol w:w="833"/>
        <w:gridCol w:w="434"/>
        <w:gridCol w:w="434"/>
        <w:gridCol w:w="436"/>
        <w:gridCol w:w="931"/>
        <w:gridCol w:w="931"/>
        <w:gridCol w:w="1318"/>
      </w:tblGrid>
      <w:tr>
        <w:trPr/>
        <w:tc>
          <w:tcPr>
            <w:tcW w:w="938" w:type="dxa"/>
            <w:tcBorders/>
            <w:shd w:fill="auto" w:val="clear"/>
            <w:vAlign w:val="center"/>
          </w:tcPr>
          <w:p>
            <w:pPr>
              <w:pStyle w:val="TableContents"/>
              <w:spacing w:before="0" w:after="283"/>
              <w:rPr>
                <w:sz w:val="4"/>
                <w:szCs w:val="4"/>
              </w:rPr>
            </w:pPr>
            <w:r>
              <w:rPr>
                <w:sz w:val="4"/>
                <w:szCs w:val="4"/>
              </w:rPr>
            </w:r>
          </w:p>
        </w:tc>
        <w:tc>
          <w:tcPr>
            <w:tcW w:w="823"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318"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color w:val="000000"/>
                <w:sz w:val="16"/>
              </w:rPr>
            </w:pPr>
            <w:r>
              <w:rPr>
                <w:rFonts w:ascii="Calibri;sans-serif" w:hAnsi="Calibri;sans-serif"/>
                <w:b/>
                <w:color w:val="000000"/>
                <w:sz w:val="16"/>
              </w:rPr>
              <w:t>Title of each class</w:t>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color w:val="000000"/>
                <w:sz w:val="16"/>
              </w:rPr>
            </w:pPr>
            <w:r>
              <w:rPr>
                <w:rFonts w:ascii="Calibri;sans-serif" w:hAnsi="Calibri;sans-serif"/>
                <w:b/>
                <w:color w:val="000000"/>
                <w:sz w:val="16"/>
              </w:rPr>
              <w:t>Trading Symbol(s)</w:t>
            </w:r>
          </w:p>
        </w:tc>
        <w:tc>
          <w:tcPr>
            <w:tcW w:w="31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color w:val="000000"/>
                <w:sz w:val="16"/>
              </w:rPr>
            </w:pPr>
            <w:r>
              <w:rPr>
                <w:rFonts w:ascii="Calibri;sans-serif" w:hAnsi="Calibri;sans-serif"/>
                <w:b/>
                <w:color w:val="000000"/>
                <w:sz w:val="16"/>
              </w:rPr>
              <w:t>Name of each exchange on which registered</w:t>
            </w:r>
          </w:p>
        </w:tc>
      </w:tr>
      <w:tr>
        <w:trPr/>
        <w:tc>
          <w:tcPr>
            <w:tcW w:w="25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Common Stock, without par value</w:t>
            </w:r>
          </w:p>
        </w:tc>
        <w:tc>
          <w:tcPr>
            <w:tcW w:w="13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HRB</w:t>
            </w:r>
          </w:p>
        </w:tc>
        <w:tc>
          <w:tcPr>
            <w:tcW w:w="31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New York Stock Exchange</w:t>
            </w:r>
          </w:p>
        </w:tc>
      </w:tr>
    </w:tbl>
    <w:p>
      <w:pPr>
        <w:pStyle w:val="TextBody"/>
        <w:spacing w:lineRule="auto" w:line="288" w:before="120" w:after="283"/>
        <w:jc w:val="both"/>
        <w:rPr>
          <w:rFonts w:ascii="Calibri;sans-serif" w:hAnsi="Calibri;sans-serif"/>
          <w:b w:val="false"/>
          <w:color w:val="000000"/>
          <w:sz w:val="18"/>
        </w:rPr>
      </w:pPr>
      <w:r>
        <w:rPr>
          <w:rFonts w:ascii="Calibri;sans-serif" w:hAnsi="Calibri;sans-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p>
      <w:pPr>
        <w:pStyle w:val="TextBody"/>
        <w:spacing w:lineRule="auto" w:line="288" w:before="60" w:after="283"/>
        <w:jc w:val="both"/>
        <w:rPr/>
      </w:pPr>
      <w:r>
        <w:rPr>
          <w:rFonts w:ascii="Calibri;sans-serif" w:hAnsi="Calibri;sans-serif"/>
          <w:b w:val="false"/>
          <w:color w:val="000000"/>
          <w:sz w:val="18"/>
        </w:rPr>
        <w:t xml:space="preserve">Yes </w:t>
      </w:r>
      <w:r>
        <w:rPr>
          <w:color w:val="000000"/>
        </w:rPr>
        <w:t>☑     </w:t>
      </w:r>
      <w:r>
        <w:rPr>
          <w:rFonts w:ascii="Calibri;sans-serif" w:hAnsi="Calibri;sans-serif"/>
          <w:b w:val="false"/>
          <w:color w:val="000000"/>
          <w:sz w:val="18"/>
        </w:rPr>
        <w:t xml:space="preserve">No </w:t>
      </w:r>
      <w:r>
        <w:rPr>
          <w:color w:val="000000"/>
        </w:rPr>
        <w:t>☐</w:t>
      </w:r>
    </w:p>
    <w:p>
      <w:pPr>
        <w:pStyle w:val="TextBody"/>
        <w:spacing w:lineRule="auto" w:line="288" w:before="120" w:after="283"/>
        <w:jc w:val="both"/>
        <w:rPr>
          <w:rFonts w:ascii="Calibri;sans-serif" w:hAnsi="Calibri;sans-serif"/>
          <w:b w:val="false"/>
          <w:color w:val="000000"/>
          <w:sz w:val="18"/>
        </w:rPr>
      </w:pPr>
      <w:r>
        <w:rPr>
          <w:rFonts w:ascii="Calibri;sans-serif" w:hAnsi="Calibri;sans-serif"/>
          <w:b w:val="false"/>
          <w:color w:val="000000"/>
          <w:sz w:val="18"/>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spacing w:lineRule="auto" w:line="288" w:before="60" w:after="283"/>
        <w:jc w:val="both"/>
        <w:rPr/>
      </w:pPr>
      <w:r>
        <w:rPr>
          <w:rFonts w:ascii="Calibri;sans-serif" w:hAnsi="Calibri;sans-serif"/>
          <w:b w:val="false"/>
          <w:color w:val="000000"/>
          <w:sz w:val="18"/>
        </w:rPr>
        <w:t xml:space="preserve">Yes </w:t>
      </w:r>
      <w:r>
        <w:rPr>
          <w:color w:val="000000"/>
        </w:rPr>
        <w:t>☑     </w:t>
      </w:r>
      <w:r>
        <w:rPr>
          <w:rFonts w:ascii="Calibri;sans-serif" w:hAnsi="Calibri;sans-serif"/>
          <w:b w:val="false"/>
          <w:color w:val="000000"/>
          <w:sz w:val="18"/>
        </w:rPr>
        <w:t xml:space="preserve">No </w:t>
      </w:r>
      <w:r>
        <w:rPr>
          <w:color w:val="000000"/>
        </w:rPr>
        <w:t>☐</w:t>
      </w:r>
    </w:p>
    <w:p>
      <w:pPr>
        <w:pStyle w:val="TextBody"/>
        <w:spacing w:lineRule="auto" w:line="288" w:before="120" w:after="283"/>
        <w:jc w:val="both"/>
        <w:rPr>
          <w:rFonts w:ascii="Calibri;sans-serif" w:hAnsi="Calibri;sans-serif"/>
          <w:b w:val="false"/>
          <w:color w:val="000000"/>
          <w:sz w:val="18"/>
        </w:rPr>
      </w:pPr>
      <w:r>
        <w:rPr>
          <w:rFonts w:ascii="Calibri;sans-serif" w:hAnsi="Calibri;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spacing w:lineRule="auto" w:line="288" w:before="120" w:after="283"/>
        <w:jc w:val="both"/>
        <w:rPr/>
      </w:pPr>
      <w:r>
        <w:rPr>
          <w:rFonts w:ascii="Calibri;sans-serif" w:hAnsi="Calibri;sans-serif"/>
          <w:b w:val="false"/>
          <w:color w:val="000000"/>
          <w:sz w:val="15"/>
        </w:rPr>
        <w:t xml:space="preserve">Large accelerated filer </w:t>
      </w:r>
      <w:r>
        <w:rPr>
          <w:color w:val="000000"/>
        </w:rPr>
        <w:t>☑           </w:t>
      </w:r>
      <w:r>
        <w:rPr>
          <w:rFonts w:ascii="Calibri;sans-serif" w:hAnsi="Calibri;sans-serif"/>
          <w:b w:val="false"/>
          <w:color w:val="000000"/>
          <w:sz w:val="15"/>
        </w:rPr>
        <w:t xml:space="preserve">Accelerated filer </w:t>
      </w:r>
      <w:r>
        <w:rPr>
          <w:color w:val="000000"/>
        </w:rPr>
        <w:t xml:space="preserve">☐         </w:t>
      </w:r>
      <w:r>
        <w:rPr>
          <w:rFonts w:ascii="Calibri;sans-serif" w:hAnsi="Calibri;sans-serif"/>
          <w:b w:val="false"/>
          <w:color w:val="000000"/>
          <w:sz w:val="15"/>
        </w:rPr>
        <w:t xml:space="preserve">Non-accelerated filer </w:t>
      </w:r>
      <w:r>
        <w:rPr>
          <w:color w:val="000000"/>
        </w:rPr>
        <w:t xml:space="preserve">☐          </w:t>
      </w:r>
      <w:r>
        <w:rPr>
          <w:rFonts w:ascii="Calibri;sans-serif" w:hAnsi="Calibri;sans-serif"/>
          <w:b w:val="false"/>
          <w:color w:val="000000"/>
          <w:sz w:val="15"/>
        </w:rPr>
        <w:t>Smaller reporting company </w:t>
      </w:r>
      <w:r>
        <w:rPr>
          <w:color w:val="000000"/>
        </w:rPr>
        <w:t xml:space="preserve">☐ </w:t>
      </w:r>
      <w:r>
        <w:rPr>
          <w:rFonts w:ascii="Calibri;sans-serif" w:hAnsi="Calibri;sans-serif"/>
          <w:b w:val="false"/>
          <w:color w:val="000000"/>
          <w:sz w:val="15"/>
        </w:rPr>
        <w:t xml:space="preserve">Emerging growth company </w:t>
      </w:r>
      <w:r>
        <w:rPr>
          <w:color w:val="000000"/>
        </w:rPr>
        <w:t xml:space="preserve">☐ </w:t>
      </w:r>
    </w:p>
    <w:p>
      <w:pPr>
        <w:pStyle w:val="TextBody"/>
        <w:spacing w:lineRule="auto" w:line="288" w:before="0" w:after="0"/>
        <w:jc w:val="both"/>
        <w:rPr>
          <w:color w:val="000000"/>
        </w:rPr>
      </w:pPr>
      <w:r>
        <w:rPr>
          <w:color w:val="000000"/>
        </w:rPr>
        <w:t>    </w:t>
      </w:r>
    </w:p>
    <w:p>
      <w:pPr>
        <w:pStyle w:val="TextBody"/>
        <w:spacing w:lineRule="auto" w:line="288" w:before="60" w:after="283"/>
        <w:jc w:val="both"/>
        <w:rPr/>
      </w:pPr>
      <w:r>
        <w:rPr>
          <w:rFonts w:ascii="Calibri;sans-serif" w:hAnsi="Calibri;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120" w:after="283"/>
        <w:jc w:val="both"/>
        <w:rPr>
          <w:rFonts w:ascii="Calibri;sans-serif" w:hAnsi="Calibri;sans-serif"/>
          <w:b w:val="false"/>
          <w:color w:val="000000"/>
          <w:sz w:val="18"/>
        </w:rPr>
      </w:pPr>
      <w:r>
        <w:rPr>
          <w:rFonts w:ascii="Calibri;sans-serif" w:hAnsi="Calibri;sans-serif"/>
          <w:b w:val="false"/>
          <w:color w:val="000000"/>
          <w:sz w:val="18"/>
        </w:rPr>
        <w:t xml:space="preserve">Indicate by check mark whether the registrant is a shell company (as defined in Rule 12b-2 of the Exchange Act). </w:t>
      </w:r>
    </w:p>
    <w:p>
      <w:pPr>
        <w:pStyle w:val="TextBody"/>
        <w:spacing w:lineRule="auto" w:line="288" w:before="60" w:after="283"/>
        <w:jc w:val="both"/>
        <w:rPr/>
      </w:pPr>
      <w:r>
        <w:rPr>
          <w:rFonts w:ascii="Calibri;sans-serif" w:hAnsi="Calibri;sans-serif"/>
          <w:b w:val="false"/>
          <w:color w:val="000000"/>
          <w:sz w:val="18"/>
        </w:rPr>
        <w:t xml:space="preserve">Yes </w:t>
      </w:r>
      <w:r>
        <w:rPr>
          <w:color w:val="000000"/>
        </w:rPr>
        <w:t>☐    </w:t>
      </w:r>
      <w:r>
        <w:rPr>
          <w:rFonts w:ascii="Calibri;sans-serif" w:hAnsi="Calibri;sans-serif"/>
          <w:b w:val="false"/>
          <w:color w:val="000000"/>
          <w:sz w:val="18"/>
        </w:rPr>
        <w:t>No  </w:t>
      </w:r>
      <w:r>
        <w:rPr>
          <w:color w:val="000000"/>
        </w:rPr>
        <w:t>☑</w:t>
      </w:r>
    </w:p>
    <w:p>
      <w:pPr>
        <w:pStyle w:val="TextBody"/>
        <w:spacing w:lineRule="auto" w:line="288" w:before="120" w:after="120"/>
        <w:jc w:val="both"/>
        <w:rPr>
          <w:rFonts w:ascii="Calibri;sans-serif" w:hAnsi="Calibri;sans-serif"/>
          <w:b w:val="false"/>
          <w:color w:val="000000"/>
          <w:sz w:val="18"/>
        </w:rPr>
      </w:pPr>
      <w:r>
        <w:rPr>
          <w:rFonts w:ascii="Calibri;sans-serif" w:hAnsi="Calibri;sans-serif"/>
          <w:b w:val="false"/>
          <w:color w:val="000000"/>
          <w:sz w:val="18"/>
        </w:rPr>
        <w:t>The number of shares outstanding of the registrant's Common Stock, without par value, at the close of business on April 28, 2023: 152,284,238 shares.</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16"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692265" cy="251460"/>
                <wp:effectExtent l="0" t="0" r="0" b="0"/>
                <wp:wrapNone/>
                <wp:docPr id="1" name="Frame1"/>
                <a:graphic xmlns:a="http://schemas.openxmlformats.org/drawingml/2006/main">
                  <a:graphicData uri="http://schemas.microsoft.com/office/word/2010/wordprocessingShape">
                    <wps:wsp>
                      <wps:cNvSpPr txBox="1"/>
                      <wps:spPr>
                        <a:xfrm>
                          <a:off x="0" y="0"/>
                          <a:ext cx="6692265" cy="251460"/>
                        </a:xfrm>
                        <a:prstGeom prst="rect"/>
                      </wps:spPr>
                      <wps:txbx>
                        <w:txbxContent>
                          <w:p>
                            <w:pPr>
                              <w:pStyle w:val="TextBody"/>
                              <w:spacing w:before="12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20" w:after="283"/>
                        <w:rPr/>
                      </w:pPr>
                      <w:r>
                        <w:rPr/>
                      </w:r>
                    </w:p>
                  </w:txbxContent>
                </v:textbox>
              </v:rect>
            </w:pict>
          </mc:Fallback>
        </mc:AlternateContent>
      </w:r>
    </w:p>
    <w:p>
      <w:pPr>
        <w:pStyle w:val="TextBody"/>
        <w:spacing w:lineRule="auto" w:line="288" w:before="120" w:after="283"/>
        <w:rPr/>
      </w:pPr>
      <w:hyperlink w:anchor="ica06acc7160d4977b3f034161052416e_7">
        <w:r>
          <w:rPr>
            <w:rStyle w:val="InternetLink"/>
            <w:rFonts w:ascii="Calibri;sans-serif" w:hAnsi="Calibri;sans-serif"/>
            <w:b w:val="false"/>
            <w:color w:val="0000FF"/>
            <w:sz w:val="18"/>
            <w:u w:val="single"/>
          </w:rPr>
          <w:t>Table of Contents</w:t>
        </w:r>
      </w:hyperlink>
    </w:p>
    <w:p>
      <w:pPr>
        <w:pStyle w:val="TextBody"/>
        <w:spacing w:before="100" w:after="283"/>
        <w:jc w:val="center"/>
        <w:rPr/>
      </w:pPr>
      <w:r>
        <w:rPr/>
      </w:r>
    </w:p>
    <w:p>
      <w:pPr>
        <w:pStyle w:val="TextBody"/>
        <w:spacing w:lineRule="auto" w:line="288" w:before="100" w:after="283"/>
        <w:jc w:val="center"/>
        <w:rPr>
          <w:rFonts w:ascii="Calibri;sans-serif" w:hAnsi="Calibri;sans-serif"/>
          <w:b/>
          <w:color w:val="000000"/>
          <w:sz w:val="24"/>
        </w:rPr>
      </w:pPr>
      <w:r>
        <w:rPr>
          <w:rFonts w:ascii="Calibri;sans-serif" w:hAnsi="Calibri;sans-serif"/>
          <w:b/>
          <w:color w:val="000000"/>
          <w:sz w:val="24"/>
        </w:rPr>
        <w:t xml:space="preserve">Form 10-Q for the Period ended March 31, 2023 </w:t>
      </w:r>
    </w:p>
    <w:p>
      <w:pPr>
        <w:pStyle w:val="TextBody"/>
        <w:spacing w:lineRule="auto" w:line="288" w:before="120" w:after="283"/>
        <w:jc w:val="center"/>
        <w:rPr>
          <w:rFonts w:ascii="Calibri;sans-serif" w:hAnsi="Calibri;sans-serif"/>
          <w:b/>
          <w:color w:val="000000"/>
          <w:sz w:val="24"/>
        </w:rPr>
      </w:pPr>
      <w:r>
        <w:rPr>
          <w:rFonts w:ascii="Calibri;sans-serif" w:hAnsi="Calibri;sans-serif"/>
          <w:b/>
          <w:color w:val="000000"/>
          <w:sz w:val="24"/>
        </w:rPr>
        <w:t>Table of Contents</w:t>
      </w:r>
    </w:p>
    <w:tbl>
      <w:tblPr>
        <w:tblW w:w="9976" w:type="dxa"/>
        <w:jc w:val="left"/>
        <w:tblInd w:w="0" w:type="dxa"/>
        <w:tblCellMar>
          <w:top w:w="28" w:type="dxa"/>
          <w:left w:w="28" w:type="dxa"/>
          <w:bottom w:w="28" w:type="dxa"/>
          <w:right w:w="28" w:type="dxa"/>
        </w:tblCellMar>
      </w:tblPr>
      <w:tblGrid>
        <w:gridCol w:w="342"/>
        <w:gridCol w:w="301"/>
        <w:gridCol w:w="303"/>
        <w:gridCol w:w="2871"/>
        <w:gridCol w:w="2871"/>
        <w:gridCol w:w="2897"/>
        <w:gridCol w:w="114"/>
        <w:gridCol w:w="114"/>
        <w:gridCol w:w="163"/>
      </w:tblGrid>
      <w:tr>
        <w:trPr/>
        <w:tc>
          <w:tcPr>
            <w:tcW w:w="342"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2871" w:type="dxa"/>
            <w:tcBorders/>
            <w:shd w:fill="auto" w:val="clear"/>
            <w:vAlign w:val="center"/>
          </w:tcPr>
          <w:p>
            <w:pPr>
              <w:pStyle w:val="TableContents"/>
              <w:spacing w:before="0" w:after="283"/>
              <w:rPr>
                <w:sz w:val="4"/>
                <w:szCs w:val="4"/>
              </w:rPr>
            </w:pPr>
            <w:r>
              <w:rPr>
                <w:sz w:val="4"/>
                <w:szCs w:val="4"/>
              </w:rPr>
            </w:r>
          </w:p>
        </w:tc>
        <w:tc>
          <w:tcPr>
            <w:tcW w:w="2871" w:type="dxa"/>
            <w:tcBorders/>
            <w:shd w:fill="auto" w:val="clear"/>
            <w:vAlign w:val="center"/>
          </w:tcPr>
          <w:p>
            <w:pPr>
              <w:pStyle w:val="TableContents"/>
              <w:spacing w:before="0" w:after="283"/>
              <w:rPr>
                <w:sz w:val="4"/>
                <w:szCs w:val="4"/>
              </w:rPr>
            </w:pPr>
            <w:r>
              <w:rPr>
                <w:sz w:val="4"/>
                <w:szCs w:val="4"/>
              </w:rPr>
            </w:r>
          </w:p>
        </w:tc>
        <w:tc>
          <w:tcPr>
            <w:tcW w:w="2897"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ca06acc7160d4977b3f034161052416e_10">
              <w:r>
                <w:rPr>
                  <w:rStyle w:val="InternetLink"/>
                  <w:rFonts w:ascii="Calibri;sans-serif" w:hAnsi="Calibri;sans-serif"/>
                  <w:b/>
                  <w:strike w:val="false"/>
                  <w:dstrike w:val="false"/>
                  <w:color w:val="000000"/>
                  <w:sz w:val="24"/>
                  <w:u w:val="none"/>
                  <w:effect w:val="none"/>
                </w:rPr>
                <w:t>PART I</w:t>
              </w:r>
            </w:hyperlink>
          </w:p>
        </w:tc>
        <w:tc>
          <w:tcPr>
            <w:tcW w:w="3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a06acc7160d4977b3f034161052416e_13">
              <w:r>
                <w:rPr>
                  <w:rStyle w:val="InternetLink"/>
                  <w:rFonts w:ascii="Calibri;sans-serif" w:hAnsi="Calibri;sans-serif"/>
                  <w:b w:val="false"/>
                  <w:color w:val="0000FF"/>
                  <w:sz w:val="24"/>
                  <w:u w:val="single"/>
                </w:rPr>
                <w:t>Item 1.</w:t>
              </w:r>
            </w:hyperlink>
          </w:p>
        </w:tc>
        <w:tc>
          <w:tcPr>
            <w:tcW w:w="863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270"/>
              <w:jc w:val="left"/>
              <w:rPr/>
            </w:pPr>
            <w:hyperlink w:anchor="ica06acc7160d4977b3f034161052416e_16">
              <w:r>
                <w:rPr>
                  <w:rStyle w:val="InternetLink"/>
                  <w:rFonts w:ascii="Calibri;sans-serif" w:hAnsi="Calibri;sans-serif"/>
                  <w:b w:val="false"/>
                  <w:color w:val="0000FF"/>
                  <w:sz w:val="24"/>
                  <w:u w:val="single"/>
                </w:rPr>
                <w:t>Consolidated Statements of Operations and Comprehensive Income</w:t>
              </w:r>
            </w:hyperlink>
          </w:p>
          <w:p>
            <w:pPr>
              <w:pStyle w:val="TableContents"/>
              <w:spacing w:lineRule="auto" w:line="240" w:before="0" w:after="0"/>
              <w:ind w:left="0" w:right="0" w:hanging="270"/>
              <w:jc w:val="left"/>
              <w:rPr/>
            </w:pPr>
            <w:r>
              <w:rPr>
                <w:color w:val="000000"/>
              </w:rPr>
              <w:t>    </w:t>
            </w:r>
            <w:hyperlink w:anchor="ica06acc7160d4977b3f034161052416e_16">
              <w:r>
                <w:rPr>
                  <w:rStyle w:val="InternetLink"/>
                  <w:rFonts w:ascii="Calibri;sans-serif" w:hAnsi="Calibri;sans-serif"/>
                  <w:b w:val="false"/>
                  <w:color w:val="0000FF"/>
                  <w:sz w:val="24"/>
                  <w:u w:val="single"/>
                </w:rPr>
                <w:t>Three and nine months ended March 31, 2023 and 2022</w:t>
              </w:r>
            </w:hyperlink>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ca06acc7160d4977b3f034161052416e_13">
              <w:r>
                <w:rPr>
                  <w:rStyle w:val="InternetLink"/>
                  <w:rFonts w:ascii="Calibri;sans-serif" w:hAnsi="Calibri;sans-serif"/>
                  <w:b w:val="false"/>
                  <w:color w:val="0000FF"/>
                  <w:sz w:val="24"/>
                  <w:u w:val="single"/>
                </w:rPr>
                <w:t>1</w:t>
              </w:r>
            </w:hyperlink>
          </w:p>
        </w:tc>
      </w:tr>
      <w:tr>
        <w:trPr/>
        <w:tc>
          <w:tcPr>
            <w:tcW w:w="9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270"/>
              <w:jc w:val="left"/>
              <w:rPr/>
            </w:pPr>
            <w:hyperlink w:anchor="ica06acc7160d4977b3f034161052416e_19">
              <w:r>
                <w:rPr>
                  <w:rStyle w:val="InternetLink"/>
                  <w:rFonts w:ascii="Calibri;sans-serif" w:hAnsi="Calibri;sans-serif"/>
                  <w:b w:val="false"/>
                  <w:color w:val="0000FF"/>
                  <w:sz w:val="24"/>
                  <w:u w:val="single"/>
                </w:rPr>
                <w:t xml:space="preserve">Consolidated Balance Sheets </w:t>
              </w:r>
            </w:hyperlink>
          </w:p>
          <w:p>
            <w:pPr>
              <w:pStyle w:val="TableContents"/>
              <w:spacing w:lineRule="auto" w:line="240" w:before="0" w:after="0"/>
              <w:ind w:left="0" w:right="0" w:hanging="270"/>
              <w:jc w:val="left"/>
              <w:rPr/>
            </w:pPr>
            <w:r>
              <w:rPr>
                <w:color w:val="000000"/>
              </w:rPr>
              <w:t>         </w:t>
            </w:r>
            <w:hyperlink w:anchor="ica06acc7160d4977b3f034161052416e_19">
              <w:r>
                <w:rPr>
                  <w:rStyle w:val="InternetLink"/>
                </w:rPr>
                <w:t xml:space="preserve">As of </w:t>
              </w:r>
            </w:hyperlink>
            <w:hyperlink w:anchor="ica06acc7160d4977b3f034161052416e_19">
              <w:r>
                <w:rPr>
                  <w:rStyle w:val="InternetLink"/>
                </w:rPr>
                <w:t>M</w:t>
              </w:r>
            </w:hyperlink>
            <w:hyperlink w:anchor="ica06acc7160d4977b3f034161052416e_19">
              <w:r>
                <w:rPr>
                  <w:rStyle w:val="InternetLink"/>
                </w:rPr>
                <w:t>a</w:t>
              </w:r>
            </w:hyperlink>
            <w:hyperlink w:anchor="ica06acc7160d4977b3f034161052416e_19">
              <w:r>
                <w:rPr>
                  <w:rStyle w:val="InternetLink"/>
                </w:rPr>
                <w:t>rch</w:t>
              </w:r>
            </w:hyperlink>
            <w:hyperlink w:anchor="ica06acc7160d4977b3f034161052416e_19">
              <w:r>
                <w:rPr>
                  <w:rStyle w:val="InternetLink"/>
                </w:rPr>
                <w:t xml:space="preserve"> 31, 202</w:t>
              </w:r>
            </w:hyperlink>
            <w:hyperlink w:anchor="ica06acc7160d4977b3f034161052416e_19">
              <w:r>
                <w:rPr>
                  <w:rStyle w:val="InternetLink"/>
                </w:rPr>
                <w:t>3</w:t>
              </w:r>
            </w:hyperlink>
            <w:hyperlink w:anchor="ica06acc7160d4977b3f034161052416e_19">
              <w:r>
                <w:rPr>
                  <w:rStyle w:val="InternetLink"/>
                </w:rPr>
                <w:t xml:space="preserve"> and June 30, 2022</w:t>
              </w:r>
            </w:hyperlink>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ca06acc7160d4977b3f034161052416e_19">
              <w:r>
                <w:rPr>
                  <w:rStyle w:val="InternetLink"/>
                  <w:rFonts w:ascii="Calibri;sans-serif" w:hAnsi="Calibri;sans-serif"/>
                  <w:b w:val="false"/>
                  <w:color w:val="0000FF"/>
                  <w:sz w:val="24"/>
                  <w:u w:val="single"/>
                </w:rPr>
                <w:t>2</w:t>
              </w:r>
            </w:hyperlink>
          </w:p>
        </w:tc>
      </w:tr>
      <w:tr>
        <w:trPr/>
        <w:tc>
          <w:tcPr>
            <w:tcW w:w="9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9"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ca06acc7160d4977b3f034161052416e_25">
              <w:r>
                <w:rPr>
                  <w:rStyle w:val="InternetLink"/>
                  <w:rFonts w:ascii="Calibri;sans-serif" w:hAnsi="Calibri;sans-serif"/>
                  <w:b w:val="false"/>
                  <w:color w:val="0000FF"/>
                  <w:sz w:val="24"/>
                  <w:u w:val="single"/>
                </w:rPr>
                <w:t xml:space="preserve">Consolidated Statements of Cash Flows </w:t>
              </w:r>
            </w:hyperlink>
          </w:p>
          <w:p>
            <w:pPr>
              <w:pStyle w:val="TableContents"/>
              <w:spacing w:lineRule="auto" w:line="240" w:before="0" w:after="0"/>
              <w:ind w:left="0" w:right="0" w:hanging="270"/>
              <w:jc w:val="left"/>
              <w:rPr/>
            </w:pPr>
            <w:r>
              <w:rPr>
                <w:color w:val="000000"/>
              </w:rPr>
              <w:t>    </w:t>
            </w:r>
            <w:hyperlink w:anchor="ica06acc7160d4977b3f034161052416e_25">
              <w:r>
                <w:rPr>
                  <w:rStyle w:val="InternetLink"/>
                  <w:rFonts w:ascii="Calibri;sans-serif" w:hAnsi="Calibri;sans-serif"/>
                  <w:b w:val="false"/>
                  <w:color w:val="0000FF"/>
                  <w:sz w:val="24"/>
                  <w:u w:val="single"/>
                </w:rPr>
                <w:t>Nine months ended March 31, 2023 and 2022</w:t>
              </w:r>
            </w:hyperlink>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ca06acc7160d4977b3f034161052416e_25">
              <w:r>
                <w:rPr>
                  <w:rStyle w:val="InternetLink"/>
                  <w:rFonts w:ascii="Calibri;sans-serif" w:hAnsi="Calibri;sans-serif"/>
                  <w:b w:val="false"/>
                  <w:color w:val="0000FF"/>
                  <w:sz w:val="24"/>
                  <w:u w:val="single"/>
                </w:rPr>
                <w:t>3</w:t>
              </w:r>
            </w:hyperlink>
          </w:p>
        </w:tc>
      </w:tr>
      <w:tr>
        <w:trPr/>
        <w:tc>
          <w:tcPr>
            <w:tcW w:w="9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hyperlink w:anchor="ica06acc7160d4977b3f034161052416e_28">
              <w:r>
                <w:rPr>
                  <w:rStyle w:val="InternetLink"/>
                  <w:rFonts w:ascii="Calibri;sans-serif" w:hAnsi="Calibri;sans-serif"/>
                  <w:b w:val="false"/>
                  <w:color w:val="0000FF"/>
                  <w:sz w:val="24"/>
                  <w:u w:val="single"/>
                </w:rPr>
                <w:t xml:space="preserve">Consolidated Statements of Stockholders' Equity </w:t>
              </w:r>
            </w:hyperlink>
          </w:p>
          <w:p>
            <w:pPr>
              <w:pStyle w:val="TableContents"/>
              <w:spacing w:lineRule="auto" w:line="240" w:before="0" w:after="0"/>
              <w:ind w:left="0" w:right="0" w:hanging="180"/>
              <w:jc w:val="left"/>
              <w:rPr/>
            </w:pPr>
            <w:r>
              <w:rPr>
                <w:color w:val="000000"/>
              </w:rPr>
              <w:t>    </w:t>
            </w:r>
            <w:hyperlink w:anchor="ica06acc7160d4977b3f034161052416e_28">
              <w:r>
                <w:rPr>
                  <w:rStyle w:val="InternetLink"/>
                  <w:rFonts w:ascii="Calibri;sans-serif" w:hAnsi="Calibri;sans-serif"/>
                  <w:b w:val="false"/>
                  <w:color w:val="0000FF"/>
                  <w:sz w:val="24"/>
                  <w:u w:val="single"/>
                </w:rPr>
                <w:t>Three and nine months ended March 31, 2023 and 2022</w:t>
              </w:r>
            </w:hyperlink>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ca06acc7160d4977b3f034161052416e_28">
              <w:r>
                <w:rPr>
                  <w:rStyle w:val="InternetLink"/>
                  <w:rFonts w:ascii="Calibri;sans-serif" w:hAnsi="Calibri;sans-serif"/>
                  <w:b w:val="false"/>
                  <w:color w:val="0000FF"/>
                  <w:sz w:val="24"/>
                  <w:u w:val="single"/>
                </w:rPr>
                <w:t>4</w:t>
              </w:r>
            </w:hyperlink>
          </w:p>
        </w:tc>
      </w:tr>
      <w:tr>
        <w:trPr/>
        <w:tc>
          <w:tcPr>
            <w:tcW w:w="9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a06acc7160d4977b3f034161052416e_31">
              <w:r>
                <w:rPr>
                  <w:rStyle w:val="InternetLink"/>
                  <w:rFonts w:ascii="Calibri;sans-serif" w:hAnsi="Calibri;sans-serif"/>
                  <w:b w:val="false"/>
                  <w:color w:val="0000FF"/>
                  <w:sz w:val="24"/>
                  <w:u w:val="single"/>
                </w:rPr>
                <w:t>Notes to Consolidated Financial Statements</w:t>
              </w:r>
            </w:hyperlink>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ca06acc7160d4977b3f034161052416e_31">
              <w:r>
                <w:rPr>
                  <w:rStyle w:val="InternetLink"/>
                  <w:rFonts w:ascii="Calibri;sans-serif" w:hAnsi="Calibri;sans-serif"/>
                  <w:b w:val="false"/>
                  <w:color w:val="0000FF"/>
                  <w:sz w:val="24"/>
                  <w:u w:val="single"/>
                </w:rPr>
                <w:t>6</w:t>
              </w:r>
            </w:hyperlink>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a06acc7160d4977b3f034161052416e_64">
              <w:r>
                <w:rPr>
                  <w:rStyle w:val="InternetLink"/>
                  <w:rFonts w:ascii="Calibri;sans-serif" w:hAnsi="Calibri;sans-serif"/>
                  <w:b w:val="false"/>
                  <w:color w:val="0000FF"/>
                  <w:sz w:val="24"/>
                  <w:u w:val="single"/>
                </w:rPr>
                <w:t>Item 2.</w:t>
              </w:r>
            </w:hyperlink>
          </w:p>
        </w:tc>
        <w:tc>
          <w:tcPr>
            <w:tcW w:w="8639"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270"/>
              <w:jc w:val="left"/>
              <w:rPr/>
            </w:pPr>
            <w:hyperlink w:anchor="ica06acc7160d4977b3f034161052416e_64">
              <w:r>
                <w:rPr>
                  <w:rStyle w:val="InternetLink"/>
                  <w:rFonts w:ascii="Calibri;sans-serif" w:hAnsi="Calibri;sans-serif"/>
                  <w:b w:val="false"/>
                  <w:color w:val="0000FF"/>
                  <w:sz w:val="24"/>
                  <w:u w:val="single"/>
                </w:rPr>
                <w:t>Management's Discussion and Analysis of Financial Condition and Results of Operations</w:t>
              </w:r>
            </w:hyperlink>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ca06acc7160d4977b3f034161052416e_64">
              <w:r>
                <w:rPr>
                  <w:rStyle w:val="InternetLink"/>
                  <w:rFonts w:ascii="Calibri;sans-serif" w:hAnsi="Calibri;sans-serif"/>
                  <w:b w:val="false"/>
                  <w:color w:val="0000FF"/>
                  <w:sz w:val="24"/>
                  <w:u w:val="single"/>
                </w:rPr>
                <w:t>16</w:t>
              </w:r>
            </w:hyperlink>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a06acc7160d4977b3f034161052416e_88">
              <w:r>
                <w:rPr>
                  <w:rStyle w:val="InternetLink"/>
                  <w:rFonts w:ascii="Calibri;sans-serif" w:hAnsi="Calibri;sans-serif"/>
                  <w:b w:val="false"/>
                  <w:color w:val="0000FF"/>
                  <w:sz w:val="24"/>
                  <w:u w:val="single"/>
                </w:rPr>
                <w:t>Item 3.</w:t>
              </w:r>
            </w:hyperlink>
          </w:p>
        </w:tc>
        <w:tc>
          <w:tcPr>
            <w:tcW w:w="86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a06acc7160d4977b3f034161052416e_88">
              <w:r>
                <w:rPr>
                  <w:rStyle w:val="InternetLink"/>
                  <w:rFonts w:ascii="Calibri;sans-serif" w:hAnsi="Calibri;sans-serif"/>
                  <w:b w:val="false"/>
                  <w:color w:val="0000FF"/>
                  <w:sz w:val="24"/>
                  <w:u w:val="single"/>
                </w:rPr>
                <w:t>Quantitative and Qualitative Disclosures About Market Risk</w:t>
              </w:r>
            </w:hyperlink>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ca06acc7160d4977b3f034161052416e_88">
              <w:r>
                <w:rPr>
                  <w:rStyle w:val="InternetLink"/>
                  <w:rFonts w:ascii="Calibri;sans-serif" w:hAnsi="Calibri;sans-serif"/>
                  <w:b w:val="false"/>
                  <w:color w:val="0000FF"/>
                  <w:sz w:val="24"/>
                  <w:u w:val="single"/>
                </w:rPr>
                <w:t>26</w:t>
              </w:r>
            </w:hyperlink>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a06acc7160d4977b3f034161052416e_91">
              <w:r>
                <w:rPr>
                  <w:rStyle w:val="InternetLink"/>
                  <w:rFonts w:ascii="Calibri;sans-serif" w:hAnsi="Calibri;sans-serif"/>
                  <w:b w:val="false"/>
                  <w:color w:val="0000FF"/>
                  <w:sz w:val="24"/>
                  <w:u w:val="single"/>
                </w:rPr>
                <w:t>Item 4.</w:t>
              </w:r>
            </w:hyperlink>
          </w:p>
        </w:tc>
        <w:tc>
          <w:tcPr>
            <w:tcW w:w="86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a06acc7160d4977b3f034161052416e_91">
              <w:r>
                <w:rPr>
                  <w:rStyle w:val="InternetLink"/>
                  <w:rFonts w:ascii="Calibri;sans-serif" w:hAnsi="Calibri;sans-serif"/>
                  <w:b w:val="false"/>
                  <w:color w:val="0000FF"/>
                  <w:sz w:val="24"/>
                  <w:u w:val="single"/>
                </w:rPr>
                <w:t>Controls and Procedures</w:t>
              </w:r>
            </w:hyperlink>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ca06acc7160d4977b3f034161052416e_91">
              <w:r>
                <w:rPr>
                  <w:rStyle w:val="InternetLink"/>
                  <w:rFonts w:ascii="Calibri;sans-serif" w:hAnsi="Calibri;sans-serif"/>
                  <w:b w:val="false"/>
                  <w:color w:val="0000FF"/>
                  <w:sz w:val="24"/>
                  <w:u w:val="single"/>
                </w:rPr>
                <w:t>26</w:t>
              </w:r>
            </w:hyperlink>
          </w:p>
        </w:tc>
      </w:tr>
      <w:tr>
        <w:trPr/>
        <w:tc>
          <w:tcPr>
            <w:tcW w:w="9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9"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ca06acc7160d4977b3f034161052416e_94">
              <w:r>
                <w:rPr>
                  <w:rStyle w:val="InternetLink"/>
                  <w:rFonts w:ascii="Calibri;sans-serif" w:hAnsi="Calibri;sans-serif"/>
                  <w:b/>
                  <w:strike w:val="false"/>
                  <w:dstrike w:val="false"/>
                  <w:color w:val="000000"/>
                  <w:sz w:val="24"/>
                  <w:u w:val="none"/>
                  <w:effect w:val="none"/>
                </w:rPr>
                <w:t>PART II</w:t>
              </w:r>
            </w:hyperlink>
          </w:p>
        </w:tc>
        <w:tc>
          <w:tcPr>
            <w:tcW w:w="3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a06acc7160d4977b3f034161052416e_97">
              <w:r>
                <w:rPr>
                  <w:rStyle w:val="InternetLink"/>
                  <w:rFonts w:ascii="Calibri;sans-serif" w:hAnsi="Calibri;sans-serif"/>
                  <w:b w:val="false"/>
                  <w:color w:val="0000FF"/>
                  <w:sz w:val="24"/>
                  <w:u w:val="single"/>
                </w:rPr>
                <w:t>Item 1.</w:t>
              </w:r>
            </w:hyperlink>
          </w:p>
        </w:tc>
        <w:tc>
          <w:tcPr>
            <w:tcW w:w="86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a06acc7160d4977b3f034161052416e_97">
              <w:r>
                <w:rPr>
                  <w:rStyle w:val="InternetLink"/>
                  <w:rFonts w:ascii="Calibri;sans-serif" w:hAnsi="Calibri;sans-serif"/>
                  <w:b w:val="false"/>
                  <w:color w:val="0000FF"/>
                  <w:sz w:val="24"/>
                  <w:u w:val="single"/>
                </w:rPr>
                <w:t>Legal Proceedings</w:t>
              </w:r>
            </w:hyperlink>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ca06acc7160d4977b3f034161052416e_97">
              <w:r>
                <w:rPr>
                  <w:rStyle w:val="InternetLink"/>
                  <w:rFonts w:ascii="Calibri;sans-serif" w:hAnsi="Calibri;sans-serif"/>
                  <w:b w:val="false"/>
                  <w:color w:val="0000FF"/>
                  <w:sz w:val="24"/>
                  <w:u w:val="single"/>
                </w:rPr>
                <w:t>27</w:t>
              </w:r>
            </w:hyperlink>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a06acc7160d4977b3f034161052416e_100">
              <w:r>
                <w:rPr>
                  <w:rStyle w:val="InternetLink"/>
                  <w:rFonts w:ascii="Calibri;sans-serif" w:hAnsi="Calibri;sans-serif"/>
                  <w:b w:val="false"/>
                  <w:color w:val="0000FF"/>
                  <w:sz w:val="24"/>
                  <w:u w:val="single"/>
                </w:rPr>
                <w:t>Item 1A.</w:t>
              </w:r>
            </w:hyperlink>
          </w:p>
        </w:tc>
        <w:tc>
          <w:tcPr>
            <w:tcW w:w="86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a06acc7160d4977b3f034161052416e_100">
              <w:r>
                <w:rPr>
                  <w:rStyle w:val="InternetLink"/>
                  <w:rFonts w:ascii="Calibri;sans-serif" w:hAnsi="Calibri;sans-serif"/>
                  <w:b w:val="false"/>
                  <w:color w:val="0000FF"/>
                  <w:sz w:val="24"/>
                  <w:u w:val="single"/>
                </w:rPr>
                <w:t>Risk Factors</w:t>
              </w:r>
            </w:hyperlink>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ca06acc7160d4977b3f034161052416e_100">
              <w:r>
                <w:rPr>
                  <w:rStyle w:val="InternetLink"/>
                  <w:rFonts w:ascii="Calibri;sans-serif" w:hAnsi="Calibri;sans-serif"/>
                  <w:b w:val="false"/>
                  <w:color w:val="0000FF"/>
                  <w:sz w:val="24"/>
                  <w:u w:val="single"/>
                </w:rPr>
                <w:t>27</w:t>
              </w:r>
            </w:hyperlink>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a06acc7160d4977b3f034161052416e_103">
              <w:r>
                <w:rPr>
                  <w:rStyle w:val="InternetLink"/>
                  <w:rFonts w:ascii="Calibri;sans-serif" w:hAnsi="Calibri;sans-serif"/>
                  <w:b w:val="false"/>
                  <w:color w:val="0000FF"/>
                  <w:sz w:val="24"/>
                  <w:u w:val="single"/>
                </w:rPr>
                <w:t>Item 2.</w:t>
              </w:r>
            </w:hyperlink>
          </w:p>
        </w:tc>
        <w:tc>
          <w:tcPr>
            <w:tcW w:w="86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a06acc7160d4977b3f034161052416e_103">
              <w:r>
                <w:rPr>
                  <w:rStyle w:val="InternetLink"/>
                  <w:rFonts w:ascii="Calibri;sans-serif" w:hAnsi="Calibri;sans-serif"/>
                  <w:b w:val="false"/>
                  <w:color w:val="0000FF"/>
                  <w:sz w:val="24"/>
                  <w:u w:val="single"/>
                </w:rPr>
                <w:t>Unregistered Sales of Equity Securities and Use of Proceeds</w:t>
              </w:r>
            </w:hyperlink>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ca06acc7160d4977b3f034161052416e_103">
              <w:r>
                <w:rPr>
                  <w:rStyle w:val="InternetLink"/>
                  <w:rFonts w:ascii="Calibri;sans-serif" w:hAnsi="Calibri;sans-serif"/>
                  <w:b w:val="false"/>
                  <w:color w:val="0000FF"/>
                  <w:sz w:val="24"/>
                  <w:u w:val="single"/>
                </w:rPr>
                <w:t>27</w:t>
              </w:r>
            </w:hyperlink>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a06acc7160d4977b3f034161052416e_106">
              <w:r>
                <w:rPr>
                  <w:rStyle w:val="InternetLink"/>
                  <w:rFonts w:ascii="Calibri;sans-serif" w:hAnsi="Calibri;sans-serif"/>
                  <w:b w:val="false"/>
                  <w:color w:val="0000FF"/>
                  <w:sz w:val="24"/>
                  <w:u w:val="single"/>
                </w:rPr>
                <w:t>Item 3.</w:t>
              </w:r>
            </w:hyperlink>
          </w:p>
        </w:tc>
        <w:tc>
          <w:tcPr>
            <w:tcW w:w="86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a06acc7160d4977b3f034161052416e_106">
              <w:r>
                <w:rPr>
                  <w:rStyle w:val="InternetLink"/>
                  <w:rFonts w:ascii="Calibri;sans-serif" w:hAnsi="Calibri;sans-serif"/>
                  <w:b w:val="false"/>
                  <w:color w:val="0000FF"/>
                  <w:sz w:val="24"/>
                  <w:u w:val="single"/>
                </w:rPr>
                <w:t>Defaults Upon Senior Securities</w:t>
              </w:r>
            </w:hyperlink>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ca06acc7160d4977b3f034161052416e_106">
              <w:r>
                <w:rPr>
                  <w:rStyle w:val="InternetLink"/>
                  <w:rFonts w:ascii="Calibri;sans-serif" w:hAnsi="Calibri;sans-serif"/>
                  <w:b w:val="false"/>
                  <w:color w:val="0000FF"/>
                  <w:sz w:val="24"/>
                  <w:u w:val="single"/>
                </w:rPr>
                <w:t>27</w:t>
              </w:r>
            </w:hyperlink>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a06acc7160d4977b3f034161052416e_109">
              <w:r>
                <w:rPr>
                  <w:rStyle w:val="InternetLink"/>
                  <w:rFonts w:ascii="Calibri;sans-serif" w:hAnsi="Calibri;sans-serif"/>
                  <w:b w:val="false"/>
                  <w:color w:val="0000FF"/>
                  <w:sz w:val="24"/>
                  <w:u w:val="single"/>
                </w:rPr>
                <w:t>Item 4.</w:t>
              </w:r>
            </w:hyperlink>
          </w:p>
        </w:tc>
        <w:tc>
          <w:tcPr>
            <w:tcW w:w="86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a06acc7160d4977b3f034161052416e_109">
              <w:r>
                <w:rPr>
                  <w:rStyle w:val="InternetLink"/>
                  <w:rFonts w:ascii="Calibri;sans-serif" w:hAnsi="Calibri;sans-serif"/>
                  <w:b w:val="false"/>
                  <w:color w:val="0000FF"/>
                  <w:sz w:val="24"/>
                  <w:u w:val="single"/>
                </w:rPr>
                <w:t>Mine Safety Disclosures</w:t>
              </w:r>
            </w:hyperlink>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ca06acc7160d4977b3f034161052416e_109">
              <w:r>
                <w:rPr>
                  <w:rStyle w:val="InternetLink"/>
                  <w:rFonts w:ascii="Calibri;sans-serif" w:hAnsi="Calibri;sans-serif"/>
                  <w:b w:val="false"/>
                  <w:color w:val="0000FF"/>
                  <w:sz w:val="24"/>
                  <w:u w:val="single"/>
                </w:rPr>
                <w:t>27</w:t>
              </w:r>
            </w:hyperlink>
          </w:p>
        </w:tc>
      </w:tr>
      <w:tr>
        <w:trPr/>
        <w:tc>
          <w:tcPr>
            <w:tcW w:w="94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a06acc7160d4977b3f034161052416e_112">
              <w:r>
                <w:rPr>
                  <w:rStyle w:val="InternetLink"/>
                  <w:rFonts w:ascii="Calibri;sans-serif" w:hAnsi="Calibri;sans-serif"/>
                  <w:b w:val="false"/>
                  <w:color w:val="0000FF"/>
                  <w:sz w:val="24"/>
                  <w:u w:val="single"/>
                </w:rPr>
                <w:t>Item 5.</w:t>
              </w:r>
            </w:hyperlink>
          </w:p>
        </w:tc>
        <w:tc>
          <w:tcPr>
            <w:tcW w:w="86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a06acc7160d4977b3f034161052416e_112">
              <w:r>
                <w:rPr>
                  <w:rStyle w:val="InternetLink"/>
                  <w:rFonts w:ascii="Calibri;sans-serif" w:hAnsi="Calibri;sans-serif"/>
                  <w:b w:val="false"/>
                  <w:color w:val="0000FF"/>
                  <w:sz w:val="24"/>
                  <w:u w:val="single"/>
                </w:rPr>
                <w:t>Other Information</w:t>
              </w:r>
            </w:hyperlink>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ca06acc7160d4977b3f034161052416e_112">
              <w:r>
                <w:rPr>
                  <w:rStyle w:val="InternetLink"/>
                  <w:rFonts w:ascii="Calibri;sans-serif" w:hAnsi="Calibri;sans-serif"/>
                  <w:b w:val="false"/>
                  <w:color w:val="0000FF"/>
                  <w:sz w:val="24"/>
                  <w:u w:val="single"/>
                </w:rPr>
                <w:t>27</w:t>
              </w:r>
            </w:hyperlink>
          </w:p>
        </w:tc>
      </w:tr>
      <w:tr>
        <w:trPr/>
        <w:tc>
          <w:tcPr>
            <w:tcW w:w="94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a06acc7160d4977b3f034161052416e_115">
              <w:r>
                <w:rPr>
                  <w:rStyle w:val="InternetLink"/>
                  <w:rFonts w:ascii="Calibri;sans-serif" w:hAnsi="Calibri;sans-serif"/>
                  <w:b w:val="false"/>
                  <w:color w:val="0000FF"/>
                  <w:sz w:val="24"/>
                  <w:u w:val="single"/>
                </w:rPr>
                <w:t>Item 6.</w:t>
              </w:r>
            </w:hyperlink>
          </w:p>
        </w:tc>
        <w:tc>
          <w:tcPr>
            <w:tcW w:w="863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ca06acc7160d4977b3f034161052416e_115">
              <w:r>
                <w:rPr>
                  <w:rStyle w:val="InternetLink"/>
                  <w:rFonts w:ascii="Calibri;sans-serif" w:hAnsi="Calibri;sans-serif"/>
                  <w:b w:val="false"/>
                  <w:color w:val="0000FF"/>
                  <w:sz w:val="24"/>
                  <w:u w:val="single"/>
                </w:rPr>
                <w:t>Exhibits</w:t>
              </w:r>
            </w:hyperlink>
          </w:p>
        </w:tc>
        <w:tc>
          <w:tcPr>
            <w:tcW w:w="39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ca06acc7160d4977b3f034161052416e_115">
              <w:r>
                <w:rPr>
                  <w:rStyle w:val="InternetLink"/>
                  <w:rFonts w:ascii="Calibri;sans-serif" w:hAnsi="Calibri;sans-serif"/>
                  <w:b w:val="false"/>
                  <w:color w:val="0000FF"/>
                  <w:sz w:val="24"/>
                  <w:u w:val="single"/>
                </w:rPr>
                <w:t>28</w:t>
              </w:r>
            </w:hyperlink>
          </w:p>
        </w:tc>
      </w:tr>
      <w:tr>
        <w:trPr/>
        <w:tc>
          <w:tcPr>
            <w:tcW w:w="9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ca06acc7160d4977b3f034161052416e_118">
              <w:r>
                <w:rPr>
                  <w:rStyle w:val="InternetLink"/>
                  <w:rFonts w:ascii="Calibri;sans-serif" w:hAnsi="Calibri;sans-serif"/>
                  <w:b w:val="false"/>
                  <w:color w:val="0000FF"/>
                  <w:sz w:val="24"/>
                  <w:u w:val="single"/>
                </w:rPr>
                <w:t>Signatures</w:t>
              </w:r>
            </w:hyperlink>
          </w:p>
        </w:tc>
        <w:tc>
          <w:tcPr>
            <w:tcW w:w="39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ca06acc7160d4977b3f034161052416e_118">
              <w:r>
                <w:rPr>
                  <w:rStyle w:val="InternetLink"/>
                  <w:rFonts w:ascii="Calibri;sans-serif" w:hAnsi="Calibri;sans-serif"/>
                  <w:b w:val="false"/>
                  <w:color w:val="0000FF"/>
                  <w:sz w:val="24"/>
                  <w:u w:val="single"/>
                </w:rPr>
                <w:t>29</w:t>
              </w:r>
            </w:hyperlink>
          </w:p>
        </w:tc>
      </w:tr>
    </w:tbl>
    <w:p>
      <w:pPr>
        <w:pStyle w:val="TextBody"/>
        <w:spacing w:before="120" w:after="283"/>
        <w:jc w:val="center"/>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692265" cy="251460"/>
                <wp:effectExtent l="0" t="0" r="0" b="0"/>
                <wp:wrapNone/>
                <wp:docPr id="2" name="Frame2"/>
                <a:graphic xmlns:a="http://schemas.openxmlformats.org/drawingml/2006/main">
                  <a:graphicData uri="http://schemas.microsoft.com/office/word/2010/wordprocessingShape">
                    <wps:wsp>
                      <wps:cNvSpPr txBox="1"/>
                      <wps:spPr>
                        <a:xfrm>
                          <a:off x="0" y="0"/>
                          <a:ext cx="6692265" cy="251460"/>
                        </a:xfrm>
                        <a:prstGeom prst="rect"/>
                      </wps:spPr>
                      <wps:txbx>
                        <w:txbxContent>
                          <w:p>
                            <w:pPr>
                              <w:pStyle w:val="TextBody"/>
                              <w:spacing w:before="12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20" w:after="283"/>
                        <w:rPr/>
                      </w:pPr>
                      <w:r>
                        <w:rPr/>
                      </w:r>
                    </w:p>
                  </w:txbxContent>
                </v:textbox>
              </v:rect>
            </w:pict>
          </mc:Fallback>
        </mc:AlternateContent>
      </w:r>
    </w:p>
    <w:p>
      <w:pPr>
        <w:pStyle w:val="TextBody"/>
        <w:spacing w:lineRule="auto" w:line="288" w:before="120" w:after="283"/>
        <w:rPr/>
      </w:pPr>
      <w:hyperlink w:anchor="ica06acc7160d4977b3f034161052416e_7">
        <w:r>
          <w:rPr>
            <w:rStyle w:val="InternetLink"/>
            <w:rFonts w:ascii="Calibri;sans-serif" w:hAnsi="Calibri;sans-serif"/>
            <w:b w:val="false"/>
            <w:color w:val="0000FF"/>
            <w:sz w:val="18"/>
            <w:u w:val="single"/>
          </w:rPr>
          <w:t>Table of Contents</w:t>
        </w:r>
      </w:hyperlink>
    </w:p>
    <w:p>
      <w:pPr>
        <w:pStyle w:val="TextBody"/>
        <w:spacing w:lineRule="auto" w:line="288" w:before="60" w:after="283"/>
        <w:rPr>
          <w:rFonts w:ascii="Calibri;sans-serif" w:hAnsi="Calibri;sans-serif"/>
          <w:b/>
          <w:color w:val="14AA40"/>
          <w:sz w:val="28"/>
        </w:rPr>
      </w:pPr>
      <w:r>
        <w:rPr>
          <w:rFonts w:ascii="Calibri;sans-serif" w:hAnsi="Calibri;sans-serif"/>
          <w:b/>
          <w:color w:val="14AA40"/>
          <w:sz w:val="28"/>
        </w:rPr>
        <w:t>PART I    FINANCIAL INFORMATION</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120"/>
        <w:ind w:left="0" w:right="0" w:hanging="1080"/>
        <w:rPr>
          <w:rFonts w:ascii="Calibri;sans-serif" w:hAnsi="Calibri;sans-serif"/>
          <w:b/>
          <w:color w:val="14AA40"/>
          <w:sz w:val="28"/>
        </w:rPr>
      </w:pPr>
      <w:r>
        <w:rPr>
          <w:rFonts w:ascii="Calibri;sans-serif" w:hAnsi="Calibri;sans-serif"/>
          <w:b/>
          <w:color w:val="14AA40"/>
          <w:sz w:val="28"/>
        </w:rPr>
        <w:t>ITEM 1.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tbl>
      <w:tblPr>
        <w:tblW w:w="10539" w:type="dxa"/>
        <w:jc w:val="left"/>
        <w:tblInd w:w="0" w:type="dxa"/>
        <w:tblCellMar>
          <w:top w:w="28" w:type="dxa"/>
          <w:left w:w="28" w:type="dxa"/>
          <w:bottom w:w="28" w:type="dxa"/>
          <w:right w:w="28" w:type="dxa"/>
        </w:tblCellMar>
      </w:tblPr>
      <w:tblGrid>
        <w:gridCol w:w="1300"/>
        <w:gridCol w:w="824"/>
        <w:gridCol w:w="798"/>
        <w:gridCol w:w="164"/>
        <w:gridCol w:w="164"/>
        <w:gridCol w:w="164"/>
        <w:gridCol w:w="295"/>
        <w:gridCol w:w="1334"/>
        <w:gridCol w:w="164"/>
        <w:gridCol w:w="164"/>
        <w:gridCol w:w="164"/>
        <w:gridCol w:w="164"/>
        <w:gridCol w:w="295"/>
        <w:gridCol w:w="1312"/>
        <w:gridCol w:w="164"/>
        <w:gridCol w:w="109"/>
        <w:gridCol w:w="109"/>
        <w:gridCol w:w="109"/>
        <w:gridCol w:w="196"/>
        <w:gridCol w:w="886"/>
        <w:gridCol w:w="109"/>
        <w:gridCol w:w="109"/>
        <w:gridCol w:w="109"/>
        <w:gridCol w:w="109"/>
        <w:gridCol w:w="196"/>
        <w:gridCol w:w="871"/>
        <w:gridCol w:w="157"/>
      </w:tblGrid>
      <w:tr>
        <w:trPr/>
        <w:tc>
          <w:tcPr>
            <w:tcW w:w="1300"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33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470" w:type="dxa"/>
            <w:gridSpan w:val="15"/>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Calibri;sans-serif" w:hAnsi="Calibri;sans-serif"/>
                <w:b/>
                <w:color w:val="000000"/>
                <w:sz w:val="28"/>
              </w:rPr>
            </w:pPr>
            <w:r>
              <w:rPr>
                <w:rFonts w:ascii="Calibri;sans-serif" w:hAnsi="Calibri;sans-serif"/>
                <w:b/>
                <w:color w:val="000000"/>
                <w:sz w:val="28"/>
              </w:rPr>
              <w:t>CONSOLIDATED STATEMENTS OF OPERATIONS AND COMPREHENSIVE INCOME: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742" w:type="dxa"/>
            <w:gridSpan w:val="9"/>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(unaudited, in 000s, except </w:t>
              <w:br/>
              <w:t>per share amounts)</w:t>
            </w:r>
          </w:p>
        </w:tc>
      </w:tr>
      <w:tr>
        <w:trPr/>
        <w:tc>
          <w:tcPr>
            <w:tcW w:w="292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05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Three months ended 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74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Nine months ended March 31,</w:t>
            </w:r>
          </w:p>
        </w:tc>
      </w:tr>
      <w:tr>
        <w:trPr/>
        <w:tc>
          <w:tcPr>
            <w:tcW w:w="29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2023</w:t>
            </w:r>
          </w:p>
        </w:tc>
        <w:tc>
          <w:tcPr>
            <w:tcW w:w="49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2022</w:t>
            </w:r>
          </w:p>
        </w:tc>
      </w:tr>
      <w:tr>
        <w:trPr/>
        <w:tc>
          <w:tcPr>
            <w:tcW w:w="29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REVENUES:</w:t>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Service revenues</w:t>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334"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1,885,035</w:t>
            </w: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3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1,841,122 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2,191,794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2,151,824 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Royalty, product and other revenues</w:t>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208,614</w:t>
            </w: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220,635 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248,245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261,373 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2,093,649</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2,061,757 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2,440,039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2,413,197 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OPERATING EXPENSES:</w:t>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Costs of revenues</w:t>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883,686</w:t>
            </w: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831,455 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1,442,693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1,362,310 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Selling, general and administrative</w:t>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345,461</w:t>
            </w: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344,937 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625,158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617,594 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operating expenses</w:t>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1,229,147</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1,176,392 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2,067,851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1,979,904 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income (expense), net</w:t>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13,224</w:t>
            </w: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238 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21,020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1,989 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Interest expense on borrowings</w:t>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(22,298)</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(23,746)</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(57,107)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(69,661)</w:t>
            </w:r>
          </w:p>
        </w:tc>
        <w:tc>
          <w:tcPr>
            <w:tcW w:w="157"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9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Income from continuing operations before income taxes</w:t>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855,428</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861,857 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336,101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365,621 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Income taxes</w:t>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209,351</w:t>
            </w: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186,884 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78,254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29,666 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income from continuing operations</w:t>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646,077</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674,973 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257,847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335,955 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2"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Calibri;sans-serif" w:hAnsi="Calibri;sans-serif"/>
                <w:b w:val="false"/>
                <w:color w:val="000000"/>
                <w:sz w:val="18"/>
              </w:rPr>
            </w:pPr>
            <w:r>
              <w:rPr>
                <w:rFonts w:ascii="Calibri;sans-serif" w:hAnsi="Calibri;sans-serif"/>
                <w:b w:val="false"/>
                <w:color w:val="000000"/>
                <w:sz w:val="18"/>
              </w:rPr>
              <w:t>Net loss from discontinued operations, net of tax benefits of $792, $539, $1,920 and $1,495</w:t>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(2,648)</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(1,796)</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(6,418)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(4,984)</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NET INCOME</w:t>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3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643,429</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3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673,177 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251,429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330,971 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BASIC EARNINGS PER SHARE:</w:t>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Continuing operations</w:t>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334"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4.22</w:t>
            </w: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3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4.13 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1.65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1.95 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Discontinued operations</w:t>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(0.01)</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(0.01)</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(0.04)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(0.03)</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Consolidated</w:t>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3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4.21</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3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4.12 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DILUTED EARNINGS PER SHARE:</w:t>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Continuing operations</w:t>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334"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4.14</w:t>
            </w: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3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4.06 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1.62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1.92 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Discontinued operations</w:t>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(0.02)</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(0.01)</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(0.04)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(0.03)</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Consolidated</w:t>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3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4.12</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3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4.05 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2" w:type="dxa"/>
            <w:gridSpan w:val="3"/>
            <w:tcBorders/>
            <w:shd w:fill="auto" w:val="clear"/>
            <w:vAlign w:val="center"/>
          </w:tcPr>
          <w:p>
            <w:pPr>
              <w:pStyle w:val="TableContents"/>
              <w:spacing w:before="0" w:after="283"/>
              <w:rPr>
                <w:sz w:val="4"/>
                <w:szCs w:val="4"/>
              </w:rPr>
            </w:pPr>
            <w:r>
              <w:rPr>
                <w:sz w:val="4"/>
                <w:szCs w:val="4"/>
              </w:rPr>
            </w:r>
          </w:p>
        </w:tc>
        <w:tc>
          <w:tcPr>
            <w:tcW w:w="492" w:type="dxa"/>
            <w:gridSpan w:val="3"/>
            <w:tcBorders/>
            <w:shd w:fill="auto" w:val="clear"/>
            <w:vAlign w:val="center"/>
          </w:tcPr>
          <w:p>
            <w:pPr>
              <w:pStyle w:val="TableContents"/>
              <w:spacing w:before="0" w:after="283"/>
              <w:rPr>
                <w:sz w:val="4"/>
                <w:szCs w:val="4"/>
              </w:rPr>
            </w:pPr>
            <w:r>
              <w:rPr>
                <w:sz w:val="4"/>
                <w:szCs w:val="4"/>
              </w:rPr>
            </w:r>
          </w:p>
        </w:tc>
        <w:tc>
          <w:tcPr>
            <w:tcW w:w="1793" w:type="dxa"/>
            <w:gridSpan w:val="3"/>
            <w:tcBorders/>
            <w:shd w:fill="auto" w:val="clear"/>
            <w:vAlign w:val="center"/>
          </w:tcPr>
          <w:p>
            <w:pPr>
              <w:pStyle w:val="TableContents"/>
              <w:spacing w:before="0" w:after="283"/>
              <w:rPr>
                <w:sz w:val="4"/>
                <w:szCs w:val="4"/>
              </w:rPr>
            </w:pPr>
            <w:r>
              <w:rPr>
                <w:sz w:val="4"/>
                <w:szCs w:val="4"/>
              </w:rPr>
            </w:r>
          </w:p>
        </w:tc>
        <w:tc>
          <w:tcPr>
            <w:tcW w:w="492" w:type="dxa"/>
            <w:gridSpan w:val="3"/>
            <w:tcBorders/>
            <w:shd w:fill="auto" w:val="clear"/>
            <w:vAlign w:val="center"/>
          </w:tcPr>
          <w:p>
            <w:pPr>
              <w:pStyle w:val="TableContents"/>
              <w:spacing w:before="0" w:after="283"/>
              <w:rPr>
                <w:sz w:val="4"/>
                <w:szCs w:val="4"/>
              </w:rPr>
            </w:pPr>
            <w:r>
              <w:rPr>
                <w:sz w:val="4"/>
                <w:szCs w:val="4"/>
              </w:rPr>
            </w:r>
          </w:p>
        </w:tc>
        <w:tc>
          <w:tcPr>
            <w:tcW w:w="1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4" w:type="dxa"/>
            <w:gridSpan w:val="3"/>
            <w:tcBorders/>
            <w:shd w:fill="auto" w:val="clear"/>
            <w:vAlign w:val="center"/>
          </w:tcPr>
          <w:p>
            <w:pPr>
              <w:pStyle w:val="TableContents"/>
              <w:spacing w:before="0" w:after="283"/>
              <w:rPr>
                <w:sz w:val="4"/>
                <w:szCs w:val="4"/>
              </w:rPr>
            </w:pPr>
            <w:r>
              <w:rPr>
                <w:sz w:val="4"/>
                <w:szCs w:val="4"/>
              </w:rPr>
            </w:r>
          </w:p>
        </w:tc>
      </w:tr>
      <w:tr>
        <w:trPr/>
        <w:tc>
          <w:tcPr>
            <w:tcW w:w="2922" w:type="dxa"/>
            <w:gridSpan w:val="3"/>
            <w:tcBorders/>
            <w:shd w:fill="auto" w:val="clear"/>
            <w:vAlign w:val="center"/>
          </w:tcPr>
          <w:p>
            <w:pPr>
              <w:pStyle w:val="TableContents"/>
              <w:spacing w:before="0" w:after="283"/>
              <w:rPr>
                <w:sz w:val="4"/>
                <w:szCs w:val="4"/>
              </w:rPr>
            </w:pPr>
            <w:r>
              <w:rPr>
                <w:sz w:val="4"/>
                <w:szCs w:val="4"/>
              </w:rPr>
            </w:r>
          </w:p>
        </w:tc>
        <w:tc>
          <w:tcPr>
            <w:tcW w:w="492" w:type="dxa"/>
            <w:gridSpan w:val="3"/>
            <w:tcBorders/>
            <w:shd w:fill="auto" w:val="clear"/>
            <w:vAlign w:val="center"/>
          </w:tcPr>
          <w:p>
            <w:pPr>
              <w:pStyle w:val="TableContents"/>
              <w:spacing w:before="0" w:after="283"/>
              <w:rPr>
                <w:sz w:val="4"/>
                <w:szCs w:val="4"/>
              </w:rPr>
            </w:pPr>
            <w:r>
              <w:rPr>
                <w:sz w:val="4"/>
                <w:szCs w:val="4"/>
              </w:rPr>
            </w:r>
          </w:p>
        </w:tc>
        <w:tc>
          <w:tcPr>
            <w:tcW w:w="1793" w:type="dxa"/>
            <w:gridSpan w:val="3"/>
            <w:tcBorders/>
            <w:shd w:fill="auto" w:val="clear"/>
            <w:vAlign w:val="center"/>
          </w:tcPr>
          <w:p>
            <w:pPr>
              <w:pStyle w:val="TableContents"/>
              <w:spacing w:before="0" w:after="283"/>
              <w:rPr>
                <w:sz w:val="4"/>
                <w:szCs w:val="4"/>
              </w:rPr>
            </w:pPr>
            <w:r>
              <w:rPr>
                <w:sz w:val="4"/>
                <w:szCs w:val="4"/>
              </w:rPr>
            </w:r>
          </w:p>
        </w:tc>
        <w:tc>
          <w:tcPr>
            <w:tcW w:w="492" w:type="dxa"/>
            <w:gridSpan w:val="3"/>
            <w:tcBorders/>
            <w:shd w:fill="auto" w:val="clear"/>
            <w:vAlign w:val="center"/>
          </w:tcPr>
          <w:p>
            <w:pPr>
              <w:pStyle w:val="TableContents"/>
              <w:spacing w:before="0" w:after="283"/>
              <w:rPr>
                <w:sz w:val="4"/>
                <w:szCs w:val="4"/>
              </w:rPr>
            </w:pPr>
            <w:r>
              <w:rPr>
                <w:sz w:val="4"/>
                <w:szCs w:val="4"/>
              </w:rPr>
            </w:r>
          </w:p>
        </w:tc>
        <w:tc>
          <w:tcPr>
            <w:tcW w:w="1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4" w:type="dxa"/>
            <w:gridSpan w:val="3"/>
            <w:tcBorders/>
            <w:shd w:fill="auto" w:val="clear"/>
            <w:vAlign w:val="center"/>
          </w:tcPr>
          <w:p>
            <w:pPr>
              <w:pStyle w:val="TableContents"/>
              <w:spacing w:before="0" w:after="283"/>
              <w:rPr>
                <w:sz w:val="4"/>
                <w:szCs w:val="4"/>
              </w:rPr>
            </w:pPr>
            <w:r>
              <w:rPr>
                <w:sz w:val="4"/>
                <w:szCs w:val="4"/>
              </w:rPr>
            </w:r>
          </w:p>
        </w:tc>
      </w:tr>
      <w:tr>
        <w:trPr/>
        <w:tc>
          <w:tcPr>
            <w:tcW w:w="2922" w:type="dxa"/>
            <w:gridSpan w:val="3"/>
            <w:tcBorders/>
            <w:shd w:fill="auto" w:val="clear"/>
            <w:vAlign w:val="center"/>
          </w:tcPr>
          <w:p>
            <w:pPr>
              <w:pStyle w:val="TableContents"/>
              <w:spacing w:before="0" w:after="283"/>
              <w:rPr>
                <w:sz w:val="4"/>
                <w:szCs w:val="4"/>
              </w:rPr>
            </w:pPr>
            <w:r>
              <w:rPr>
                <w:sz w:val="4"/>
                <w:szCs w:val="4"/>
              </w:rPr>
            </w:r>
          </w:p>
        </w:tc>
        <w:tc>
          <w:tcPr>
            <w:tcW w:w="492" w:type="dxa"/>
            <w:gridSpan w:val="3"/>
            <w:tcBorders/>
            <w:shd w:fill="auto" w:val="clear"/>
            <w:vAlign w:val="center"/>
          </w:tcPr>
          <w:p>
            <w:pPr>
              <w:pStyle w:val="TableContents"/>
              <w:spacing w:before="0" w:after="283"/>
              <w:rPr>
                <w:sz w:val="4"/>
                <w:szCs w:val="4"/>
              </w:rPr>
            </w:pPr>
            <w:r>
              <w:rPr>
                <w:sz w:val="4"/>
                <w:szCs w:val="4"/>
              </w:rPr>
            </w:r>
          </w:p>
        </w:tc>
        <w:tc>
          <w:tcPr>
            <w:tcW w:w="1793" w:type="dxa"/>
            <w:gridSpan w:val="3"/>
            <w:tcBorders/>
            <w:shd w:fill="auto" w:val="clear"/>
            <w:vAlign w:val="center"/>
          </w:tcPr>
          <w:p>
            <w:pPr>
              <w:pStyle w:val="TableContents"/>
              <w:spacing w:before="0" w:after="283"/>
              <w:rPr>
                <w:sz w:val="4"/>
                <w:szCs w:val="4"/>
              </w:rPr>
            </w:pPr>
            <w:r>
              <w:rPr>
                <w:sz w:val="4"/>
                <w:szCs w:val="4"/>
              </w:rPr>
            </w:r>
          </w:p>
        </w:tc>
        <w:tc>
          <w:tcPr>
            <w:tcW w:w="492" w:type="dxa"/>
            <w:gridSpan w:val="3"/>
            <w:tcBorders/>
            <w:shd w:fill="auto" w:val="clear"/>
            <w:vAlign w:val="center"/>
          </w:tcPr>
          <w:p>
            <w:pPr>
              <w:pStyle w:val="TableContents"/>
              <w:spacing w:before="0" w:after="283"/>
              <w:rPr>
                <w:sz w:val="4"/>
                <w:szCs w:val="4"/>
              </w:rPr>
            </w:pPr>
            <w:r>
              <w:rPr>
                <w:sz w:val="4"/>
                <w:szCs w:val="4"/>
              </w:rPr>
            </w:r>
          </w:p>
        </w:tc>
        <w:tc>
          <w:tcPr>
            <w:tcW w:w="1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4" w:type="dxa"/>
            <w:gridSpan w:val="3"/>
            <w:tcBorders/>
            <w:shd w:fill="auto" w:val="clear"/>
            <w:vAlign w:val="center"/>
          </w:tcPr>
          <w:p>
            <w:pPr>
              <w:pStyle w:val="TableContents"/>
              <w:spacing w:before="0" w:after="283"/>
              <w:rPr>
                <w:sz w:val="4"/>
                <w:szCs w:val="4"/>
              </w:rPr>
            </w:pPr>
            <w:r>
              <w:rPr>
                <w:sz w:val="4"/>
                <w:szCs w:val="4"/>
              </w:rPr>
            </w:r>
          </w:p>
        </w:tc>
      </w:tr>
      <w:tr>
        <w:trPr/>
        <w:tc>
          <w:tcPr>
            <w:tcW w:w="2922" w:type="dxa"/>
            <w:gridSpan w:val="3"/>
            <w:tcBorders/>
            <w:shd w:fill="auto" w:val="clear"/>
            <w:vAlign w:val="center"/>
          </w:tcPr>
          <w:p>
            <w:pPr>
              <w:pStyle w:val="TableContents"/>
              <w:spacing w:before="0" w:after="283"/>
              <w:rPr>
                <w:sz w:val="4"/>
                <w:szCs w:val="4"/>
              </w:rPr>
            </w:pPr>
            <w:r>
              <w:rPr>
                <w:sz w:val="4"/>
                <w:szCs w:val="4"/>
              </w:rPr>
            </w:r>
          </w:p>
        </w:tc>
        <w:tc>
          <w:tcPr>
            <w:tcW w:w="492" w:type="dxa"/>
            <w:gridSpan w:val="3"/>
            <w:tcBorders/>
            <w:shd w:fill="auto" w:val="clear"/>
            <w:vAlign w:val="center"/>
          </w:tcPr>
          <w:p>
            <w:pPr>
              <w:pStyle w:val="TableContents"/>
              <w:spacing w:before="0" w:after="283"/>
              <w:rPr>
                <w:sz w:val="4"/>
                <w:szCs w:val="4"/>
              </w:rPr>
            </w:pPr>
            <w:r>
              <w:rPr>
                <w:sz w:val="4"/>
                <w:szCs w:val="4"/>
              </w:rPr>
            </w:r>
          </w:p>
        </w:tc>
        <w:tc>
          <w:tcPr>
            <w:tcW w:w="1793" w:type="dxa"/>
            <w:gridSpan w:val="3"/>
            <w:tcBorders/>
            <w:shd w:fill="auto" w:val="clear"/>
            <w:vAlign w:val="center"/>
          </w:tcPr>
          <w:p>
            <w:pPr>
              <w:pStyle w:val="TableContents"/>
              <w:spacing w:before="0" w:after="283"/>
              <w:rPr>
                <w:sz w:val="4"/>
                <w:szCs w:val="4"/>
              </w:rPr>
            </w:pPr>
            <w:r>
              <w:rPr>
                <w:sz w:val="4"/>
                <w:szCs w:val="4"/>
              </w:rPr>
            </w:r>
          </w:p>
        </w:tc>
        <w:tc>
          <w:tcPr>
            <w:tcW w:w="492" w:type="dxa"/>
            <w:gridSpan w:val="3"/>
            <w:tcBorders/>
            <w:shd w:fill="auto" w:val="clear"/>
            <w:vAlign w:val="center"/>
          </w:tcPr>
          <w:p>
            <w:pPr>
              <w:pStyle w:val="TableContents"/>
              <w:spacing w:before="0" w:after="283"/>
              <w:rPr>
                <w:sz w:val="4"/>
                <w:szCs w:val="4"/>
              </w:rPr>
            </w:pPr>
            <w:r>
              <w:rPr>
                <w:sz w:val="4"/>
                <w:szCs w:val="4"/>
              </w:rPr>
            </w:r>
          </w:p>
        </w:tc>
        <w:tc>
          <w:tcPr>
            <w:tcW w:w="1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4" w:type="dxa"/>
            <w:gridSpan w:val="3"/>
            <w:tcBorders/>
            <w:shd w:fill="auto" w:val="clear"/>
            <w:vAlign w:val="center"/>
          </w:tcPr>
          <w:p>
            <w:pPr>
              <w:pStyle w:val="TableContents"/>
              <w:spacing w:before="0" w:after="283"/>
              <w:rPr>
                <w:sz w:val="4"/>
                <w:szCs w:val="4"/>
              </w:rPr>
            </w:pPr>
            <w:r>
              <w:rPr>
                <w:sz w:val="4"/>
                <w:szCs w:val="4"/>
              </w:rPr>
            </w:r>
          </w:p>
        </w:tc>
      </w:tr>
      <w:tr>
        <w:trPr/>
        <w:tc>
          <w:tcPr>
            <w:tcW w:w="29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DIVIDENDS DECLARED PER SHARE</w:t>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33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0.29</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3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0.27 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0.87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0.81 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COMPREHENSIVE INCOME:</w:t>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income</w:t>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334"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643,429</w:t>
            </w:r>
            <w:r>
              <w:rPr>
                <w:color w:val="000000"/>
              </w:rPr>
              <w:t>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3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673,177 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251,429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330,971 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2" w:type="dxa"/>
            <w:gridSpan w:val="3"/>
            <w:tcBorders/>
            <w:shd w:fill="auto" w:val="clear"/>
            <w:vAlign w:val="center"/>
          </w:tcPr>
          <w:p>
            <w:pPr>
              <w:pStyle w:val="TableContents"/>
              <w:spacing w:before="0" w:after="283"/>
              <w:rPr>
                <w:sz w:val="4"/>
                <w:szCs w:val="4"/>
              </w:rPr>
            </w:pPr>
            <w:r>
              <w:rPr>
                <w:sz w:val="4"/>
                <w:szCs w:val="4"/>
              </w:rPr>
            </w:r>
          </w:p>
        </w:tc>
        <w:tc>
          <w:tcPr>
            <w:tcW w:w="492" w:type="dxa"/>
            <w:gridSpan w:val="3"/>
            <w:tcBorders/>
            <w:shd w:fill="auto" w:val="clear"/>
            <w:vAlign w:val="center"/>
          </w:tcPr>
          <w:p>
            <w:pPr>
              <w:pStyle w:val="TableContents"/>
              <w:spacing w:before="0" w:after="283"/>
              <w:rPr>
                <w:sz w:val="4"/>
                <w:szCs w:val="4"/>
              </w:rPr>
            </w:pPr>
            <w:r>
              <w:rPr>
                <w:sz w:val="4"/>
                <w:szCs w:val="4"/>
              </w:rPr>
            </w:r>
          </w:p>
        </w:tc>
        <w:tc>
          <w:tcPr>
            <w:tcW w:w="1793" w:type="dxa"/>
            <w:gridSpan w:val="3"/>
            <w:tcBorders/>
            <w:shd w:fill="auto" w:val="clear"/>
            <w:vAlign w:val="center"/>
          </w:tcPr>
          <w:p>
            <w:pPr>
              <w:pStyle w:val="TableContents"/>
              <w:spacing w:before="0" w:after="283"/>
              <w:rPr>
                <w:sz w:val="4"/>
                <w:szCs w:val="4"/>
              </w:rPr>
            </w:pPr>
            <w:r>
              <w:rPr>
                <w:sz w:val="4"/>
                <w:szCs w:val="4"/>
              </w:rPr>
            </w:r>
          </w:p>
        </w:tc>
        <w:tc>
          <w:tcPr>
            <w:tcW w:w="492" w:type="dxa"/>
            <w:gridSpan w:val="3"/>
            <w:tcBorders/>
            <w:shd w:fill="auto" w:val="clear"/>
            <w:vAlign w:val="center"/>
          </w:tcPr>
          <w:p>
            <w:pPr>
              <w:pStyle w:val="TableContents"/>
              <w:spacing w:before="0" w:after="283"/>
              <w:rPr>
                <w:sz w:val="4"/>
                <w:szCs w:val="4"/>
              </w:rPr>
            </w:pPr>
            <w:r>
              <w:rPr>
                <w:sz w:val="4"/>
                <w:szCs w:val="4"/>
              </w:rPr>
            </w:r>
          </w:p>
        </w:tc>
        <w:tc>
          <w:tcPr>
            <w:tcW w:w="1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4" w:type="dxa"/>
            <w:gridSpan w:val="3"/>
            <w:tcBorders/>
            <w:shd w:fill="auto" w:val="clear"/>
            <w:vAlign w:val="center"/>
          </w:tcPr>
          <w:p>
            <w:pPr>
              <w:pStyle w:val="TableContents"/>
              <w:spacing w:before="0" w:after="283"/>
              <w:rPr>
                <w:sz w:val="4"/>
                <w:szCs w:val="4"/>
              </w:rPr>
            </w:pPr>
            <w:r>
              <w:rPr>
                <w:sz w:val="4"/>
                <w:szCs w:val="4"/>
              </w:rPr>
            </w:r>
          </w:p>
        </w:tc>
      </w:tr>
      <w:tr>
        <w:trPr/>
        <w:tc>
          <w:tcPr>
            <w:tcW w:w="2922" w:type="dxa"/>
            <w:gridSpan w:val="3"/>
            <w:tcBorders/>
            <w:shd w:fill="auto" w:val="clear"/>
            <w:vAlign w:val="center"/>
          </w:tcPr>
          <w:p>
            <w:pPr>
              <w:pStyle w:val="TableContents"/>
              <w:spacing w:before="0" w:after="283"/>
              <w:rPr>
                <w:sz w:val="4"/>
                <w:szCs w:val="4"/>
              </w:rPr>
            </w:pPr>
            <w:r>
              <w:rPr>
                <w:sz w:val="4"/>
                <w:szCs w:val="4"/>
              </w:rPr>
            </w:r>
          </w:p>
        </w:tc>
        <w:tc>
          <w:tcPr>
            <w:tcW w:w="492" w:type="dxa"/>
            <w:gridSpan w:val="3"/>
            <w:tcBorders/>
            <w:shd w:fill="auto" w:val="clear"/>
            <w:vAlign w:val="center"/>
          </w:tcPr>
          <w:p>
            <w:pPr>
              <w:pStyle w:val="TableContents"/>
              <w:spacing w:before="0" w:after="283"/>
              <w:rPr>
                <w:sz w:val="4"/>
                <w:szCs w:val="4"/>
              </w:rPr>
            </w:pPr>
            <w:r>
              <w:rPr>
                <w:sz w:val="4"/>
                <w:szCs w:val="4"/>
              </w:rPr>
            </w:r>
          </w:p>
        </w:tc>
        <w:tc>
          <w:tcPr>
            <w:tcW w:w="1793" w:type="dxa"/>
            <w:gridSpan w:val="3"/>
            <w:tcBorders/>
            <w:shd w:fill="auto" w:val="clear"/>
            <w:vAlign w:val="center"/>
          </w:tcPr>
          <w:p>
            <w:pPr>
              <w:pStyle w:val="TableContents"/>
              <w:spacing w:before="0" w:after="283"/>
              <w:rPr>
                <w:sz w:val="4"/>
                <w:szCs w:val="4"/>
              </w:rPr>
            </w:pPr>
            <w:r>
              <w:rPr>
                <w:sz w:val="4"/>
                <w:szCs w:val="4"/>
              </w:rPr>
            </w:r>
          </w:p>
        </w:tc>
        <w:tc>
          <w:tcPr>
            <w:tcW w:w="492" w:type="dxa"/>
            <w:gridSpan w:val="3"/>
            <w:tcBorders/>
            <w:shd w:fill="auto" w:val="clear"/>
            <w:vAlign w:val="center"/>
          </w:tcPr>
          <w:p>
            <w:pPr>
              <w:pStyle w:val="TableContents"/>
              <w:spacing w:before="0" w:after="283"/>
              <w:rPr>
                <w:sz w:val="4"/>
                <w:szCs w:val="4"/>
              </w:rPr>
            </w:pPr>
            <w:r>
              <w:rPr>
                <w:sz w:val="4"/>
                <w:szCs w:val="4"/>
              </w:rPr>
            </w:r>
          </w:p>
        </w:tc>
        <w:tc>
          <w:tcPr>
            <w:tcW w:w="1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4" w:type="dxa"/>
            <w:gridSpan w:val="3"/>
            <w:tcBorders/>
            <w:shd w:fill="auto" w:val="clear"/>
            <w:vAlign w:val="center"/>
          </w:tcPr>
          <w:p>
            <w:pPr>
              <w:pStyle w:val="TableContents"/>
              <w:spacing w:before="0" w:after="283"/>
              <w:rPr>
                <w:sz w:val="4"/>
                <w:szCs w:val="4"/>
              </w:rPr>
            </w:pPr>
            <w:r>
              <w:rPr>
                <w:sz w:val="4"/>
                <w:szCs w:val="4"/>
              </w:rPr>
            </w:r>
          </w:p>
        </w:tc>
      </w:tr>
      <w:tr>
        <w:trPr/>
        <w:tc>
          <w:tcPr>
            <w:tcW w:w="2922" w:type="dxa"/>
            <w:gridSpan w:val="3"/>
            <w:tcBorders/>
            <w:shd w:fill="auto" w:val="clear"/>
            <w:vAlign w:val="center"/>
          </w:tcPr>
          <w:p>
            <w:pPr>
              <w:pStyle w:val="TableContents"/>
              <w:spacing w:before="0" w:after="283"/>
              <w:rPr>
                <w:sz w:val="4"/>
                <w:szCs w:val="4"/>
              </w:rPr>
            </w:pPr>
            <w:r>
              <w:rPr>
                <w:sz w:val="4"/>
                <w:szCs w:val="4"/>
              </w:rPr>
            </w:r>
          </w:p>
        </w:tc>
        <w:tc>
          <w:tcPr>
            <w:tcW w:w="492" w:type="dxa"/>
            <w:gridSpan w:val="3"/>
            <w:tcBorders/>
            <w:shd w:fill="auto" w:val="clear"/>
            <w:vAlign w:val="center"/>
          </w:tcPr>
          <w:p>
            <w:pPr>
              <w:pStyle w:val="TableContents"/>
              <w:spacing w:before="0" w:after="283"/>
              <w:rPr>
                <w:sz w:val="4"/>
                <w:szCs w:val="4"/>
              </w:rPr>
            </w:pPr>
            <w:r>
              <w:rPr>
                <w:sz w:val="4"/>
                <w:szCs w:val="4"/>
              </w:rPr>
            </w:r>
          </w:p>
        </w:tc>
        <w:tc>
          <w:tcPr>
            <w:tcW w:w="1793" w:type="dxa"/>
            <w:gridSpan w:val="3"/>
            <w:tcBorders/>
            <w:shd w:fill="auto" w:val="clear"/>
            <w:vAlign w:val="center"/>
          </w:tcPr>
          <w:p>
            <w:pPr>
              <w:pStyle w:val="TableContents"/>
              <w:spacing w:before="0" w:after="283"/>
              <w:rPr>
                <w:sz w:val="4"/>
                <w:szCs w:val="4"/>
              </w:rPr>
            </w:pPr>
            <w:r>
              <w:rPr>
                <w:sz w:val="4"/>
                <w:szCs w:val="4"/>
              </w:rPr>
            </w:r>
          </w:p>
        </w:tc>
        <w:tc>
          <w:tcPr>
            <w:tcW w:w="492" w:type="dxa"/>
            <w:gridSpan w:val="3"/>
            <w:tcBorders/>
            <w:shd w:fill="auto" w:val="clear"/>
            <w:vAlign w:val="center"/>
          </w:tcPr>
          <w:p>
            <w:pPr>
              <w:pStyle w:val="TableContents"/>
              <w:spacing w:before="0" w:after="283"/>
              <w:rPr>
                <w:sz w:val="4"/>
                <w:szCs w:val="4"/>
              </w:rPr>
            </w:pPr>
            <w:r>
              <w:rPr>
                <w:sz w:val="4"/>
                <w:szCs w:val="4"/>
              </w:rPr>
            </w:r>
          </w:p>
        </w:tc>
        <w:tc>
          <w:tcPr>
            <w:tcW w:w="17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4" w:type="dxa"/>
            <w:gridSpan w:val="3"/>
            <w:tcBorders/>
            <w:shd w:fill="auto" w:val="clear"/>
            <w:vAlign w:val="center"/>
          </w:tcPr>
          <w:p>
            <w:pPr>
              <w:pStyle w:val="TableContents"/>
              <w:spacing w:before="0" w:after="283"/>
              <w:rPr>
                <w:sz w:val="4"/>
                <w:szCs w:val="4"/>
              </w:rPr>
            </w:pPr>
            <w:r>
              <w:rPr>
                <w:sz w:val="4"/>
                <w:szCs w:val="4"/>
              </w:rPr>
            </w:r>
          </w:p>
        </w:tc>
      </w:tr>
      <w:tr>
        <w:trPr/>
        <w:tc>
          <w:tcPr>
            <w:tcW w:w="29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Change in foreign currency translation adjustments</w:t>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402</w:t>
            </w:r>
            <w:r>
              <w:rPr>
                <w:color w:val="000000"/>
              </w:rPr>
              <w:t>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5,595 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(22,636)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(3,926)</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comprehensive income (loss)</w:t>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9"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402</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5,595 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(22,636)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(3,926)</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Comprehensive income</w:t>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3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643,831</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3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678,772 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228,793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327,045 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49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793"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492"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771"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224"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jc w:val="right"/>
        <w:rPr>
          <w:rFonts w:ascii="Calibri;sans-serif" w:hAnsi="Calibri;sans-serif"/>
          <w:b w:val="false"/>
          <w:color w:val="000000"/>
          <w:sz w:val="16"/>
        </w:rPr>
      </w:pPr>
      <w:r>
        <w:rPr>
          <w:rFonts w:ascii="Calibri;sans-serif" w:hAnsi="Calibri;sans-serif"/>
          <w:b w:val="false"/>
          <w:color w:val="000000"/>
          <w:sz w:val="16"/>
        </w:rPr>
        <w:t>See accompanying notes to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692265" cy="4779645"/>
                <wp:effectExtent l="0" t="0" r="0" b="0"/>
                <wp:wrapNone/>
                <wp:docPr id="3" name="Frame3"/>
                <a:graphic xmlns:a="http://schemas.openxmlformats.org/drawingml/2006/main">
                  <a:graphicData uri="http://schemas.microsoft.com/office/word/2010/wordprocessingShape">
                    <wps:wsp>
                      <wps:cNvSpPr txBox="1"/>
                      <wps:spPr>
                        <a:xfrm>
                          <a:off x="0" y="0"/>
                          <a:ext cx="6692265" cy="4779645"/>
                        </a:xfrm>
                        <a:prstGeom prst="rect"/>
                      </wps:spPr>
                      <wps:txbx>
                        <w:txbxContent>
                          <w:p>
                            <w:pPr>
                              <w:pStyle w:val="TextBody"/>
                              <w:spacing w:before="100" w:after="283"/>
                              <w:jc w:val="right"/>
                              <w:rPr/>
                            </w:pPr>
                            <w:r>
                              <w:rPr/>
                            </w:r>
                          </w:p>
                          <w:p>
                            <w:pPr>
                              <w:pStyle w:val="TextBody"/>
                              <w:spacing w:before="100" w:after="283"/>
                              <w:jc w:val="right"/>
                              <w:rPr/>
                            </w:pPr>
                            <w:r>
                              <w:rPr/>
                            </w:r>
                          </w:p>
                          <w:p>
                            <w:pPr>
                              <w:pStyle w:val="TextBody"/>
                              <w:spacing w:before="100" w:after="283"/>
                              <w:jc w:val="right"/>
                              <w:rPr/>
                            </w:pPr>
                            <w:r>
                              <w:rPr/>
                            </w:r>
                          </w:p>
                          <w:p>
                            <w:pPr>
                              <w:pStyle w:val="TextBody"/>
                              <w:spacing w:before="100" w:after="283"/>
                              <w:jc w:val="right"/>
                              <w:rPr/>
                            </w:pPr>
                            <w:r>
                              <w:rPr/>
                            </w:r>
                          </w:p>
                          <w:p>
                            <w:pPr>
                              <w:pStyle w:val="TextBody"/>
                              <w:spacing w:before="100" w:after="283"/>
                              <w:jc w:val="right"/>
                              <w:rPr/>
                            </w:pPr>
                            <w:r>
                              <w:rPr/>
                            </w:r>
                          </w:p>
                          <w:p>
                            <w:pPr>
                              <w:pStyle w:val="TextBody"/>
                              <w:spacing w:before="100" w:after="283"/>
                              <w:jc w:val="right"/>
                              <w:rPr/>
                            </w:pPr>
                            <w:r>
                              <w:rPr/>
                            </w:r>
                          </w:p>
                          <w:p>
                            <w:pPr>
                              <w:pStyle w:val="TextBody"/>
                              <w:spacing w:before="100" w:after="283"/>
                              <w:jc w:val="right"/>
                              <w:rPr/>
                            </w:pPr>
                            <w:r>
                              <w:rPr/>
                            </w:r>
                          </w:p>
                          <w:p>
                            <w:pPr>
                              <w:pStyle w:val="TextBody"/>
                              <w:spacing w:before="100" w:after="283"/>
                              <w:jc w:val="right"/>
                              <w:rPr/>
                            </w:pPr>
                            <w:r>
                              <w:rPr/>
                            </w:r>
                          </w:p>
                          <w:p>
                            <w:pPr>
                              <w:pStyle w:val="TextBody"/>
                              <w:spacing w:before="100" w:after="283"/>
                              <w:jc w:val="right"/>
                              <w:rPr/>
                            </w:pPr>
                            <w:r>
                              <w:rPr/>
                            </w:r>
                          </w:p>
                          <w:p>
                            <w:pPr>
                              <w:pStyle w:val="TextBody"/>
                              <w:spacing w:before="100" w:after="283"/>
                              <w:jc w:val="right"/>
                              <w:rPr/>
                            </w:pPr>
                            <w:r>
                              <w:rPr/>
                            </w:r>
                          </w:p>
                          <w:tbl>
                            <w:tblPr>
                              <w:tblW w:w="3162" w:type="dxa"/>
                              <w:jc w:val="right"/>
                              <w:tblInd w:w="0" w:type="dxa"/>
                              <w:tblCellMar>
                                <w:top w:w="28" w:type="dxa"/>
                                <w:left w:w="28" w:type="dxa"/>
                                <w:bottom w:w="28" w:type="dxa"/>
                                <w:right w:w="28" w:type="dxa"/>
                              </w:tblCellMar>
                            </w:tblPr>
                            <w:tblGrid>
                              <w:gridCol w:w="1008"/>
                              <w:gridCol w:w="889"/>
                              <w:gridCol w:w="893"/>
                              <w:gridCol w:w="109"/>
                              <w:gridCol w:w="109"/>
                              <w:gridCol w:w="154"/>
                            </w:tblGrid>
                            <w:tr>
                              <w:trPr/>
                              <w:tc>
                                <w:tcPr>
                                  <w:tcW w:w="1008"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|Q3 FY2023 Form 10-Q</w:t>
                                  </w:r>
                                </w:p>
                              </w:tc>
                              <w:tc>
                                <w:tcPr>
                                  <w:tcW w:w="37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37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100" w:after="283"/>
                        <w:jc w:val="right"/>
                        <w:rPr/>
                      </w:pPr>
                      <w:r>
                        <w:rPr/>
                      </w:r>
                    </w:p>
                    <w:p>
                      <w:pPr>
                        <w:pStyle w:val="TextBody"/>
                        <w:spacing w:before="100" w:after="283"/>
                        <w:jc w:val="right"/>
                        <w:rPr/>
                      </w:pPr>
                      <w:r>
                        <w:rPr/>
                      </w:r>
                    </w:p>
                    <w:p>
                      <w:pPr>
                        <w:pStyle w:val="TextBody"/>
                        <w:spacing w:before="100" w:after="283"/>
                        <w:jc w:val="right"/>
                        <w:rPr/>
                      </w:pPr>
                      <w:r>
                        <w:rPr/>
                      </w:r>
                    </w:p>
                    <w:p>
                      <w:pPr>
                        <w:pStyle w:val="TextBody"/>
                        <w:spacing w:before="100" w:after="283"/>
                        <w:jc w:val="right"/>
                        <w:rPr/>
                      </w:pPr>
                      <w:r>
                        <w:rPr/>
                      </w:r>
                    </w:p>
                    <w:p>
                      <w:pPr>
                        <w:pStyle w:val="TextBody"/>
                        <w:spacing w:before="100" w:after="283"/>
                        <w:jc w:val="right"/>
                        <w:rPr/>
                      </w:pPr>
                      <w:r>
                        <w:rPr/>
                      </w:r>
                    </w:p>
                    <w:p>
                      <w:pPr>
                        <w:pStyle w:val="TextBody"/>
                        <w:spacing w:before="100" w:after="283"/>
                        <w:jc w:val="right"/>
                        <w:rPr/>
                      </w:pPr>
                      <w:r>
                        <w:rPr/>
                      </w:r>
                    </w:p>
                    <w:p>
                      <w:pPr>
                        <w:pStyle w:val="TextBody"/>
                        <w:spacing w:before="100" w:after="283"/>
                        <w:jc w:val="right"/>
                        <w:rPr/>
                      </w:pPr>
                      <w:r>
                        <w:rPr/>
                      </w:r>
                    </w:p>
                    <w:p>
                      <w:pPr>
                        <w:pStyle w:val="TextBody"/>
                        <w:spacing w:before="100" w:after="283"/>
                        <w:jc w:val="right"/>
                        <w:rPr/>
                      </w:pPr>
                      <w:r>
                        <w:rPr/>
                      </w:r>
                    </w:p>
                    <w:p>
                      <w:pPr>
                        <w:pStyle w:val="TextBody"/>
                        <w:spacing w:before="100" w:after="283"/>
                        <w:jc w:val="right"/>
                        <w:rPr/>
                      </w:pPr>
                      <w:r>
                        <w:rPr/>
                      </w:r>
                    </w:p>
                    <w:p>
                      <w:pPr>
                        <w:pStyle w:val="TextBody"/>
                        <w:spacing w:before="100" w:after="283"/>
                        <w:jc w:val="right"/>
                        <w:rPr/>
                      </w:pPr>
                      <w:r>
                        <w:rPr/>
                      </w:r>
                    </w:p>
                    <w:tbl>
                      <w:tblPr>
                        <w:tblW w:w="3162" w:type="dxa"/>
                        <w:jc w:val="right"/>
                        <w:tblInd w:w="0" w:type="dxa"/>
                        <w:tblCellMar>
                          <w:top w:w="28" w:type="dxa"/>
                          <w:left w:w="28" w:type="dxa"/>
                          <w:bottom w:w="28" w:type="dxa"/>
                          <w:right w:w="28" w:type="dxa"/>
                        </w:tblCellMar>
                      </w:tblPr>
                      <w:tblGrid>
                        <w:gridCol w:w="1008"/>
                        <w:gridCol w:w="889"/>
                        <w:gridCol w:w="893"/>
                        <w:gridCol w:w="109"/>
                        <w:gridCol w:w="109"/>
                        <w:gridCol w:w="154"/>
                      </w:tblGrid>
                      <w:tr>
                        <w:trPr/>
                        <w:tc>
                          <w:tcPr>
                            <w:tcW w:w="1008"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|Q3 FY2023 Form 10-Q</w:t>
                            </w:r>
                          </w:p>
                        </w:tc>
                        <w:tc>
                          <w:tcPr>
                            <w:tcW w:w="37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1</w:t>
                            </w:r>
                          </w:p>
                        </w:tc>
                      </w:tr>
                    </w:tbl>
                    <w:p>
                      <w:pPr>
                        <w:pStyle w:val="TextBody"/>
                        <w:spacing w:before="0" w:after="283"/>
                        <w:rPr/>
                      </w:pPr>
                      <w:r>
                        <w:rPr/>
                      </w:r>
                    </w:p>
                  </w:txbxContent>
                </v:textbox>
              </v:rect>
            </w:pict>
          </mc:Fallback>
        </mc:AlternateContent>
      </w:r>
    </w:p>
    <w:p>
      <w:pPr>
        <w:pStyle w:val="TextBody"/>
        <w:spacing w:lineRule="auto" w:line="288" w:before="120" w:after="283"/>
        <w:rPr/>
      </w:pPr>
      <w:hyperlink w:anchor="ica06acc7160d4977b3f034161052416e_7">
        <w:r>
          <w:rPr>
            <w:rStyle w:val="InternetLink"/>
            <w:rFonts w:ascii="Calibri;sans-serif" w:hAnsi="Calibri;sans-serif"/>
            <w:b w:val="false"/>
            <w:color w:val="0000FF"/>
            <w:sz w:val="18"/>
            <w:u w:val="single"/>
          </w:rPr>
          <w:t>Table of Contents</w:t>
        </w:r>
      </w:hyperlink>
    </w:p>
    <w:tbl>
      <w:tblPr>
        <w:tblW w:w="10539" w:type="dxa"/>
        <w:jc w:val="right"/>
        <w:tblInd w:w="0" w:type="dxa"/>
        <w:tblCellMar>
          <w:top w:w="28" w:type="dxa"/>
          <w:left w:w="28" w:type="dxa"/>
          <w:bottom w:w="28" w:type="dxa"/>
          <w:right w:w="28" w:type="dxa"/>
        </w:tblCellMar>
      </w:tblPr>
      <w:tblGrid>
        <w:gridCol w:w="2394"/>
        <w:gridCol w:w="2106"/>
        <w:gridCol w:w="2110"/>
        <w:gridCol w:w="109"/>
        <w:gridCol w:w="109"/>
        <w:gridCol w:w="109"/>
        <w:gridCol w:w="284"/>
        <w:gridCol w:w="1289"/>
        <w:gridCol w:w="157"/>
        <w:gridCol w:w="157"/>
        <w:gridCol w:w="161"/>
        <w:gridCol w:w="109"/>
        <w:gridCol w:w="109"/>
        <w:gridCol w:w="109"/>
        <w:gridCol w:w="196"/>
        <w:gridCol w:w="871"/>
        <w:gridCol w:w="160"/>
      </w:tblGrid>
      <w:tr>
        <w:trPr/>
        <w:tc>
          <w:tcPr>
            <w:tcW w:w="2394" w:type="dxa"/>
            <w:tcBorders/>
            <w:shd w:fill="auto" w:val="clear"/>
            <w:vAlign w:val="center"/>
          </w:tcPr>
          <w:p>
            <w:pPr>
              <w:pStyle w:val="TableContents"/>
              <w:spacing w:before="0" w:after="283"/>
              <w:rPr>
                <w:sz w:val="4"/>
                <w:szCs w:val="4"/>
              </w:rPr>
            </w:pPr>
            <w:r>
              <w:rPr>
                <w:sz w:val="4"/>
                <w:szCs w:val="4"/>
              </w:rPr>
            </w:r>
          </w:p>
        </w:tc>
        <w:tc>
          <w:tcPr>
            <w:tcW w:w="2106" w:type="dxa"/>
            <w:tcBorders/>
            <w:shd w:fill="auto" w:val="clear"/>
            <w:vAlign w:val="center"/>
          </w:tcPr>
          <w:p>
            <w:pPr>
              <w:pStyle w:val="TableContents"/>
              <w:spacing w:before="0" w:after="283"/>
              <w:rPr>
                <w:sz w:val="4"/>
                <w:szCs w:val="4"/>
              </w:rPr>
            </w:pPr>
            <w:r>
              <w:rPr>
                <w:sz w:val="4"/>
                <w:szCs w:val="4"/>
              </w:rPr>
            </w:r>
          </w:p>
        </w:tc>
        <w:tc>
          <w:tcPr>
            <w:tcW w:w="2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28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6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8"/>
              </w:rPr>
            </w:pPr>
            <w:r>
              <w:rPr>
                <w:rFonts w:ascii="Calibri;sans-serif" w:hAnsi="Calibri;sans-serif"/>
                <w:b/>
                <w:color w:val="000000"/>
                <w:sz w:val="28"/>
              </w:rPr>
              <w:t>CONSOLIDATED BALANCE SHEETS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048" w:type="dxa"/>
            <w:gridSpan w:val="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(unaudited, in 000s, except </w:t>
              <w:br/>
              <w:t>share and per share amounts)</w:t>
            </w:r>
          </w:p>
        </w:tc>
        <w:tc>
          <w:tcPr>
            <w:tcW w:w="1554" w:type="dxa"/>
            <w:gridSpan w:val="6"/>
            <w:tcBorders/>
            <w:shd w:fill="auto" w:val="clear"/>
          </w:tcPr>
          <w:p>
            <w:pPr>
              <w:pStyle w:val="TableContents"/>
              <w:spacing w:before="0" w:after="283"/>
              <w:rPr>
                <w:sz w:val="4"/>
                <w:szCs w:val="4"/>
              </w:rPr>
            </w:pPr>
            <w:r>
              <w:rPr>
                <w:sz w:val="4"/>
                <w:szCs w:val="4"/>
              </w:rPr>
            </w:r>
          </w:p>
        </w:tc>
      </w:tr>
      <w:tr>
        <w:trPr/>
        <w:tc>
          <w:tcPr>
            <w:tcW w:w="661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As of</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73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March 31, 2023</w:t>
            </w:r>
          </w:p>
        </w:tc>
        <w:tc>
          <w:tcPr>
            <w:tcW w:w="1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June 30, 2022</w:t>
            </w:r>
          </w:p>
        </w:tc>
      </w:tr>
      <w:tr>
        <w:trPr/>
        <w:tc>
          <w:tcPr>
            <w:tcW w:w="66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color w:val="000000"/>
                <w:sz w:val="18"/>
              </w:rPr>
            </w:pPr>
            <w:r>
              <w:rPr>
                <w:rFonts w:ascii="Calibri;sans-serif" w:hAnsi="Calibri;sans-serif"/>
                <w:b/>
                <w:color w:val="000000"/>
                <w:sz w:val="18"/>
              </w:rPr>
              <w:t>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289"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909,075</w:t>
            </w: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885,015 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and cash equivalents - restricted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25,270</w:t>
            </w: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165,698 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Calibri;sans-serif" w:hAnsi="Calibri;sans-serif"/>
                <w:b w:val="false"/>
                <w:color w:val="000000"/>
                <w:sz w:val="18"/>
              </w:rPr>
            </w:pPr>
            <w:r>
              <w:rPr>
                <w:rFonts w:ascii="Calibri;sans-serif" w:hAnsi="Calibri;sans-serif"/>
                <w:b w:val="false"/>
                <w:color w:val="000000"/>
                <w:sz w:val="18"/>
              </w:rPr>
              <w:t>Receivables, less allowance for credit losses of $56,003 and $65,351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249,150</w:t>
            </w: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58,447 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Income taxes receivable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32,584</w:t>
            </w: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202,838 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86,736</w:t>
            </w: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72,460 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1,302,815</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1,384,458 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Calibri;sans-serif" w:hAnsi="Calibri;sans-serif"/>
                <w:b w:val="false"/>
                <w:color w:val="000000"/>
                <w:sz w:val="18"/>
              </w:rPr>
            </w:pPr>
            <w:r>
              <w:rPr>
                <w:rFonts w:ascii="Calibri;sans-serif" w:hAnsi="Calibri;sans-serif"/>
                <w:b w:val="false"/>
                <w:color w:val="000000"/>
                <w:sz w:val="18"/>
              </w:rPr>
              <w:t>Property and equipment, at cost, less accumulated depreciation and amortization of $892,820 and $857,468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136,132</w:t>
            </w: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123,912 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Operating lease right of use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372,175</w:t>
            </w: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427,783 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Intangible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293,447</w:t>
            </w: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309,644 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769,557</w:t>
            </w: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760,401 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Deferred tax assets and income taxes receivable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226,527</w:t>
            </w: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208,948 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57,254</w:t>
            </w: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54,012 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2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3,157,907</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3,269,158 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color w:val="000000"/>
                <w:sz w:val="18"/>
              </w:rPr>
            </w:pPr>
            <w:r>
              <w:rPr>
                <w:rFonts w:ascii="Calibri;sans-serif" w:hAnsi="Calibri;sans-serif"/>
                <w:b/>
                <w:color w:val="000000"/>
                <w:sz w:val="18"/>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289"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236,388</w:t>
            </w: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160,929 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Accrued salaries, wages and payroll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208,560</w:t>
            </w: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154,764 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Accrued income taxes and reserves for uncertain tax positions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284,124</w:t>
            </w: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280,115 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30" w:type="dxa"/>
            <w:gridSpan w:val="3"/>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7" w:type="dxa"/>
            <w:gridSpan w:val="3"/>
            <w:tcBorders/>
            <w:shd w:fill="auto" w:val="clear"/>
            <w:vAlign w:val="center"/>
          </w:tcPr>
          <w:p>
            <w:pPr>
              <w:pStyle w:val="TableContents"/>
              <w:spacing w:before="0" w:after="283"/>
              <w:rPr>
                <w:sz w:val="4"/>
                <w:szCs w:val="4"/>
              </w:rPr>
            </w:pPr>
            <w:r>
              <w:rPr>
                <w:sz w:val="4"/>
                <w:szCs w:val="4"/>
              </w:rPr>
            </w:r>
          </w:p>
        </w:tc>
      </w:tr>
      <w:tr>
        <w:trPr/>
        <w:tc>
          <w:tcPr>
            <w:tcW w:w="6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179,415</w:t>
            </w: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206,898 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Deferred revenue and other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207,095</w:t>
            </w: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196,107 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1,115,582</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998,813 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1,488,457</w:t>
            </w: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1,486,876 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Deferred tax liabilities and reserves for uncertain tax positions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256,119</w:t>
            </w: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226,362 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199,086</w:t>
            </w: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228,820 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Deferred revenue and other noncurrent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135,055</w:t>
            </w: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116,656 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3,194,299</w:t>
            </w:r>
            <w:r>
              <w:rPr>
                <w:color w:val="000000"/>
              </w:rPr>
              <w:t>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3,057,527 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Calibri;sans-serif" w:hAnsi="Calibri;sans-serif"/>
                <w:b w:val="false"/>
                <w:color w:val="000000"/>
                <w:sz w:val="18"/>
              </w:rPr>
            </w:pPr>
            <w:r>
              <w:rPr>
                <w:rFonts w:ascii="Calibri;sans-serif" w:hAnsi="Calibri;sans-serif"/>
                <w:b w:val="false"/>
                <w:color w:val="000000"/>
                <w:sz w:val="18"/>
              </w:rPr>
              <w:t>Common stock, no par, stated value $0.01 per share, 800,000,000 shares authorized, shares issued of 185,403,081 and 193,571,309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1,854</w:t>
            </w: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1,936 </w:t>
            </w:r>
          </w:p>
        </w:tc>
        <w:tc>
          <w:tcPr>
            <w:tcW w:w="160"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775,269</w:t>
            </w: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772,182 </w:t>
            </w:r>
          </w:p>
        </w:tc>
        <w:tc>
          <w:tcPr>
            <w:tcW w:w="160"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(44,281)</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(21,645)</w:t>
            </w:r>
          </w:p>
        </w:tc>
        <w:tc>
          <w:tcPr>
            <w:tcW w:w="160"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Retained earnings (deficit)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(109,384)</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120,405 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Calibri;sans-serif" w:hAnsi="Calibri;sans-serif"/>
                <w:b w:val="false"/>
                <w:color w:val="000000"/>
                <w:sz w:val="18"/>
              </w:rPr>
            </w:pPr>
            <w:r>
              <w:rPr>
                <w:rFonts w:ascii="Calibri;sans-serif" w:hAnsi="Calibri;sans-serif"/>
                <w:b w:val="false"/>
                <w:color w:val="000000"/>
                <w:sz w:val="18"/>
              </w:rPr>
              <w:t>Less treasury shares, at cost, of 33,119,705 and 33,640,988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(659,850)</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(661,247)</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stockholders' equity (deficiency)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(36,392)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211,631 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2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3,157,907</w:t>
            </w: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3,269,158 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610"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730"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227"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jc w:val="right"/>
        <w:rPr>
          <w:rFonts w:ascii="Calibri;sans-serif" w:hAnsi="Calibri;sans-serif"/>
          <w:b w:val="false"/>
          <w:color w:val="000000"/>
          <w:sz w:val="16"/>
        </w:rPr>
      </w:pPr>
      <w:r>
        <w:rPr>
          <w:rFonts w:ascii="Calibri;sans-serif" w:hAnsi="Calibri;sans-serif"/>
          <w:b w:val="false"/>
          <w:color w:val="000000"/>
          <w:sz w:val="16"/>
        </w:rPr>
        <w:t>See accompanying notes to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692265" cy="543560"/>
                <wp:effectExtent l="0" t="0" r="0" b="0"/>
                <wp:wrapNone/>
                <wp:docPr id="4" name="Frame4"/>
                <a:graphic xmlns:a="http://schemas.openxmlformats.org/drawingml/2006/main">
                  <a:graphicData uri="http://schemas.microsoft.com/office/word/2010/wordprocessingShape">
                    <wps:wsp>
                      <wps:cNvSpPr txBox="1"/>
                      <wps:spPr>
                        <a:xfrm>
                          <a:off x="0" y="0"/>
                          <a:ext cx="6692265" cy="543560"/>
                        </a:xfrm>
                        <a:prstGeom prst="rect"/>
                      </wps:spPr>
                      <wps:txbx>
                        <w:txbxContent>
                          <w:tbl>
                            <w:tblPr>
                              <w:tblW w:w="3131" w:type="dxa"/>
                              <w:jc w:val="left"/>
                              <w:tblInd w:w="0" w:type="dxa"/>
                              <w:tblCellMar>
                                <w:top w:w="28" w:type="dxa"/>
                                <w:left w:w="28" w:type="dxa"/>
                                <w:bottom w:w="28" w:type="dxa"/>
                                <w:right w:w="28" w:type="dxa"/>
                              </w:tblCellMar>
                            </w:tblPr>
                            <w:tblGrid>
                              <w:gridCol w:w="124"/>
                              <w:gridCol w:w="109"/>
                              <w:gridCol w:w="109"/>
                              <w:gridCol w:w="814"/>
                              <w:gridCol w:w="814"/>
                              <w:gridCol w:w="116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2</w:t>
                                  </w:r>
                                </w:p>
                              </w:tc>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Calibri;sans-serif" w:hAnsi="Calibri;sans-serif"/>
                                      <w:b w:val="false"/>
                                      <w:color w:val="000000"/>
                                      <w:sz w:val="16"/>
                                    </w:rPr>
                                    <w:t xml:space="preserve">Q3 FY2023 Form 10-Q| </w:t>
                                  </w:r>
                                  <w:r>
                                    <w:rPr>
                                      <w:rFonts w:ascii="Calibri;sans-serif" w:hAnsi="Calibri;sans-serif"/>
                                      <w:b/>
                                      <w:color w:val="000000"/>
                                      <w:sz w:val="16"/>
                                    </w:rPr>
                                    <w:t>H&amp;R Block, Inc.</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3131" w:type="dxa"/>
                        <w:jc w:val="left"/>
                        <w:tblInd w:w="0" w:type="dxa"/>
                        <w:tblCellMar>
                          <w:top w:w="28" w:type="dxa"/>
                          <w:left w:w="28" w:type="dxa"/>
                          <w:bottom w:w="28" w:type="dxa"/>
                          <w:right w:w="28" w:type="dxa"/>
                        </w:tblCellMar>
                      </w:tblPr>
                      <w:tblGrid>
                        <w:gridCol w:w="124"/>
                        <w:gridCol w:w="109"/>
                        <w:gridCol w:w="109"/>
                        <w:gridCol w:w="814"/>
                        <w:gridCol w:w="814"/>
                        <w:gridCol w:w="116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2</w:t>
                            </w:r>
                          </w:p>
                        </w:tc>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Calibri;sans-serif" w:hAnsi="Calibri;sans-serif"/>
                                <w:b w:val="false"/>
                                <w:color w:val="000000"/>
                                <w:sz w:val="16"/>
                              </w:rPr>
                              <w:t xml:space="preserve">Q3 FY2023 Form 10-Q| </w:t>
                            </w:r>
                            <w:r>
                              <w:rPr>
                                <w:rFonts w:ascii="Calibri;sans-serif" w:hAnsi="Calibri;sans-serif"/>
                                <w:b/>
                                <w:color w:val="000000"/>
                                <w:sz w:val="16"/>
                              </w:rPr>
                              <w:t>H&amp;R Block, Inc.</w:t>
                            </w:r>
                          </w:p>
                        </w:tc>
                      </w:tr>
                    </w:tbl>
                    <w:p>
                      <w:pPr>
                        <w:pStyle w:val="TextBody"/>
                        <w:spacing w:before="0" w:after="283"/>
                        <w:rPr/>
                      </w:pPr>
                      <w:r>
                        <w:rPr/>
                      </w:r>
                    </w:p>
                  </w:txbxContent>
                </v:textbox>
              </v:rect>
            </w:pict>
          </mc:Fallback>
        </mc:AlternateContent>
      </w:r>
    </w:p>
    <w:p>
      <w:pPr>
        <w:pStyle w:val="TextBody"/>
        <w:spacing w:lineRule="auto" w:line="288" w:before="120" w:after="283"/>
        <w:rPr/>
      </w:pPr>
      <w:hyperlink w:anchor="ica06acc7160d4977b3f034161052416e_7">
        <w:r>
          <w:rPr>
            <w:rStyle w:val="InternetLink"/>
            <w:rFonts w:ascii="Calibri;sans-serif" w:hAnsi="Calibri;sans-serif"/>
            <w:b w:val="false"/>
            <w:color w:val="0000FF"/>
            <w:sz w:val="18"/>
            <w:u w:val="single"/>
          </w:rPr>
          <w:t>Table of Contents</w:t>
        </w:r>
      </w:hyperlink>
    </w:p>
    <w:tbl>
      <w:tblPr>
        <w:tblW w:w="10539" w:type="dxa"/>
        <w:jc w:val="center"/>
        <w:tblInd w:w="0" w:type="dxa"/>
        <w:tblCellMar>
          <w:top w:w="28" w:type="dxa"/>
          <w:left w:w="28" w:type="dxa"/>
          <w:bottom w:w="28" w:type="dxa"/>
          <w:right w:w="28" w:type="dxa"/>
        </w:tblCellMar>
      </w:tblPr>
      <w:tblGrid>
        <w:gridCol w:w="1870"/>
        <w:gridCol w:w="1644"/>
        <w:gridCol w:w="1647"/>
        <w:gridCol w:w="109"/>
        <w:gridCol w:w="109"/>
        <w:gridCol w:w="109"/>
        <w:gridCol w:w="196"/>
        <w:gridCol w:w="798"/>
        <w:gridCol w:w="109"/>
        <w:gridCol w:w="109"/>
        <w:gridCol w:w="109"/>
        <w:gridCol w:w="109"/>
        <w:gridCol w:w="196"/>
        <w:gridCol w:w="871"/>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6"/>
      </w:tblGrid>
      <w:tr>
        <w:trPr/>
        <w:tc>
          <w:tcPr>
            <w:tcW w:w="1870" w:type="dxa"/>
            <w:tcBorders/>
            <w:shd w:fill="auto" w:val="clear"/>
            <w:vAlign w:val="center"/>
          </w:tcPr>
          <w:p>
            <w:pPr>
              <w:pStyle w:val="TableContents"/>
              <w:spacing w:before="0" w:after="283"/>
              <w:rPr>
                <w:sz w:val="4"/>
                <w:szCs w:val="4"/>
              </w:rPr>
            </w:pPr>
            <w:r>
              <w:rPr>
                <w:sz w:val="4"/>
                <w:szCs w:val="4"/>
              </w:rPr>
            </w:r>
          </w:p>
        </w:tc>
        <w:tc>
          <w:tcPr>
            <w:tcW w:w="1644" w:type="dxa"/>
            <w:tcBorders/>
            <w:shd w:fill="auto" w:val="clear"/>
            <w:vAlign w:val="center"/>
          </w:tcPr>
          <w:p>
            <w:pPr>
              <w:pStyle w:val="TableContents"/>
              <w:spacing w:before="0" w:after="283"/>
              <w:rPr>
                <w:sz w:val="4"/>
                <w:szCs w:val="4"/>
              </w:rPr>
            </w:pPr>
            <w:r>
              <w:rPr>
                <w:sz w:val="4"/>
                <w:szCs w:val="4"/>
              </w:rPr>
            </w:r>
          </w:p>
        </w:tc>
        <w:tc>
          <w:tcPr>
            <w:tcW w:w="16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4"/>
              </w:rPr>
            </w:pPr>
            <w:r>
              <w:rPr>
                <w:rFonts w:ascii="Calibri;sans-serif" w:hAnsi="Calibri;sans-serif"/>
                <w:b/>
                <w:color w:val="000000"/>
                <w:sz w:val="24"/>
              </w:rPr>
              <w:t>CONSOLIDATED STATEMENTS OF CASH FLOWS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0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(unaudited, in 000s)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Nine months ended March 31,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CASH FLOWS FROM OPERATING ACTIVITIES: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98"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251,429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330,971 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90"/>
              <w:rPr>
                <w:sz w:val="4"/>
                <w:szCs w:val="4"/>
              </w:rPr>
            </w:pPr>
            <w:r>
              <w:rPr>
                <w:sz w:val="4"/>
                <w:szCs w:val="4"/>
              </w:rPr>
            </w:r>
          </w:p>
        </w:tc>
      </w:tr>
      <w:tr>
        <w:trPr/>
        <w:tc>
          <w:tcPr>
            <w:tcW w:w="51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Adjustments to reconcile net income to 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98,660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107,462 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Provision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49,174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59,778 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Deferred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6,685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(85,122)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26,785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19,988 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Changes in assets and liabilities, net of acquisitions: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Receivables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(237,395)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(233,362)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Prepaid expenses, other current and noncurrent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(17,438)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(16,525)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Accounts payable, accrued expenses, salaries, wages and payroll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122,025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122,112 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Deferred revenue, other current and noncurrent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22,054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36,960 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Income tax receivables, accrued income taxes and income tax reserves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179,692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36,244 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(3,285)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(5,378)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498,386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373,128 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Capital expenditures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(56,661)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(52,718)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Payments made for business acquisitions, net of cash acquired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(47,740)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(25,465)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Franchise loans funded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(21,566)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(18,468)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Payments from franchisees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14,963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17,714 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9,717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7,831 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(101,287)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(71,106)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Repayments of line of credit borrowings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(970,000)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(705,000)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Proceeds from line of credit borrowings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970,000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705,000 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Dividends paid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(133,762)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(143,435)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Repurchase of common stock, including shares surrendered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(365,852)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(555,247)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Proceeds from exercise of stock options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1,427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4,605 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(7,400)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(13,389)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(505,587)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(707,466)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Effects of exchange rate changes on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(7,880)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decrease in cash and cash equivalents, including restricted balances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(116,368)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(407,110)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cash equivalents and restricted cash, beginning of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1,050,713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1,584,164 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Cash, cash equivalents and restricted cash, end of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934,345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1,177,054 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SUPPLEMENTARY CASH FLOW DATA: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Income taxes paid (received),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(110,028)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76,894 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Interest paid on borrowings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59,429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58,009 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Accrued additions to property and 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4,378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New operating right of use assets and related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131,949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126,726 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Accrued dividends payable to common shareholders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44,163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43,041 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16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03"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76"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60" w:after="283"/>
        <w:jc w:val="right"/>
        <w:rPr>
          <w:rFonts w:ascii="Calibri;sans-serif" w:hAnsi="Calibri;sans-serif"/>
          <w:b w:val="false"/>
          <w:color w:val="000000"/>
          <w:sz w:val="16"/>
        </w:rPr>
      </w:pPr>
      <w:r>
        <w:rPr>
          <w:rFonts w:ascii="Calibri;sans-serif" w:hAnsi="Calibri;sans-serif"/>
          <w:b w:val="false"/>
          <w:color w:val="000000"/>
          <w:sz w:val="16"/>
        </w:rPr>
        <w:t xml:space="preserve">See accompanying notes to consolidated financial statements.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692265" cy="594995"/>
                <wp:effectExtent l="0" t="0" r="0" b="0"/>
                <wp:wrapNone/>
                <wp:docPr id="5" name="Frame5"/>
                <a:graphic xmlns:a="http://schemas.openxmlformats.org/drawingml/2006/main">
                  <a:graphicData uri="http://schemas.microsoft.com/office/word/2010/wordprocessingShape">
                    <wps:wsp>
                      <wps:cNvSpPr txBox="1"/>
                      <wps:spPr>
                        <a:xfrm>
                          <a:off x="0" y="0"/>
                          <a:ext cx="6692265" cy="594995"/>
                        </a:xfrm>
                        <a:prstGeom prst="rect"/>
                      </wps:spPr>
                      <wps:txbx>
                        <w:txbxContent>
                          <w:tbl>
                            <w:tblPr>
                              <w:tblW w:w="3192" w:type="dxa"/>
                              <w:jc w:val="right"/>
                              <w:tblInd w:w="0" w:type="dxa"/>
                              <w:tblCellMar>
                                <w:top w:w="28" w:type="dxa"/>
                                <w:left w:w="28" w:type="dxa"/>
                                <w:bottom w:w="28" w:type="dxa"/>
                                <w:right w:w="28" w:type="dxa"/>
                              </w:tblCellMar>
                            </w:tblPr>
                            <w:tblGrid>
                              <w:gridCol w:w="1019"/>
                              <w:gridCol w:w="898"/>
                              <w:gridCol w:w="903"/>
                              <w:gridCol w:w="109"/>
                              <w:gridCol w:w="109"/>
                              <w:gridCol w:w="154"/>
                            </w:tblGrid>
                            <w:tr>
                              <w:trPr/>
                              <w:tc>
                                <w:tcPr>
                                  <w:tcW w:w="1019"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2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 Q3 FY2023 Form 10-Q</w:t>
                                  </w:r>
                                </w:p>
                              </w:tc>
                              <w:tc>
                                <w:tcPr>
                                  <w:tcW w:w="37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192" w:type="dxa"/>
                        <w:jc w:val="right"/>
                        <w:tblInd w:w="0" w:type="dxa"/>
                        <w:tblCellMar>
                          <w:top w:w="28" w:type="dxa"/>
                          <w:left w:w="28" w:type="dxa"/>
                          <w:bottom w:w="28" w:type="dxa"/>
                          <w:right w:w="28" w:type="dxa"/>
                        </w:tblCellMar>
                      </w:tblPr>
                      <w:tblGrid>
                        <w:gridCol w:w="1019"/>
                        <w:gridCol w:w="898"/>
                        <w:gridCol w:w="903"/>
                        <w:gridCol w:w="109"/>
                        <w:gridCol w:w="109"/>
                        <w:gridCol w:w="154"/>
                      </w:tblGrid>
                      <w:tr>
                        <w:trPr/>
                        <w:tc>
                          <w:tcPr>
                            <w:tcW w:w="1019"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9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82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 Q3 FY2023 Form 10-Q</w:t>
                            </w:r>
                          </w:p>
                        </w:tc>
                        <w:tc>
                          <w:tcPr>
                            <w:tcW w:w="37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3</w:t>
                            </w:r>
                          </w:p>
                        </w:tc>
                      </w:tr>
                    </w:tbl>
                    <w:p>
                      <w:pPr>
                        <w:pStyle w:val="TextBody"/>
                        <w:spacing w:before="0" w:after="283"/>
                        <w:rPr/>
                      </w:pPr>
                      <w:r>
                        <w:rPr/>
                      </w:r>
                    </w:p>
                  </w:txbxContent>
                </v:textbox>
              </v:rect>
            </w:pict>
          </mc:Fallback>
        </mc:AlternateContent>
      </w:r>
    </w:p>
    <w:p>
      <w:pPr>
        <w:pStyle w:val="TextBody"/>
        <w:spacing w:lineRule="auto" w:line="288" w:before="120" w:after="283"/>
        <w:rPr/>
      </w:pPr>
      <w:hyperlink w:anchor="ica06acc7160d4977b3f034161052416e_7">
        <w:r>
          <w:rPr>
            <w:rStyle w:val="InternetLink"/>
            <w:rFonts w:ascii="Calibri;sans-serif" w:hAnsi="Calibri;sans-serif"/>
            <w:b w:val="false"/>
            <w:color w:val="0000FF"/>
            <w:sz w:val="18"/>
            <w:u w:val="single"/>
          </w:rPr>
          <w:t>Table of Contents</w:t>
        </w:r>
      </w:hyperlink>
    </w:p>
    <w:tbl>
      <w:tblPr>
        <w:tblW w:w="13232" w:type="dxa"/>
        <w:jc w:val="center"/>
        <w:tblInd w:w="0" w:type="dxa"/>
        <w:tblCellMar>
          <w:top w:w="28" w:type="dxa"/>
          <w:left w:w="28" w:type="dxa"/>
          <w:bottom w:w="28" w:type="dxa"/>
          <w:right w:w="28" w:type="dxa"/>
        </w:tblCellMar>
      </w:tblPr>
      <w:tblGrid>
        <w:gridCol w:w="751"/>
        <w:gridCol w:w="265"/>
        <w:gridCol w:w="215"/>
        <w:gridCol w:w="109"/>
        <w:gridCol w:w="109"/>
        <w:gridCol w:w="109"/>
        <w:gridCol w:w="460"/>
        <w:gridCol w:w="291"/>
        <w:gridCol w:w="109"/>
        <w:gridCol w:w="109"/>
        <w:gridCol w:w="109"/>
        <w:gridCol w:w="109"/>
        <w:gridCol w:w="196"/>
        <w:gridCol w:w="571"/>
        <w:gridCol w:w="109"/>
        <w:gridCol w:w="109"/>
        <w:gridCol w:w="109"/>
        <w:gridCol w:w="109"/>
        <w:gridCol w:w="109"/>
        <w:gridCol w:w="109"/>
        <w:gridCol w:w="811"/>
        <w:gridCol w:w="109"/>
        <w:gridCol w:w="214"/>
        <w:gridCol w:w="822"/>
        <w:gridCol w:w="120"/>
        <w:gridCol w:w="109"/>
        <w:gridCol w:w="109"/>
        <w:gridCol w:w="109"/>
        <w:gridCol w:w="196"/>
        <w:gridCol w:w="661"/>
        <w:gridCol w:w="109"/>
        <w:gridCol w:w="109"/>
        <w:gridCol w:w="109"/>
        <w:gridCol w:w="109"/>
        <w:gridCol w:w="196"/>
        <w:gridCol w:w="751"/>
        <w:gridCol w:w="109"/>
        <w:gridCol w:w="109"/>
        <w:gridCol w:w="109"/>
        <w:gridCol w:w="109"/>
        <w:gridCol w:w="330"/>
        <w:gridCol w:w="331"/>
        <w:gridCol w:w="181"/>
        <w:gridCol w:w="109"/>
        <w:gridCol w:w="109"/>
        <w:gridCol w:w="109"/>
        <w:gridCol w:w="196"/>
        <w:gridCol w:w="751"/>
        <w:gridCol w:w="109"/>
        <w:gridCol w:w="220"/>
        <w:gridCol w:w="220"/>
        <w:gridCol w:w="221"/>
        <w:gridCol w:w="196"/>
        <w:gridCol w:w="751"/>
        <w:gridCol w:w="154"/>
      </w:tblGrid>
      <w:tr>
        <w:trPr/>
        <w:tc>
          <w:tcPr>
            <w:tcW w:w="751"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977"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28"/>
              </w:rPr>
            </w:pPr>
            <w:r>
              <w:rPr>
                <w:rFonts w:ascii="Calibri;sans-serif" w:hAnsi="Calibri;sans-serif"/>
                <w:b/>
                <w:color w:val="000000"/>
                <w:sz w:val="28"/>
              </w:rPr>
              <w:t>CONSOLIDATED STATEMENTS OF STOCKHOLDERS' EQUITY</w:t>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001"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(amounts in 000s, except per share amounts)</w:t>
            </w:r>
          </w:p>
        </w:tc>
        <w:tc>
          <w:tcPr>
            <w:tcW w:w="3145" w:type="dxa"/>
            <w:gridSpan w:val="12"/>
            <w:tcBorders/>
            <w:shd w:fill="auto" w:val="clear"/>
          </w:tcPr>
          <w:p>
            <w:pPr>
              <w:pStyle w:val="TableContents"/>
              <w:spacing w:before="0" w:after="283"/>
              <w:rPr>
                <w:sz w:val="4"/>
                <w:szCs w:val="4"/>
              </w:rPr>
            </w:pPr>
            <w:r>
              <w:rPr>
                <w:sz w:val="4"/>
                <w:szCs w:val="4"/>
              </w:rPr>
            </w:r>
          </w:p>
        </w:tc>
      </w:tr>
      <w:tr>
        <w:trPr/>
        <w:tc>
          <w:tcPr>
            <w:tcW w:w="123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063"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Common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Additional</w:t>
              <w:br/>
              <w:t>Paid-in</w:t>
              <w:br/>
              <w:t>Capital</w:t>
            </w:r>
          </w:p>
        </w:tc>
        <w:tc>
          <w:tcPr>
            <w:tcW w:w="109" w:type="dxa"/>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right"/>
              <w:rPr>
                <w:rFonts w:ascii="Calibri;sans-serif" w:hAnsi="Calibri;sans-serif"/>
                <w:b w:val="false"/>
                <w:color w:val="000000"/>
                <w:sz w:val="16"/>
              </w:rPr>
            </w:pPr>
            <w:r>
              <w:rPr>
                <w:rFonts w:ascii="Calibri;sans-serif" w:hAnsi="Calibri;sans-serif"/>
                <w:b w:val="false"/>
                <w:color w:val="000000"/>
                <w:sz w:val="16"/>
              </w:rPr>
              <w:t xml:space="preserve">Accumulated Other </w:t>
            </w:r>
          </w:p>
          <w:p>
            <w:pPr>
              <w:pStyle w:val="TableContents"/>
              <w:spacing w:lineRule="auto" w:line="240" w:before="0" w:after="0"/>
              <w:jc w:val="right"/>
              <w:rPr>
                <w:rFonts w:ascii="Calibri;sans-serif" w:hAnsi="Calibri;sans-serif"/>
                <w:b w:val="false"/>
                <w:color w:val="000000"/>
                <w:sz w:val="16"/>
              </w:rPr>
            </w:pPr>
            <w:r>
              <w:rPr>
                <w:rFonts w:ascii="Calibri;sans-serif" w:hAnsi="Calibri;sans-serif"/>
                <w:b w:val="false"/>
                <w:color w:val="000000"/>
                <w:sz w:val="16"/>
              </w:rPr>
              <w:t>Comprehensive</w:t>
            </w:r>
          </w:p>
          <w:p>
            <w:pPr>
              <w:pStyle w:val="TableContents"/>
              <w:spacing w:lineRule="auto" w:line="240" w:before="0" w:after="0"/>
              <w:jc w:val="right"/>
              <w:rPr/>
            </w:pPr>
            <w:r>
              <w:rPr>
                <w:rFonts w:ascii="Calibri;sans-serif" w:hAnsi="Calibri;sans-serif"/>
                <w:b w:val="false"/>
                <w:color w:val="000000"/>
                <w:sz w:val="16"/>
              </w:rPr>
              <w:t>Income (Loss)</w:t>
            </w:r>
            <w:r>
              <w:rPr>
                <w:rFonts w:ascii="Calibri;sans-serif" w:hAnsi="Calibri;sans-serif"/>
                <w:b w:val="false"/>
                <w:color w:val="000000"/>
                <w:sz w:val="10"/>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Retained</w:t>
              <w:br/>
              <w:t xml:space="preserve">Earnings </w:t>
              <w:br/>
              <w:t>(Deficit)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225"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Treasury Stock</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Total</w:t>
              <w:br/>
              <w:t>Stockholders’</w:t>
              <w:br/>
              <w:t>Equity</w:t>
            </w:r>
          </w:p>
        </w:tc>
        <w:tc>
          <w:tcPr>
            <w:tcW w:w="1762" w:type="dxa"/>
            <w:gridSpan w:val="6"/>
            <w:tcBorders/>
            <w:shd w:fill="auto" w:val="clear"/>
          </w:tcPr>
          <w:p>
            <w:pPr>
              <w:pStyle w:val="TableContents"/>
              <w:spacing w:before="0" w:after="283"/>
              <w:rPr>
                <w:sz w:val="4"/>
                <w:szCs w:val="4"/>
              </w:rPr>
            </w:pPr>
            <w:r>
              <w:rPr>
                <w:sz w:val="4"/>
                <w:szCs w:val="4"/>
              </w:rPr>
            </w:r>
          </w:p>
        </w:tc>
      </w:tr>
      <w:tr>
        <w:trPr/>
        <w:tc>
          <w:tcPr>
            <w:tcW w:w="12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top w:val="single" w:sz="8" w:space="0" w:color="000000"/>
            </w:tcBorders>
            <w:shd w:fill="FFFFFF" w:val="clear"/>
            <w:tcMar>
              <w:top w:w="30" w:type="dxa"/>
              <w:left w:w="0" w:type="dxa"/>
              <w:bottom w:w="0" w:type="dxa"/>
              <w:right w:w="0" w:type="dxa"/>
            </w:tcMar>
            <w:vAlign w:val="center"/>
          </w:tcPr>
          <w:p>
            <w:pPr>
              <w:pStyle w:val="Normal"/>
              <w:rPr/>
            </w:pPr>
            <w:r>
              <w:rPr/>
            </w:r>
          </w:p>
        </w:tc>
        <w:tc>
          <w:tcPr>
            <w:tcW w:w="6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Amount</w:t>
            </w:r>
          </w:p>
        </w:tc>
        <w:tc>
          <w:tcPr>
            <w:tcW w:w="11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Balances as of July 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193,571</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57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1,936</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2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772,182</w:t>
            </w:r>
            <w:r>
              <w:rPr>
                <w:color w:val="000000"/>
              </w:rPr>
              <w:t> </w:t>
            </w:r>
          </w:p>
        </w:tc>
        <w:tc>
          <w:tcPr>
            <w:tcW w:w="12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(21,645)</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120,405</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(33,641)</w:t>
            </w:r>
          </w:p>
        </w:tc>
        <w:tc>
          <w:tcPr>
            <w:tcW w:w="18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(661,247)</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211,631</w:t>
            </w:r>
            <w:r>
              <w:rPr>
                <w:color w:val="000000"/>
              </w:rPr>
              <w:t>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(168,421)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(168,421)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(32,345)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(32,345)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5,630</w:t>
            </w: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5,630</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Stock-based awards exercised or vested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(15,276)</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(742)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805</w:t>
            </w: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15,839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(179)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Calibri;sans-serif" w:hAnsi="Calibri;sans-serif"/>
                <w:b w:val="false"/>
                <w:color w:val="000000"/>
                <w:sz w:val="18"/>
              </w:rPr>
              <w:t>Acquisition of treasury shares</w:t>
            </w:r>
            <w:r>
              <w:rPr>
                <w:rFonts w:ascii="Calibri;sans-serif" w:hAnsi="Calibri;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(341)</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(15,432)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(15,432)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Repurchase and retirement of common shares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(4,927)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(49)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(2,907)</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(216,813)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(219,769)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Calibri;sans-serif" w:hAnsi="Calibri;sans-serif"/>
                <w:b w:val="false"/>
                <w:color w:val="000000"/>
                <w:sz w:val="18"/>
              </w:rPr>
            </w:pPr>
            <w:r>
              <w:rPr>
                <w:rFonts w:ascii="Calibri;sans-serif" w:hAnsi="Calibri;sans-serif"/>
                <w:b w:val="false"/>
                <w:color w:val="000000"/>
                <w:sz w:val="18"/>
              </w:rPr>
              <w:t>Cash dividends declared - $0.29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(46,100)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(46,100)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Balances as of September 30,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188,644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1,887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759,629</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(53,990)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(311,671)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(33,177)</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(660,840)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(264,985)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(223,579)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(223,579)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9,307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9,307</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9,544</w:t>
            </w: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9,544</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Stock-based awards exercised or vested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421</w:t>
            </w: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52</w:t>
            </w: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1,023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1,235</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Calibri;sans-serif" w:hAnsi="Calibri;sans-serif"/>
                <w:b w:val="false"/>
                <w:color w:val="000000"/>
                <w:sz w:val="18"/>
              </w:rPr>
              <w:t>Acquisition of treasury shares</w:t>
            </w:r>
            <w:r>
              <w:rPr>
                <w:rFonts w:ascii="Calibri;sans-serif" w:hAnsi="Calibri;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(79)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(79)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Repurchase and retirement of common shares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(3,241)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(1,911)</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(128,409)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(130,353)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Calibri;sans-serif" w:hAnsi="Calibri;sans-serif"/>
                <w:b w:val="false"/>
                <w:color w:val="000000"/>
                <w:sz w:val="18"/>
              </w:rPr>
            </w:pPr>
            <w:r>
              <w:rPr>
                <w:rFonts w:ascii="Calibri;sans-serif" w:hAnsi="Calibri;sans-serif"/>
                <w:b w:val="false"/>
                <w:color w:val="000000"/>
                <w:sz w:val="18"/>
              </w:rPr>
              <w:t>Cash dividends declared - $0.29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(44,569)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(44,569)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Balances as of 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185,403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1,854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2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767,683</w:t>
            </w: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(44,683)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(708,437)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(33,127)</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(659,896)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(643,479)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643,429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643,429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402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402</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7,830</w:t>
            </w: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7,830</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Stock-based awards exercised or vested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(244)</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13</w:t>
            </w: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265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(192)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Calibri;sans-serif" w:hAnsi="Calibri;sans-serif"/>
                <w:b w:val="false"/>
                <w:color w:val="000000"/>
                <w:sz w:val="18"/>
              </w:rPr>
              <w:t>Acquisition of treasury shares</w:t>
            </w:r>
            <w:r>
              <w:rPr>
                <w:rFonts w:ascii="Calibri;sans-serif" w:hAnsi="Calibri;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(6)</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(219)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(219)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Calibri;sans-serif" w:hAnsi="Calibri;sans-serif"/>
                <w:b w:val="false"/>
                <w:color w:val="000000"/>
                <w:sz w:val="18"/>
              </w:rPr>
            </w:pPr>
            <w:r>
              <w:rPr>
                <w:rFonts w:ascii="Calibri;sans-serif" w:hAnsi="Calibri;sans-serif"/>
                <w:b w:val="false"/>
                <w:color w:val="000000"/>
                <w:sz w:val="18"/>
              </w:rPr>
              <w:t>Cash dividends declared - $0.29 per share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(44,163)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(44,163)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Balances as of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185,403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1,854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775,269</w:t>
            </w: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(44,281)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(109,384)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(33,120)</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(659,850)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(36,392)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860"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842"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66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180"/>
        <w:jc w:val="both"/>
        <w:rPr/>
      </w:pPr>
      <w:r>
        <w:rPr>
          <w:rFonts w:ascii="Calibri;sans-serif" w:hAnsi="Calibri;sans-serif"/>
          <w:b w:val="false"/>
          <w:color w:val="000000"/>
          <w:sz w:val="10"/>
        </w:rPr>
        <w:t xml:space="preserve">(1) </w:t>
      </w:r>
      <w:r>
        <w:rPr>
          <w:rFonts w:ascii="Calibri;sans-serif" w:hAnsi="Calibri;sans-serif"/>
          <w:b w:val="false"/>
          <w:color w:val="000000"/>
          <w:sz w:val="16"/>
        </w:rPr>
        <w:t>The balance of our accumulated other comprehensive income (loss) consists of foreign currency translation adjustments.</w:t>
      </w:r>
    </w:p>
    <w:p>
      <w:pPr>
        <w:pStyle w:val="TextBody"/>
        <w:spacing w:lineRule="auto" w:line="288" w:before="0" w:after="0"/>
        <w:ind w:left="0" w:right="0" w:hanging="180"/>
        <w:jc w:val="both"/>
        <w:rPr/>
      </w:pPr>
      <w:r>
        <w:rPr>
          <w:rFonts w:ascii="Calibri;sans-serif" w:hAnsi="Calibri;sans-serif"/>
          <w:b w:val="false"/>
          <w:color w:val="000000"/>
          <w:sz w:val="10"/>
        </w:rPr>
        <w:t xml:space="preserve">(2) </w:t>
      </w:r>
      <w:r>
        <w:rPr>
          <w:rFonts w:ascii="Calibri;sans-serif" w:hAnsi="Calibri;sans-serif"/>
          <w:b w:val="false"/>
          <w:color w:val="000000"/>
          <w:sz w:val="16"/>
        </w:rPr>
        <w:t>Represents shares swapped or surrendered to us in connection with the vesting or exercise of stock-based awards.</w:t>
      </w:r>
    </w:p>
    <w:p>
      <w:pPr>
        <w:pStyle w:val="TextBody"/>
        <w:spacing w:lineRule="auto" w:line="288" w:before="60" w:after="283"/>
        <w:jc w:val="right"/>
        <w:rPr>
          <w:rFonts w:ascii="Calibri;sans-serif" w:hAnsi="Calibri;sans-serif"/>
          <w:b w:val="false"/>
          <w:color w:val="000000"/>
          <w:sz w:val="16"/>
        </w:rPr>
      </w:pPr>
      <w:r>
        <w:rPr>
          <w:rFonts w:ascii="Calibri;sans-serif" w:hAnsi="Calibri;sans-serif"/>
          <w:b w:val="false"/>
          <w:color w:val="000000"/>
          <w:sz w:val="16"/>
        </w:rPr>
        <w:t xml:space="preserve">See accompanying notes to consolidated financial statements. </w:t>
      </w:r>
    </w:p>
    <w:p>
      <w:pPr>
        <w:pStyle w:val="TextBody"/>
        <w:spacing w:before="0" w:after="0"/>
        <w:ind w:left="0" w:right="0" w:hanging="180"/>
        <w:jc w:val="both"/>
        <w:rPr/>
      </w:pPr>
      <w:r>
        <w:rPr/>
      </w: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692265" cy="543560"/>
                <wp:effectExtent l="0" t="0" r="0" b="0"/>
                <wp:wrapNone/>
                <wp:docPr id="6" name="Frame6"/>
                <a:graphic xmlns:a="http://schemas.openxmlformats.org/drawingml/2006/main">
                  <a:graphicData uri="http://schemas.microsoft.com/office/word/2010/wordprocessingShape">
                    <wps:wsp>
                      <wps:cNvSpPr txBox="1"/>
                      <wps:spPr>
                        <a:xfrm>
                          <a:off x="0" y="0"/>
                          <a:ext cx="6692265" cy="543560"/>
                        </a:xfrm>
                        <a:prstGeom prst="rect"/>
                      </wps:spPr>
                      <wps:txbx>
                        <w:txbxContent>
                          <w:tbl>
                            <w:tblPr>
                              <w:tblW w:w="3131" w:type="dxa"/>
                              <w:jc w:val="left"/>
                              <w:tblInd w:w="0" w:type="dxa"/>
                              <w:tblCellMar>
                                <w:top w:w="28" w:type="dxa"/>
                                <w:left w:w="28" w:type="dxa"/>
                                <w:bottom w:w="28" w:type="dxa"/>
                                <w:right w:w="28" w:type="dxa"/>
                              </w:tblCellMar>
                            </w:tblPr>
                            <w:tblGrid>
                              <w:gridCol w:w="124"/>
                              <w:gridCol w:w="109"/>
                              <w:gridCol w:w="109"/>
                              <w:gridCol w:w="814"/>
                              <w:gridCol w:w="814"/>
                              <w:gridCol w:w="116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4</w:t>
                                  </w:r>
                                </w:p>
                              </w:tc>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Calibri;sans-serif" w:hAnsi="Calibri;sans-serif"/>
                                      <w:b w:val="false"/>
                                      <w:color w:val="000000"/>
                                      <w:sz w:val="16"/>
                                    </w:rPr>
                                    <w:t xml:space="preserve">Q3 FY2023 Form 10-Q| </w:t>
                                  </w:r>
                                  <w:r>
                                    <w:rPr>
                                      <w:rFonts w:ascii="Calibri;sans-serif" w:hAnsi="Calibri;sans-serif"/>
                                      <w:b/>
                                      <w:color w:val="000000"/>
                                      <w:sz w:val="16"/>
                                    </w:rPr>
                                    <w:t>H&amp;R Block, Inc.</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3131" w:type="dxa"/>
                        <w:jc w:val="left"/>
                        <w:tblInd w:w="0" w:type="dxa"/>
                        <w:tblCellMar>
                          <w:top w:w="28" w:type="dxa"/>
                          <w:left w:w="28" w:type="dxa"/>
                          <w:bottom w:w="28" w:type="dxa"/>
                          <w:right w:w="28" w:type="dxa"/>
                        </w:tblCellMar>
                      </w:tblPr>
                      <w:tblGrid>
                        <w:gridCol w:w="124"/>
                        <w:gridCol w:w="109"/>
                        <w:gridCol w:w="109"/>
                        <w:gridCol w:w="814"/>
                        <w:gridCol w:w="814"/>
                        <w:gridCol w:w="116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4</w:t>
                            </w:r>
                          </w:p>
                        </w:tc>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Calibri;sans-serif" w:hAnsi="Calibri;sans-serif"/>
                                <w:b w:val="false"/>
                                <w:color w:val="000000"/>
                                <w:sz w:val="16"/>
                              </w:rPr>
                              <w:t xml:space="preserve">Q3 FY2023 Form 10-Q| </w:t>
                            </w:r>
                            <w:r>
                              <w:rPr>
                                <w:rFonts w:ascii="Calibri;sans-serif" w:hAnsi="Calibri;sans-serif"/>
                                <w:b/>
                                <w:color w:val="000000"/>
                                <w:sz w:val="16"/>
                              </w:rPr>
                              <w:t>H&amp;R Block, Inc.</w:t>
                            </w:r>
                          </w:p>
                        </w:tc>
                      </w:tr>
                    </w:tbl>
                    <w:p>
                      <w:pPr>
                        <w:pStyle w:val="TextBody"/>
                        <w:spacing w:before="0" w:after="283"/>
                        <w:rPr/>
                      </w:pPr>
                      <w:r>
                        <w:rPr/>
                      </w:r>
                    </w:p>
                  </w:txbxContent>
                </v:textbox>
              </v:rect>
            </w:pict>
          </mc:Fallback>
        </mc:AlternateContent>
      </w:r>
    </w:p>
    <w:p>
      <w:pPr>
        <w:pStyle w:val="TextBody"/>
        <w:spacing w:lineRule="auto" w:line="288" w:before="120" w:after="283"/>
        <w:rPr/>
      </w:pPr>
      <w:hyperlink w:anchor="ica06acc7160d4977b3f034161052416e_7">
        <w:r>
          <w:rPr>
            <w:rStyle w:val="InternetLink"/>
            <w:rFonts w:ascii="Calibri;sans-serif" w:hAnsi="Calibri;sans-serif"/>
            <w:b w:val="false"/>
            <w:color w:val="0000FF"/>
            <w:sz w:val="18"/>
            <w:u w:val="single"/>
          </w:rPr>
          <w:t>Table of Contents</w:t>
        </w:r>
      </w:hyperlink>
    </w:p>
    <w:tbl>
      <w:tblPr>
        <w:tblW w:w="13274" w:type="dxa"/>
        <w:jc w:val="center"/>
        <w:tblInd w:w="0" w:type="dxa"/>
        <w:tblCellMar>
          <w:top w:w="28" w:type="dxa"/>
          <w:left w:w="28" w:type="dxa"/>
          <w:bottom w:w="28" w:type="dxa"/>
          <w:right w:w="28" w:type="dxa"/>
        </w:tblCellMar>
      </w:tblPr>
      <w:tblGrid>
        <w:gridCol w:w="733"/>
        <w:gridCol w:w="248"/>
        <w:gridCol w:w="250"/>
        <w:gridCol w:w="109"/>
        <w:gridCol w:w="109"/>
        <w:gridCol w:w="109"/>
        <w:gridCol w:w="368"/>
        <w:gridCol w:w="368"/>
        <w:gridCol w:w="181"/>
        <w:gridCol w:w="109"/>
        <w:gridCol w:w="109"/>
        <w:gridCol w:w="109"/>
        <w:gridCol w:w="196"/>
        <w:gridCol w:w="556"/>
        <w:gridCol w:w="109"/>
        <w:gridCol w:w="109"/>
        <w:gridCol w:w="109"/>
        <w:gridCol w:w="109"/>
        <w:gridCol w:w="109"/>
        <w:gridCol w:w="109"/>
        <w:gridCol w:w="811"/>
        <w:gridCol w:w="109"/>
        <w:gridCol w:w="217"/>
        <w:gridCol w:w="817"/>
        <w:gridCol w:w="122"/>
        <w:gridCol w:w="109"/>
        <w:gridCol w:w="109"/>
        <w:gridCol w:w="109"/>
        <w:gridCol w:w="196"/>
        <w:gridCol w:w="661"/>
        <w:gridCol w:w="109"/>
        <w:gridCol w:w="109"/>
        <w:gridCol w:w="109"/>
        <w:gridCol w:w="109"/>
        <w:gridCol w:w="196"/>
        <w:gridCol w:w="751"/>
        <w:gridCol w:w="109"/>
        <w:gridCol w:w="109"/>
        <w:gridCol w:w="109"/>
        <w:gridCol w:w="109"/>
        <w:gridCol w:w="330"/>
        <w:gridCol w:w="331"/>
        <w:gridCol w:w="181"/>
        <w:gridCol w:w="109"/>
        <w:gridCol w:w="109"/>
        <w:gridCol w:w="109"/>
        <w:gridCol w:w="196"/>
        <w:gridCol w:w="751"/>
        <w:gridCol w:w="109"/>
        <w:gridCol w:w="220"/>
        <w:gridCol w:w="220"/>
        <w:gridCol w:w="221"/>
        <w:gridCol w:w="196"/>
        <w:gridCol w:w="751"/>
        <w:gridCol w:w="154"/>
      </w:tblGrid>
      <w:tr>
        <w:trPr/>
        <w:tc>
          <w:tcPr>
            <w:tcW w:w="733"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817"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10799" w:type="dxa"/>
            <w:gridSpan w:val="46"/>
            <w:tcBorders/>
            <w:shd w:fill="auto" w:val="clear"/>
          </w:tcPr>
          <w:p>
            <w:pPr>
              <w:pStyle w:val="TableContents"/>
              <w:spacing w:before="0" w:after="283"/>
              <w:rPr>
                <w:sz w:val="4"/>
                <w:szCs w:val="4"/>
              </w:rPr>
            </w:pPr>
            <w:r>
              <w:rPr>
                <w:sz w:val="4"/>
                <w:szCs w:val="4"/>
              </w:rPr>
            </w:r>
          </w:p>
        </w:tc>
      </w:tr>
      <w:tr>
        <w:trPr/>
        <w:tc>
          <w:tcPr>
            <w:tcW w:w="5019" w:type="dxa"/>
            <w:gridSpan w:val="21"/>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001"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(amounts in 000s, except per share amounts)</w:t>
            </w:r>
          </w:p>
        </w:tc>
        <w:tc>
          <w:tcPr>
            <w:tcW w:w="3145" w:type="dxa"/>
            <w:gridSpan w:val="12"/>
            <w:tcBorders/>
            <w:shd w:fill="auto" w:val="clear"/>
          </w:tcPr>
          <w:p>
            <w:pPr>
              <w:pStyle w:val="TableContents"/>
              <w:spacing w:before="0" w:after="283"/>
              <w:rPr>
                <w:sz w:val="4"/>
                <w:szCs w:val="4"/>
              </w:rPr>
            </w:pPr>
            <w:r>
              <w:rPr>
                <w:sz w:val="4"/>
                <w:szCs w:val="4"/>
              </w:rPr>
            </w:r>
          </w:p>
        </w:tc>
      </w:tr>
      <w:tr>
        <w:trPr/>
        <w:tc>
          <w:tcPr>
            <w:tcW w:w="123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0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Common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Additional</w:t>
              <w:br/>
              <w:t>Paid-in</w:t>
              <w:br/>
              <w:t>Capital</w:t>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right"/>
              <w:rPr>
                <w:rFonts w:ascii="Calibri;sans-serif" w:hAnsi="Calibri;sans-serif"/>
                <w:b w:val="false"/>
                <w:color w:val="000000"/>
                <w:sz w:val="16"/>
              </w:rPr>
            </w:pPr>
            <w:r>
              <w:rPr>
                <w:rFonts w:ascii="Calibri;sans-serif" w:hAnsi="Calibri;sans-serif"/>
                <w:b w:val="false"/>
                <w:color w:val="000000"/>
                <w:sz w:val="16"/>
              </w:rPr>
              <w:t xml:space="preserve">Accumulated Other </w:t>
            </w:r>
          </w:p>
          <w:p>
            <w:pPr>
              <w:pStyle w:val="TableContents"/>
              <w:spacing w:lineRule="auto" w:line="240" w:before="0" w:after="0"/>
              <w:jc w:val="right"/>
              <w:rPr>
                <w:rFonts w:ascii="Calibri;sans-serif" w:hAnsi="Calibri;sans-serif"/>
                <w:b w:val="false"/>
                <w:color w:val="000000"/>
                <w:sz w:val="16"/>
              </w:rPr>
            </w:pPr>
            <w:r>
              <w:rPr>
                <w:rFonts w:ascii="Calibri;sans-serif" w:hAnsi="Calibri;sans-serif"/>
                <w:b w:val="false"/>
                <w:color w:val="000000"/>
                <w:sz w:val="16"/>
              </w:rPr>
              <w:t>Comprehensive</w:t>
            </w:r>
          </w:p>
          <w:p>
            <w:pPr>
              <w:pStyle w:val="TableContents"/>
              <w:spacing w:lineRule="auto" w:line="240" w:before="0" w:after="0"/>
              <w:jc w:val="right"/>
              <w:rPr/>
            </w:pPr>
            <w:r>
              <w:rPr>
                <w:rFonts w:ascii="Calibri;sans-serif" w:hAnsi="Calibri;sans-serif"/>
                <w:b w:val="false"/>
                <w:color w:val="000000"/>
                <w:sz w:val="16"/>
              </w:rPr>
              <w:t>Income (Loss)</w:t>
            </w:r>
            <w:r>
              <w:rPr>
                <w:rFonts w:ascii="Calibri;sans-serif" w:hAnsi="Calibri;sans-serif"/>
                <w:b w:val="false"/>
                <w:color w:val="000000"/>
                <w:sz w:val="10"/>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Retained</w:t>
              <w:br/>
              <w:t xml:space="preserve">Earnings </w:t>
              <w:br/>
              <w:t>(Deficit)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2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6"/>
              </w:rPr>
            </w:pPr>
            <w:r>
              <w:rPr>
                <w:rFonts w:ascii="Calibri;sans-serif" w:hAnsi="Calibri;sans-serif"/>
                <w:b w:val="false"/>
                <w:color w:val="000000"/>
                <w:sz w:val="16"/>
              </w:rPr>
              <w:t>Treasury Stock</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restart"/>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Total</w:t>
              <w:br/>
              <w:t>Stockholders’</w:t>
              <w:br/>
              <w:t>Equity</w:t>
            </w:r>
          </w:p>
        </w:tc>
        <w:tc>
          <w:tcPr>
            <w:tcW w:w="1762" w:type="dxa"/>
            <w:gridSpan w:val="6"/>
            <w:tcBorders/>
            <w:shd w:fill="auto" w:val="clear"/>
          </w:tcPr>
          <w:p>
            <w:pPr>
              <w:pStyle w:val="TableContents"/>
              <w:spacing w:before="0" w:after="283"/>
              <w:rPr>
                <w:sz w:val="4"/>
                <w:szCs w:val="4"/>
              </w:rPr>
            </w:pPr>
            <w:r>
              <w:rPr>
                <w:sz w:val="4"/>
                <w:szCs w:val="4"/>
              </w:rPr>
            </w:r>
          </w:p>
        </w:tc>
      </w:tr>
      <w:tr>
        <w:trPr/>
        <w:tc>
          <w:tcPr>
            <w:tcW w:w="12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vMerge w:val="continue"/>
            <w:tcBorders>
              <w:top w:val="single" w:sz="8" w:space="0" w:color="000000"/>
            </w:tcBorders>
            <w:shd w:fill="auto" w:val="clear"/>
            <w:tcMar>
              <w:top w:w="30" w:type="dxa"/>
              <w:left w:w="0" w:type="dxa"/>
              <w:bottom w:w="0" w:type="dxa"/>
              <w:right w:w="0" w:type="dxa"/>
            </w:tcMar>
            <w:vAlign w:val="center"/>
          </w:tcPr>
          <w:p>
            <w:pPr>
              <w:pStyle w:val="Normal"/>
              <w:rPr/>
            </w:pPr>
            <w:r>
              <w:rPr/>
            </w:r>
          </w:p>
        </w:tc>
        <w:tc>
          <w:tcPr>
            <w:tcW w:w="6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Amount</w:t>
            </w:r>
          </w:p>
        </w:tc>
        <w:tc>
          <w:tcPr>
            <w:tcW w:w="11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Balances as of July 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216,656 </w:t>
            </w:r>
          </w:p>
        </w:tc>
        <w:tc>
          <w:tcPr>
            <w:tcW w:w="18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55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2,167 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1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779,465 </w:t>
            </w:r>
          </w:p>
        </w:tc>
        <w:tc>
          <w:tcPr>
            <w:tcW w:w="122"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6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88 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286,694 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(34,842)</w:t>
            </w:r>
          </w:p>
        </w:tc>
        <w:tc>
          <w:tcPr>
            <w:tcW w:w="18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(680,356)</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388,058 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(151,601)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(151,601)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(11,177)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(11,177)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5,627 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5,627 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Stock-based awards exercised or vested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(10,328)</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705 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13,765 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3,146 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Calibri;sans-serif" w:hAnsi="Calibri;sans-serif"/>
                <w:b w:val="false"/>
                <w:color w:val="000000"/>
                <w:sz w:val="18"/>
              </w:rPr>
              <w:t>Acquisition of treasury shares</w:t>
            </w:r>
            <w:r>
              <w:rPr>
                <w:rFonts w:ascii="Calibri;sans-serif" w:hAnsi="Calibri;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(205)</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(4,817)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(4,817)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Repurchase and retirement of common shares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(6,802)</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(4,081)</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(161,619)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(165,768)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Calibri;sans-serif" w:hAnsi="Calibri;sans-serif"/>
                <w:b w:val="false"/>
                <w:color w:val="000000"/>
                <w:sz w:val="18"/>
              </w:rPr>
            </w:pPr>
            <w:r>
              <w:rPr>
                <w:rFonts w:ascii="Calibri;sans-serif" w:hAnsi="Calibri;sans-serif"/>
                <w:b w:val="false"/>
                <w:color w:val="000000"/>
                <w:sz w:val="18"/>
              </w:rPr>
              <w:t>Cash dividends declared - $0.27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(47,940)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(47,940)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Balances as of September 30,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209,854 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770,683 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(11,089)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(74,757)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(34,342)</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(671,408)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15,528 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(190,605)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(190,605)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5,640 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5,640 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Stock-based awards exercised or vested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(1,709)</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122 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2,400 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472 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Calibri;sans-serif" w:hAnsi="Calibri;sans-serif"/>
                <w:b w:val="false"/>
                <w:color w:val="000000"/>
                <w:sz w:val="18"/>
              </w:rPr>
              <w:t>Acquisition of treasury shares</w:t>
            </w:r>
            <w:r>
              <w:rPr>
                <w:rFonts w:ascii="Calibri;sans-serif" w:hAnsi="Calibri;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Repurchase and retirement of common shares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(6,589)</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(3,953)</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(154,778)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(158,797)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Calibri;sans-serif" w:hAnsi="Calibri;sans-serif"/>
                <w:b w:val="false"/>
                <w:color w:val="000000"/>
                <w:sz w:val="18"/>
              </w:rPr>
            </w:pPr>
            <w:r>
              <w:rPr>
                <w:rFonts w:ascii="Calibri;sans-serif" w:hAnsi="Calibri;sans-serif"/>
                <w:b w:val="false"/>
                <w:color w:val="000000"/>
                <w:sz w:val="18"/>
              </w:rPr>
              <w:t>Cash dividends declared - $0.27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(46,497)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(46,497)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Balances as of December 31,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203,265 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770,661 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(9,433)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(466,856)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(34,222)</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(669,060)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(372,655)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673,177 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673,177 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5,595 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5,595 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5,619 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5,619 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Stock-based awards exercised or vested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(2,595)</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244 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4,771 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1,975 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Calibri;sans-serif" w:hAnsi="Calibri;sans-serif"/>
                <w:b w:val="false"/>
                <w:color w:val="000000"/>
                <w:sz w:val="18"/>
              </w:rPr>
              <w:t>Acquisition of treasury shares</w:t>
            </w:r>
            <w:r>
              <w:rPr>
                <w:rFonts w:ascii="Calibri;sans-serif" w:hAnsi="Calibri;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Repurchase and retirement of common shares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(9,694)</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(5,816)</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(219,868)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(225,781)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Calibri;sans-serif" w:hAnsi="Calibri;sans-serif"/>
                <w:b w:val="false"/>
                <w:color w:val="000000"/>
                <w:sz w:val="18"/>
              </w:rPr>
            </w:pPr>
            <w:r>
              <w:rPr>
                <w:rFonts w:ascii="Calibri;sans-serif" w:hAnsi="Calibri;sans-serif"/>
                <w:b w:val="false"/>
                <w:color w:val="000000"/>
                <w:sz w:val="18"/>
              </w:rPr>
              <w:t>Cash dividends declared - $0.27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(43,042)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(43,042)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Balances as of March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193,571 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767,869 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(3,838)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(56,790)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(33,979)</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(664,321)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44,856 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917"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842"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661"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180"/>
        <w:jc w:val="both"/>
        <w:rPr/>
      </w:pPr>
      <w:r>
        <w:rPr>
          <w:rFonts w:ascii="Calibri;sans-serif" w:hAnsi="Calibri;sans-serif"/>
          <w:b w:val="false"/>
          <w:color w:val="000000"/>
          <w:sz w:val="10"/>
        </w:rPr>
        <w:t xml:space="preserve">(1) </w:t>
      </w:r>
      <w:r>
        <w:rPr>
          <w:rFonts w:ascii="Calibri;sans-serif" w:hAnsi="Calibri;sans-serif"/>
          <w:b w:val="false"/>
          <w:color w:val="000000"/>
          <w:sz w:val="16"/>
        </w:rPr>
        <w:t>The balance of our accumulated other comprehensive income (loss) consists of foreign currency translation adjustments.</w:t>
      </w:r>
    </w:p>
    <w:p>
      <w:pPr>
        <w:pStyle w:val="TextBody"/>
        <w:spacing w:lineRule="auto" w:line="288" w:before="0" w:after="0"/>
        <w:ind w:left="0" w:right="0" w:hanging="180"/>
        <w:jc w:val="both"/>
        <w:rPr/>
      </w:pPr>
      <w:r>
        <w:rPr>
          <w:rFonts w:ascii="Calibri;sans-serif" w:hAnsi="Calibri;sans-serif"/>
          <w:b w:val="false"/>
          <w:color w:val="000000"/>
          <w:sz w:val="10"/>
        </w:rPr>
        <w:t xml:space="preserve">(2) </w:t>
      </w:r>
      <w:r>
        <w:rPr>
          <w:rFonts w:ascii="Calibri;sans-serif" w:hAnsi="Calibri;sans-serif"/>
          <w:b w:val="false"/>
          <w:color w:val="000000"/>
          <w:sz w:val="16"/>
        </w:rPr>
        <w:t>Represents shares swapped or surrendered to us in connection with the vesting or exercise of stock-based awards.</w:t>
      </w:r>
    </w:p>
    <w:p>
      <w:pPr>
        <w:pStyle w:val="TextBody"/>
        <w:spacing w:lineRule="auto" w:line="288" w:before="60" w:after="283"/>
        <w:jc w:val="right"/>
        <w:rPr>
          <w:rFonts w:ascii="Calibri;sans-serif" w:hAnsi="Calibri;sans-serif"/>
          <w:b w:val="false"/>
          <w:color w:val="000000"/>
          <w:sz w:val="16"/>
        </w:rPr>
      </w:pPr>
      <w:r>
        <w:rPr>
          <w:rFonts w:ascii="Calibri;sans-serif" w:hAnsi="Calibri;sans-serif"/>
          <w:b w:val="false"/>
          <w:color w:val="000000"/>
          <w:sz w:val="16"/>
        </w:rPr>
        <w:t xml:space="preserve">See accompanying notes to consolidated financial statements. </w:t>
      </w:r>
    </w:p>
    <w:p>
      <w:pPr>
        <w:pStyle w:val="TextBody"/>
        <w:spacing w:before="0" w:after="0"/>
        <w:ind w:left="0" w:right="0" w:hanging="18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692265" cy="594995"/>
                <wp:effectExtent l="0" t="0" r="0" b="0"/>
                <wp:wrapNone/>
                <wp:docPr id="7" name="Frame7"/>
                <a:graphic xmlns:a="http://schemas.openxmlformats.org/drawingml/2006/main">
                  <a:graphicData uri="http://schemas.microsoft.com/office/word/2010/wordprocessingShape">
                    <wps:wsp>
                      <wps:cNvSpPr txBox="1"/>
                      <wps:spPr>
                        <a:xfrm>
                          <a:off x="0" y="0"/>
                          <a:ext cx="6692265" cy="594995"/>
                        </a:xfrm>
                        <a:prstGeom prst="rect"/>
                      </wps:spPr>
                      <wps:txbx>
                        <w:txbxContent>
                          <w:tbl>
                            <w:tblPr>
                              <w:tblW w:w="3162" w:type="dxa"/>
                              <w:jc w:val="right"/>
                              <w:tblInd w:w="0" w:type="dxa"/>
                              <w:tblCellMar>
                                <w:top w:w="28" w:type="dxa"/>
                                <w:left w:w="28" w:type="dxa"/>
                                <w:bottom w:w="28" w:type="dxa"/>
                                <w:right w:w="28" w:type="dxa"/>
                              </w:tblCellMar>
                            </w:tblPr>
                            <w:tblGrid>
                              <w:gridCol w:w="1008"/>
                              <w:gridCol w:w="889"/>
                              <w:gridCol w:w="893"/>
                              <w:gridCol w:w="109"/>
                              <w:gridCol w:w="109"/>
                              <w:gridCol w:w="154"/>
                            </w:tblGrid>
                            <w:tr>
                              <w:trPr/>
                              <w:tc>
                                <w:tcPr>
                                  <w:tcW w:w="1008"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|Q3 FY2023 Form 10-Q</w:t>
                                  </w:r>
                                </w:p>
                              </w:tc>
                              <w:tc>
                                <w:tcPr>
                                  <w:tcW w:w="37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162" w:type="dxa"/>
                        <w:jc w:val="right"/>
                        <w:tblInd w:w="0" w:type="dxa"/>
                        <w:tblCellMar>
                          <w:top w:w="28" w:type="dxa"/>
                          <w:left w:w="28" w:type="dxa"/>
                          <w:bottom w:w="28" w:type="dxa"/>
                          <w:right w:w="28" w:type="dxa"/>
                        </w:tblCellMar>
                      </w:tblPr>
                      <w:tblGrid>
                        <w:gridCol w:w="1008"/>
                        <w:gridCol w:w="889"/>
                        <w:gridCol w:w="893"/>
                        <w:gridCol w:w="109"/>
                        <w:gridCol w:w="109"/>
                        <w:gridCol w:w="154"/>
                      </w:tblGrid>
                      <w:tr>
                        <w:trPr/>
                        <w:tc>
                          <w:tcPr>
                            <w:tcW w:w="1008"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|Q3 FY2023 Form 10-Q</w:t>
                            </w:r>
                          </w:p>
                        </w:tc>
                        <w:tc>
                          <w:tcPr>
                            <w:tcW w:w="37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5</w:t>
                            </w:r>
                          </w:p>
                        </w:tc>
                      </w:tr>
                    </w:tbl>
                    <w:p>
                      <w:pPr>
                        <w:pStyle w:val="TextBody"/>
                        <w:spacing w:before="0" w:after="283"/>
                        <w:rPr/>
                      </w:pPr>
                      <w:r>
                        <w:rPr/>
                      </w:r>
                    </w:p>
                  </w:txbxContent>
                </v:textbox>
              </v:rect>
            </w:pict>
          </mc:Fallback>
        </mc:AlternateContent>
      </w:r>
    </w:p>
    <w:p>
      <w:pPr>
        <w:pStyle w:val="TextBody"/>
        <w:spacing w:lineRule="auto" w:line="288" w:before="120" w:after="283"/>
        <w:rPr/>
      </w:pPr>
      <w:hyperlink w:anchor="ica06acc7160d4977b3f034161052416e_7">
        <w:r>
          <w:rPr>
            <w:rStyle w:val="InternetLink"/>
            <w:rFonts w:ascii="Calibri;sans-serif" w:hAnsi="Calibri;sans-serif"/>
            <w:b w:val="false"/>
            <w:color w:val="0000FF"/>
            <w:sz w:val="18"/>
            <w:u w:val="single"/>
          </w:rPr>
          <w:t>Table of Contents</w:t>
        </w:r>
      </w:hyperlink>
    </w:p>
    <w:p>
      <w:pPr>
        <w:pStyle w:val="TextBody"/>
        <w:spacing w:lineRule="auto" w:line="288" w:before="120" w:after="283"/>
        <w:jc w:val="both"/>
        <w:rPr/>
      </w:pPr>
      <w:r>
        <w:rPr>
          <w:rFonts w:ascii="Calibri;sans-serif" w:hAnsi="Calibri;sans-serif"/>
          <w:b/>
          <w:color w:val="14AA40"/>
          <w:sz w:val="28"/>
        </w:rPr>
        <w:t>NOTES TO CONSOLIDATED FINANCIAL STATEMENTS</w:t>
      </w:r>
      <w:r>
        <w:rPr>
          <w:color w:val="000000"/>
        </w:rPr>
        <w:t xml:space="preserve">             </w:t>
      </w:r>
      <w:r>
        <w:rPr>
          <w:rFonts w:ascii="Calibri;sans-serif" w:hAnsi="Calibri;sans-serif"/>
          <w:b w:val="false"/>
          <w:color w:val="000000"/>
          <w:sz w:val="24"/>
        </w:rPr>
        <w:t>(unaudited)</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pPr>
      <w:r>
        <w:rPr>
          <w:rFonts w:ascii="Calibri;sans-serif" w:hAnsi="Calibri;sans-serif"/>
          <w:b/>
          <w:color w:val="14AA40"/>
          <w:sz w:val="28"/>
        </w:rPr>
        <w:t>NOTE 1: SUMMARY OF SIGNIFICANT ACCOUNTING POLICIES</w:t>
      </w:r>
      <w:r>
        <w:rPr>
          <w:color w:val="14AA40"/>
        </w:rPr>
        <w:t xml:space="preserve"> </w:t>
      </w:r>
    </w:p>
    <w:p>
      <w:pPr>
        <w:pStyle w:val="TextBody"/>
        <w:spacing w:lineRule="auto" w:line="288" w:before="120" w:after="283"/>
        <w:jc w:val="both"/>
        <w:rPr/>
      </w:pPr>
      <w:r>
        <w:rPr>
          <w:rFonts w:ascii="Calibri;sans-serif" w:hAnsi="Calibri;sans-serif"/>
          <w:b/>
          <w:color w:val="000000"/>
          <w:sz w:val="20"/>
        </w:rPr>
        <w:t>BASIS OF PRESENTATION</w:t>
      </w:r>
      <w:r>
        <w:rPr>
          <w:color w:val="000000"/>
        </w:rPr>
        <w:t xml:space="preserve"> – </w:t>
      </w:r>
      <w:r>
        <w:rPr>
          <w:rFonts w:ascii="Calibri;sans-serif" w:hAnsi="Calibri;sans-serif"/>
          <w:b w:val="false"/>
          <w:color w:val="000000"/>
          <w:sz w:val="20"/>
        </w:rPr>
        <w:t xml:space="preserve">The consolidated balance sheets as of March 31, 2023 and June 30, 2022, the consolidated statements of operations and comprehensive income for the three and nine months ended March 31, 2023 and 2022, the consolidated statements of cash flows for the nine months ended March 31, 2023 and 2022, and the consolidated statements of stockholders' equity for the three and nine months ended March 31, 2023 and 2022 have been prepared by the Company, without audit. In the opinion of management, all adjustments, which include only normal recurring adjustments, necessary to present fairly the financial position, results of operations, and cash flows as of March 31, 2023 and 2022 and for all periods presented, have been made. </w:t>
      </w:r>
    </w:p>
    <w:p>
      <w:pPr>
        <w:pStyle w:val="TextBody"/>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 xml:space="preserve">"H&amp;R Block," "the Company," "we," "our," and "us" are used interchangeably to refer to H&amp;R Block, Inc., to H&amp;R Block, Inc. and its subsidiaries, or to H&amp;R Block, Inc.'s operating subsidiaries, as appropriate to the context. </w:t>
      </w:r>
    </w:p>
    <w:p>
      <w:pPr>
        <w:pStyle w:val="TextBody"/>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Certain information and footnote disclosures normally included in financial statements prepared in accordance with accounting principles generally accepted in the United States (GAAP) have been condensed or omitted. These consolidated financial statements should be read in conjunction with the financial statements and notes thereto included in our June 30, 2022 Annual Report to Shareholders on Form 10-K. All amounts presented herein as of June 30, 2022 or for the year then ended are derived from our Annual Report on Form 10-K.</w:t>
      </w:r>
    </w:p>
    <w:p>
      <w:pPr>
        <w:pStyle w:val="TextBody"/>
        <w:spacing w:lineRule="auto" w:line="288" w:before="120" w:after="283"/>
        <w:ind w:left="0" w:right="0" w:firstLine="225"/>
        <w:jc w:val="both"/>
        <w:rPr/>
      </w:pPr>
      <w:r>
        <w:rPr>
          <w:rFonts w:ascii="Calibri;sans-serif" w:hAnsi="Calibri;sans-serif"/>
          <w:b/>
          <w:color w:val="000000"/>
          <w:sz w:val="20"/>
        </w:rPr>
        <w:t>MANAGEMENT ESTIMATES</w:t>
      </w:r>
      <w:r>
        <w:rPr>
          <w:color w:val="000000"/>
        </w:rPr>
        <w:t xml:space="preserve"> – </w:t>
      </w:r>
      <w:r>
        <w:rPr>
          <w:rFonts w:ascii="Calibri;sans-serif" w:hAnsi="Calibri;sans-serif"/>
          <w:b w:val="false"/>
          <w:color w:val="000000"/>
          <w:sz w:val="20"/>
        </w:rPr>
        <w:t xml:space="preserve">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Significant estimates, assumptions and judgments are applied in the evaluation of contingent losses arising from our discontinued mortgage business, contingent losses associated with pending claims and litigation, reserves for uncertain tax positions, fair value of reporting units, and related matters. Estimates have been prepared based on the best information available as of each balance sheet date. As such, actual results could differ materially from those estimates. </w:t>
      </w:r>
    </w:p>
    <w:p>
      <w:pPr>
        <w:pStyle w:val="TextBody"/>
        <w:spacing w:lineRule="auto" w:line="288" w:before="120" w:after="283"/>
        <w:ind w:left="0" w:right="0" w:firstLine="225"/>
        <w:jc w:val="both"/>
        <w:rPr/>
      </w:pPr>
      <w:r>
        <w:rPr>
          <w:rFonts w:ascii="Calibri;sans-serif" w:hAnsi="Calibri;sans-serif"/>
          <w:b/>
          <w:color w:val="000000"/>
          <w:sz w:val="20"/>
        </w:rPr>
        <w:t>SEASONALITY OF BUSINESS</w:t>
      </w:r>
      <w:r>
        <w:rPr>
          <w:color w:val="000000"/>
        </w:rPr>
        <w:t xml:space="preserve"> – </w:t>
      </w:r>
      <w:r>
        <w:rPr>
          <w:rFonts w:ascii="Calibri;sans-serif" w:hAnsi="Calibri;sans-serif"/>
          <w:b w:val="false"/>
          <w:color w:val="000000"/>
          <w:sz w:val="20"/>
        </w:rPr>
        <w:t>Our operating revenues are seasonal in nature with peak revenues typically occurring in the months of February through April. Therefore, results for interim periods are not indicative of results to be expected for the full year.</w:t>
      </w:r>
    </w:p>
    <w:p>
      <w:pPr>
        <w:pStyle w:val="TextBody"/>
        <w:spacing w:lineRule="auto" w:line="288" w:before="120" w:after="283"/>
        <w:ind w:left="0" w:right="0" w:firstLine="225"/>
        <w:jc w:val="both"/>
        <w:rPr/>
      </w:pPr>
      <w:r>
        <w:rPr>
          <w:rFonts w:ascii="Calibri;sans-serif" w:hAnsi="Calibri;sans-serif"/>
          <w:b/>
          <w:color w:val="000000"/>
          <w:sz w:val="20"/>
        </w:rPr>
        <w:t>DISCONTINUED OPERATIONS</w:t>
      </w:r>
      <w:r>
        <w:rPr>
          <w:color w:val="000000"/>
        </w:rPr>
        <w:t> – </w:t>
      </w:r>
      <w:r>
        <w:rPr>
          <w:rFonts w:ascii="Calibri;sans-serif" w:hAnsi="Calibri;sans-serif"/>
          <w:b w:val="false"/>
          <w:color w:val="000000"/>
          <w:sz w:val="20"/>
        </w:rPr>
        <w:t xml:space="preserve">Our discontinued operations include the results of operations of Sand Canyon Corporation, previously known as Option One Mortgage Corporation (including its subsidiaries, collectively, SCC), which exited its mortgage business in fiscal year 2008. See </w:t>
      </w:r>
      <w:hyperlink w:anchor="ica06acc7160d4977b3f034161052416e_61">
        <w:r>
          <w:rPr>
            <w:rStyle w:val="InternetLink"/>
            <w:rFonts w:ascii="Calibri;sans-serif" w:hAnsi="Calibri;sans-serif"/>
            <w:b w:val="false"/>
            <w:color w:val="0000FF"/>
            <w:sz w:val="20"/>
            <w:u w:val="single"/>
          </w:rPr>
          <w:t>note 9</w:t>
        </w:r>
      </w:hyperlink>
      <w:r>
        <w:rPr>
          <w:color w:val="000000"/>
        </w:rPr>
        <w:t xml:space="preserve"> </w:t>
      </w:r>
      <w:r>
        <w:rPr>
          <w:rFonts w:ascii="Calibri;sans-serif" w:hAnsi="Calibri;sans-serif"/>
          <w:b w:val="false"/>
          <w:color w:val="000000"/>
          <w:sz w:val="20"/>
        </w:rPr>
        <w:t>for additional information on loss contingencies related to our discontinued operations.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692265" cy="543560"/>
                <wp:effectExtent l="0" t="0" r="0" b="0"/>
                <wp:wrapNone/>
                <wp:docPr id="8" name="Frame8"/>
                <a:graphic xmlns:a="http://schemas.openxmlformats.org/drawingml/2006/main">
                  <a:graphicData uri="http://schemas.microsoft.com/office/word/2010/wordprocessingShape">
                    <wps:wsp>
                      <wps:cNvSpPr txBox="1"/>
                      <wps:spPr>
                        <a:xfrm>
                          <a:off x="0" y="0"/>
                          <a:ext cx="6692265" cy="543560"/>
                        </a:xfrm>
                        <a:prstGeom prst="rect"/>
                      </wps:spPr>
                      <wps:txbx>
                        <w:txbxContent>
                          <w:tbl>
                            <w:tblPr>
                              <w:tblW w:w="3131" w:type="dxa"/>
                              <w:jc w:val="left"/>
                              <w:tblInd w:w="0" w:type="dxa"/>
                              <w:tblCellMar>
                                <w:top w:w="28" w:type="dxa"/>
                                <w:left w:w="28" w:type="dxa"/>
                                <w:bottom w:w="28" w:type="dxa"/>
                                <w:right w:w="28" w:type="dxa"/>
                              </w:tblCellMar>
                            </w:tblPr>
                            <w:tblGrid>
                              <w:gridCol w:w="124"/>
                              <w:gridCol w:w="109"/>
                              <w:gridCol w:w="109"/>
                              <w:gridCol w:w="814"/>
                              <w:gridCol w:w="814"/>
                              <w:gridCol w:w="116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6</w:t>
                                  </w:r>
                                </w:p>
                              </w:tc>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Calibri;sans-serif" w:hAnsi="Calibri;sans-serif"/>
                                      <w:b w:val="false"/>
                                      <w:color w:val="000000"/>
                                      <w:sz w:val="16"/>
                                    </w:rPr>
                                    <w:t xml:space="preserve">Q3 FY2023 Form 10-Q| </w:t>
                                  </w:r>
                                  <w:r>
                                    <w:rPr>
                                      <w:rFonts w:ascii="Calibri;sans-serif" w:hAnsi="Calibri;sans-serif"/>
                                      <w:b/>
                                      <w:color w:val="000000"/>
                                      <w:sz w:val="16"/>
                                    </w:rPr>
                                    <w:t>H&amp;R Block, Inc.</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3131" w:type="dxa"/>
                        <w:jc w:val="left"/>
                        <w:tblInd w:w="0" w:type="dxa"/>
                        <w:tblCellMar>
                          <w:top w:w="28" w:type="dxa"/>
                          <w:left w:w="28" w:type="dxa"/>
                          <w:bottom w:w="28" w:type="dxa"/>
                          <w:right w:w="28" w:type="dxa"/>
                        </w:tblCellMar>
                      </w:tblPr>
                      <w:tblGrid>
                        <w:gridCol w:w="124"/>
                        <w:gridCol w:w="109"/>
                        <w:gridCol w:w="109"/>
                        <w:gridCol w:w="814"/>
                        <w:gridCol w:w="814"/>
                        <w:gridCol w:w="116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6</w:t>
                            </w:r>
                          </w:p>
                        </w:tc>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Calibri;sans-serif" w:hAnsi="Calibri;sans-serif"/>
                                <w:b w:val="false"/>
                                <w:color w:val="000000"/>
                                <w:sz w:val="16"/>
                              </w:rPr>
                              <w:t xml:space="preserve">Q3 FY2023 Form 10-Q| </w:t>
                            </w:r>
                            <w:r>
                              <w:rPr>
                                <w:rFonts w:ascii="Calibri;sans-serif" w:hAnsi="Calibri;sans-serif"/>
                                <w:b/>
                                <w:color w:val="000000"/>
                                <w:sz w:val="16"/>
                              </w:rPr>
                              <w:t>H&amp;R Block, Inc.</w:t>
                            </w:r>
                          </w:p>
                        </w:tc>
                      </w:tr>
                    </w:tbl>
                    <w:p>
                      <w:pPr>
                        <w:pStyle w:val="TextBody"/>
                        <w:spacing w:before="0" w:after="283"/>
                        <w:rPr/>
                      </w:pPr>
                      <w:r>
                        <w:rPr/>
                      </w:r>
                    </w:p>
                  </w:txbxContent>
                </v:textbox>
              </v:rect>
            </w:pict>
          </mc:Fallback>
        </mc:AlternateContent>
      </w:r>
    </w:p>
    <w:p>
      <w:pPr>
        <w:pStyle w:val="TextBody"/>
        <w:spacing w:lineRule="auto" w:line="288" w:before="120" w:after="283"/>
        <w:rPr/>
      </w:pPr>
      <w:hyperlink w:anchor="ica06acc7160d4977b3f034161052416e_7">
        <w:r>
          <w:rPr>
            <w:rStyle w:val="InternetLink"/>
            <w:rFonts w:ascii="Calibri;sans-serif" w:hAnsi="Calibri;sans-serif"/>
            <w:b w:val="false"/>
            <w:color w:val="0000FF"/>
            <w:sz w:val="18"/>
            <w:u w:val="single"/>
          </w:rPr>
          <w:t>Table of Contents</w:t>
        </w:r>
      </w:hyperlink>
    </w:p>
    <w:p>
      <w:pPr>
        <w:pStyle w:val="TextBody"/>
        <w:spacing w:lineRule="auto" w:line="288" w:before="120" w:after="283"/>
        <w:rPr/>
      </w:pPr>
      <w:r>
        <w:rPr>
          <w:rFonts w:ascii="Calibri;sans-serif" w:hAnsi="Calibri;sans-serif"/>
          <w:b/>
          <w:color w:val="14AA40"/>
          <w:sz w:val="28"/>
        </w:rPr>
        <w:t>NOTE 2: REVENUE RECOGNITION</w:t>
      </w:r>
      <w:r>
        <w:rPr>
          <w:color w:val="14AA40"/>
        </w:rPr>
        <w:t xml:space="preserve"> </w:t>
      </w:r>
    </w:p>
    <w:p>
      <w:pPr>
        <w:pStyle w:val="TextBody"/>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The majority of our revenues are from our U.S. tax services business. The following table disaggregates our U.S. revenues by major service line, with revenues from our international tax services businesses and from Wave included as separate lines:</w:t>
      </w:r>
    </w:p>
    <w:tbl>
      <w:tblPr>
        <w:tblW w:w="9672" w:type="dxa"/>
        <w:jc w:val="left"/>
        <w:tblInd w:w="0" w:type="dxa"/>
        <w:tblCellMar>
          <w:top w:w="28" w:type="dxa"/>
          <w:left w:w="28" w:type="dxa"/>
          <w:bottom w:w="28" w:type="dxa"/>
          <w:right w:w="28" w:type="dxa"/>
        </w:tblCellMar>
      </w:tblPr>
      <w:tblGrid>
        <w:gridCol w:w="1296"/>
        <w:gridCol w:w="1139"/>
        <w:gridCol w:w="1150"/>
        <w:gridCol w:w="109"/>
        <w:gridCol w:w="109"/>
        <w:gridCol w:w="109"/>
        <w:gridCol w:w="196"/>
        <w:gridCol w:w="886"/>
        <w:gridCol w:w="109"/>
        <w:gridCol w:w="109"/>
        <w:gridCol w:w="109"/>
        <w:gridCol w:w="109"/>
        <w:gridCol w:w="196"/>
        <w:gridCol w:w="871"/>
        <w:gridCol w:w="109"/>
        <w:gridCol w:w="109"/>
        <w:gridCol w:w="109"/>
        <w:gridCol w:w="109"/>
        <w:gridCol w:w="196"/>
        <w:gridCol w:w="886"/>
        <w:gridCol w:w="109"/>
        <w:gridCol w:w="109"/>
        <w:gridCol w:w="109"/>
        <w:gridCol w:w="109"/>
        <w:gridCol w:w="196"/>
        <w:gridCol w:w="871"/>
        <w:gridCol w:w="154"/>
      </w:tblGrid>
      <w:tr>
        <w:trPr/>
        <w:tc>
          <w:tcPr>
            <w:tcW w:w="1296"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spacing w:before="0" w:after="283"/>
              <w:rPr>
                <w:sz w:val="4"/>
                <w:szCs w:val="4"/>
              </w:rPr>
            </w:pPr>
            <w:r>
              <w:rPr>
                <w:sz w:val="4"/>
                <w:szCs w:val="4"/>
              </w:rPr>
            </w:r>
          </w:p>
        </w:tc>
        <w:tc>
          <w:tcPr>
            <w:tcW w:w="1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76"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22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w:t>
            </w:r>
          </w:p>
        </w:tc>
      </w:tr>
      <w:tr>
        <w:trPr/>
        <w:tc>
          <w:tcPr>
            <w:tcW w:w="358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69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Three months ended 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73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Nine months ended March 31,</w:t>
            </w:r>
          </w:p>
        </w:tc>
      </w:tr>
      <w:tr>
        <w:trPr/>
        <w:tc>
          <w:tcPr>
            <w:tcW w:w="35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2022</w:t>
            </w:r>
          </w:p>
        </w:tc>
      </w:tr>
      <w:tr>
        <w:trPr/>
        <w:tc>
          <w:tcPr>
            <w:tcW w:w="35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U.S. assisted tax preparation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1,453,049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1,392,142 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1,530,577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1,456,594 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U.S. royalties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150,163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158,786 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161,337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169,548 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U.S. DIY tax preparation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167,022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175,184 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182,330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188,455 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Refund Transfers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117,384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132,223 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120,210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134,665 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Peace of Mind® Extended Service Plan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16,750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17,222 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58,840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59,373 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Tax Identity Shield®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8,720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9,078 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19,237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19,431 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Calibri;sans-serif" w:hAnsi="Calibri;sans-serif"/>
                <w:b w:val="false"/>
                <w:color w:val="000000"/>
                <w:sz w:val="18"/>
              </w:rPr>
              <w:t>Emerald Card® and Spruce</w:t>
            </w:r>
            <w:r>
              <w:rPr>
                <w:rFonts w:ascii="Calibri;sans-serif" w:hAnsi="Calibri;sans-serif"/>
                <w:b w:val="false"/>
                <w:color w:val="000000"/>
                <w:sz w:val="12"/>
              </w:rPr>
              <w:t>SM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44,358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50,660 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68,448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103,748 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Calibri;sans-serif" w:hAnsi="Calibri;sans-serif"/>
                <w:b w:val="false"/>
                <w:color w:val="000000"/>
                <w:sz w:val="18"/>
              </w:rPr>
              <w:t>Interest and fee income on Emerald Advance</w:t>
            </w:r>
            <w:r>
              <w:rPr>
                <w:rFonts w:ascii="Calibri;sans-serif" w:hAnsi="Calibri;sans-serif"/>
                <w:b w:val="false"/>
                <w:color w:val="000000"/>
                <w:sz w:val="12"/>
              </w:rPr>
              <w:t>SM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33,750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30,535 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47,267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43,438 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International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69,417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65,232 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156,297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151,464 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Wave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22,064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20,111 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66,651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58,745 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10,972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10,584 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28,845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27,736 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2,093,649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2,061,757 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2,440,039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2,413,197 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Changes in the balances of deferred revenue and wages for our Peace of Mind® Extended Service Plan (POM) are as follows:</w:t>
      </w:r>
    </w:p>
    <w:tbl>
      <w:tblPr>
        <w:tblW w:w="8576" w:type="dxa"/>
        <w:jc w:val="left"/>
        <w:tblInd w:w="0" w:type="dxa"/>
        <w:tblCellMar>
          <w:top w:w="28" w:type="dxa"/>
          <w:left w:w="28" w:type="dxa"/>
          <w:bottom w:w="28" w:type="dxa"/>
          <w:right w:w="28" w:type="dxa"/>
        </w:tblCellMar>
      </w:tblPr>
      <w:tblGrid>
        <w:gridCol w:w="1158"/>
        <w:gridCol w:w="1021"/>
        <w:gridCol w:w="1030"/>
        <w:gridCol w:w="109"/>
        <w:gridCol w:w="109"/>
        <w:gridCol w:w="109"/>
        <w:gridCol w:w="196"/>
        <w:gridCol w:w="751"/>
        <w:gridCol w:w="109"/>
        <w:gridCol w:w="109"/>
        <w:gridCol w:w="109"/>
        <w:gridCol w:w="109"/>
        <w:gridCol w:w="196"/>
        <w:gridCol w:w="736"/>
        <w:gridCol w:w="109"/>
        <w:gridCol w:w="109"/>
        <w:gridCol w:w="109"/>
        <w:gridCol w:w="109"/>
        <w:gridCol w:w="196"/>
        <w:gridCol w:w="661"/>
        <w:gridCol w:w="109"/>
        <w:gridCol w:w="109"/>
        <w:gridCol w:w="109"/>
        <w:gridCol w:w="109"/>
        <w:gridCol w:w="196"/>
        <w:gridCol w:w="646"/>
        <w:gridCol w:w="154"/>
      </w:tblGrid>
      <w:tr>
        <w:trPr/>
        <w:tc>
          <w:tcPr>
            <w:tcW w:w="1158"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99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w:t>
            </w:r>
          </w:p>
        </w:tc>
      </w:tr>
      <w:tr>
        <w:trPr/>
        <w:tc>
          <w:tcPr>
            <w:tcW w:w="32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POM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2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Deferred Revenue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8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Deferred Wages</w:t>
            </w:r>
          </w:p>
        </w:tc>
      </w:tr>
      <w:tr>
        <w:trPr/>
        <w:tc>
          <w:tcPr>
            <w:tcW w:w="32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Nine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2022</w:t>
            </w:r>
          </w:p>
        </w:tc>
      </w:tr>
      <w:tr>
        <w:trPr/>
        <w:tc>
          <w:tcPr>
            <w:tcW w:w="32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 beginning of the period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173,486</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172,759 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19,495</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17,867 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Amounts deferred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76,231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80,801 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8,451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9,006 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Amounts recognized on previous deferrals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(67,276)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(69,075)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(7,084)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(6,786)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 end of the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182,441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184,485 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20,862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20,087 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270"/>
        <w:jc w:val="both"/>
        <w:rPr>
          <w:rFonts w:ascii="Calibri;sans-serif" w:hAnsi="Calibri;sans-serif"/>
          <w:b w:val="false"/>
          <w:color w:val="000000"/>
          <w:sz w:val="20"/>
          <w:highlight w:val="white"/>
        </w:rPr>
      </w:pPr>
      <w:r>
        <w:rPr>
          <w:rFonts w:ascii="Calibri;sans-serif" w:hAnsi="Calibri;sans-serif"/>
          <w:b w:val="false"/>
          <w:color w:val="000000"/>
          <w:sz w:val="20"/>
          <w:highlight w:val="white"/>
        </w:rPr>
        <w:t xml:space="preserve">As of March 31, 2023, deferred revenue related to POM was $182.4 million. We expect that $103.3 million will be recognized over the next twelve months, while the remaining balance will be recognized over the following five years. </w:t>
      </w:r>
    </w:p>
    <w:p>
      <w:pPr>
        <w:pStyle w:val="TextBody"/>
        <w:spacing w:lineRule="auto" w:line="288" w:before="120" w:after="283"/>
        <w:ind w:left="0" w:right="0" w:firstLine="270"/>
        <w:jc w:val="both"/>
        <w:rPr>
          <w:rFonts w:ascii="Calibri;sans-serif" w:hAnsi="Calibri;sans-serif"/>
          <w:b w:val="false"/>
          <w:color w:val="000000"/>
          <w:sz w:val="20"/>
          <w:highlight w:val="white"/>
        </w:rPr>
      </w:pPr>
      <w:r>
        <w:rPr>
          <w:rFonts w:ascii="Calibri;sans-serif" w:hAnsi="Calibri;sans-serif"/>
          <w:b w:val="false"/>
          <w:color w:val="000000"/>
          <w:sz w:val="20"/>
          <w:highlight w:val="white"/>
        </w:rPr>
        <w:t>As of March 31, 2023 and 2022, Tax Identity Shield® (TIS) deferred revenue was $33.3 million and $37.4 million, respectively. Deferred revenue related to TIS was $25.8 million and $28.3 million as of June 30, 2022 and June 30, 2021, respectively. All deferred revenue related to TIS will be recognized by April 2024.</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Calibri;sans-serif" w:hAnsi="Calibri;sans-serif"/>
          <w:b/>
          <w:color w:val="14AA40"/>
          <w:sz w:val="28"/>
        </w:rPr>
      </w:pPr>
      <w:r>
        <w:rPr>
          <w:rFonts w:ascii="Calibri;sans-serif" w:hAnsi="Calibri;sans-serif"/>
          <w:b/>
          <w:color w:val="14AA40"/>
          <w:sz w:val="28"/>
        </w:rPr>
        <w:t xml:space="preserve">NOTE 3: EARNINGS PER SHARE AND STOCKHOLDERS' EQUITY </w:t>
      </w:r>
    </w:p>
    <w:p>
      <w:pPr>
        <w:pStyle w:val="TextBody"/>
        <w:spacing w:lineRule="auto" w:line="288" w:before="120" w:after="283"/>
        <w:jc w:val="both"/>
        <w:rPr/>
      </w:pPr>
      <w:r>
        <w:rPr>
          <w:rFonts w:ascii="Calibri;sans-serif" w:hAnsi="Calibri;sans-serif"/>
          <w:b/>
          <w:color w:val="000000"/>
          <w:sz w:val="20"/>
        </w:rPr>
        <w:t xml:space="preserve">EARNINGS PER SHARE </w:t>
      </w:r>
      <w:r>
        <w:rPr>
          <w:color w:val="000000"/>
        </w:rPr>
        <w:t xml:space="preserve">– </w:t>
      </w:r>
      <w:r>
        <w:rPr>
          <w:rFonts w:ascii="Calibri;sans-serif" w:hAnsi="Calibri;sans-serif"/>
          <w:b w:val="false"/>
          <w:color w:val="000000"/>
          <w:sz w:val="20"/>
        </w:rPr>
        <w:t xml:space="preserve">Basic and diluted earnings (loss) per share is computed using the two-class method. The two-class method is an earnings allocation formula that determines net income per share for each class of common stock and participating security according to dividends declared and participation rights in undistributed earnings. Per share amounts are computed by dividing net income (loss) from continuing operations attributable to common shareholders by the weighted average shares outstanding during each period. Diluted earnings per share excludes the impact of shares of common stock issuable upon the lapse of certain restrictions or the exercise of options to purchase 0.7 million and 0.6 million shares for the three and nine months ended March 31, 2023, </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692265" cy="594995"/>
                <wp:effectExtent l="0" t="0" r="0" b="0"/>
                <wp:wrapNone/>
                <wp:docPr id="9" name="Frame9"/>
                <a:graphic xmlns:a="http://schemas.openxmlformats.org/drawingml/2006/main">
                  <a:graphicData uri="http://schemas.microsoft.com/office/word/2010/wordprocessingShape">
                    <wps:wsp>
                      <wps:cNvSpPr txBox="1"/>
                      <wps:spPr>
                        <a:xfrm>
                          <a:off x="0" y="0"/>
                          <a:ext cx="6692265" cy="594995"/>
                        </a:xfrm>
                        <a:prstGeom prst="rect"/>
                      </wps:spPr>
                      <wps:txbx>
                        <w:txbxContent>
                          <w:tbl>
                            <w:tblPr>
                              <w:tblW w:w="3162" w:type="dxa"/>
                              <w:jc w:val="right"/>
                              <w:tblInd w:w="0" w:type="dxa"/>
                              <w:tblCellMar>
                                <w:top w:w="28" w:type="dxa"/>
                                <w:left w:w="28" w:type="dxa"/>
                                <w:bottom w:w="28" w:type="dxa"/>
                                <w:right w:w="28" w:type="dxa"/>
                              </w:tblCellMar>
                            </w:tblPr>
                            <w:tblGrid>
                              <w:gridCol w:w="1008"/>
                              <w:gridCol w:w="889"/>
                              <w:gridCol w:w="893"/>
                              <w:gridCol w:w="109"/>
                              <w:gridCol w:w="109"/>
                              <w:gridCol w:w="154"/>
                            </w:tblGrid>
                            <w:tr>
                              <w:trPr/>
                              <w:tc>
                                <w:tcPr>
                                  <w:tcW w:w="1008"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|Q3 FY2023 Form 10-Q</w:t>
                                  </w:r>
                                </w:p>
                              </w:tc>
                              <w:tc>
                                <w:tcPr>
                                  <w:tcW w:w="37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7</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162" w:type="dxa"/>
                        <w:jc w:val="right"/>
                        <w:tblInd w:w="0" w:type="dxa"/>
                        <w:tblCellMar>
                          <w:top w:w="28" w:type="dxa"/>
                          <w:left w:w="28" w:type="dxa"/>
                          <w:bottom w:w="28" w:type="dxa"/>
                          <w:right w:w="28" w:type="dxa"/>
                        </w:tblCellMar>
                      </w:tblPr>
                      <w:tblGrid>
                        <w:gridCol w:w="1008"/>
                        <w:gridCol w:w="889"/>
                        <w:gridCol w:w="893"/>
                        <w:gridCol w:w="109"/>
                        <w:gridCol w:w="109"/>
                        <w:gridCol w:w="154"/>
                      </w:tblGrid>
                      <w:tr>
                        <w:trPr/>
                        <w:tc>
                          <w:tcPr>
                            <w:tcW w:w="1008"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|Q3 FY2023 Form 10-Q</w:t>
                            </w:r>
                          </w:p>
                        </w:tc>
                        <w:tc>
                          <w:tcPr>
                            <w:tcW w:w="37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7</w:t>
                            </w:r>
                          </w:p>
                        </w:tc>
                      </w:tr>
                    </w:tbl>
                    <w:p>
                      <w:pPr>
                        <w:pStyle w:val="TextBody"/>
                        <w:spacing w:before="0" w:after="283"/>
                        <w:rPr/>
                      </w:pPr>
                      <w:r>
                        <w:rPr/>
                      </w:r>
                    </w:p>
                  </w:txbxContent>
                </v:textbox>
              </v:rect>
            </w:pict>
          </mc:Fallback>
        </mc:AlternateContent>
      </w:r>
    </w:p>
    <w:p>
      <w:pPr>
        <w:pStyle w:val="TextBody"/>
        <w:spacing w:lineRule="auto" w:line="288" w:before="120" w:after="283"/>
        <w:rPr/>
      </w:pPr>
      <w:hyperlink w:anchor="ica06acc7160d4977b3f034161052416e_7">
        <w:r>
          <w:rPr>
            <w:rStyle w:val="InternetLink"/>
            <w:rFonts w:ascii="Calibri;sans-serif" w:hAnsi="Calibri;sans-serif"/>
            <w:b w:val="false"/>
            <w:color w:val="0000FF"/>
            <w:sz w:val="18"/>
            <w:u w:val="single"/>
          </w:rPr>
          <w:t>Table of Contents</w:t>
        </w:r>
      </w:hyperlink>
    </w:p>
    <w:p>
      <w:pPr>
        <w:pStyle w:val="TextBody"/>
        <w:spacing w:lineRule="auto" w:line="288" w:before="120" w:after="283"/>
        <w:jc w:val="both"/>
        <w:rPr/>
      </w:pPr>
      <w:r>
        <w:rPr>
          <w:rFonts w:ascii="Calibri;sans-serif" w:hAnsi="Calibri;sans-serif"/>
          <w:b w:val="false"/>
          <w:color w:val="000000"/>
          <w:sz w:val="20"/>
        </w:rPr>
        <w:t>respectively, and 0.3 million and 0.6 million shares for the three and nine months ended March 31, 2022,</w:t>
      </w:r>
      <w:r>
        <w:rPr>
          <w:color w:val="000000"/>
          <w:highlight w:val="white"/>
        </w:rPr>
        <w:t xml:space="preserve"> </w:t>
      </w:r>
      <w:r>
        <w:rPr>
          <w:rFonts w:ascii="Calibri;sans-serif" w:hAnsi="Calibri;sans-serif"/>
          <w:b w:val="false"/>
          <w:color w:val="000000"/>
          <w:sz w:val="20"/>
          <w:highlight w:val="white"/>
        </w:rPr>
        <w:t>respectively, as the effect would be antidilutive.</w:t>
      </w:r>
    </w:p>
    <w:p>
      <w:pPr>
        <w:pStyle w:val="TextBody"/>
        <w:spacing w:lineRule="auto" w:line="288" w:before="120" w:after="283"/>
        <w:ind w:left="0" w:right="0" w:firstLine="225"/>
        <w:rPr>
          <w:rFonts w:ascii="Calibri;sans-serif" w:hAnsi="Calibri;sans-serif"/>
          <w:b w:val="false"/>
          <w:color w:val="000000"/>
          <w:sz w:val="20"/>
        </w:rPr>
      </w:pPr>
      <w:r>
        <w:rPr>
          <w:rFonts w:ascii="Calibri;sans-serif" w:hAnsi="Calibri;sans-serif"/>
          <w:b w:val="false"/>
          <w:color w:val="000000"/>
          <w:sz w:val="20"/>
        </w:rPr>
        <w:t>The computations of basic and diluted earnings per share from continuing operations are as follows:</w:t>
      </w:r>
    </w:p>
    <w:tbl>
      <w:tblPr>
        <w:tblW w:w="10539" w:type="dxa"/>
        <w:jc w:val="left"/>
        <w:tblInd w:w="0" w:type="dxa"/>
        <w:tblCellMar>
          <w:top w:w="28" w:type="dxa"/>
          <w:left w:w="28" w:type="dxa"/>
          <w:bottom w:w="28" w:type="dxa"/>
          <w:right w:w="28" w:type="dxa"/>
        </w:tblCellMar>
      </w:tblPr>
      <w:tblGrid>
        <w:gridCol w:w="1807"/>
        <w:gridCol w:w="1587"/>
        <w:gridCol w:w="1596"/>
        <w:gridCol w:w="109"/>
        <w:gridCol w:w="109"/>
        <w:gridCol w:w="109"/>
        <w:gridCol w:w="196"/>
        <w:gridCol w:w="751"/>
        <w:gridCol w:w="109"/>
        <w:gridCol w:w="109"/>
        <w:gridCol w:w="109"/>
        <w:gridCol w:w="109"/>
        <w:gridCol w:w="196"/>
        <w:gridCol w:w="736"/>
        <w:gridCol w:w="109"/>
        <w:gridCol w:w="109"/>
        <w:gridCol w:w="109"/>
        <w:gridCol w:w="109"/>
        <w:gridCol w:w="196"/>
        <w:gridCol w:w="751"/>
        <w:gridCol w:w="109"/>
        <w:gridCol w:w="109"/>
        <w:gridCol w:w="109"/>
        <w:gridCol w:w="109"/>
        <w:gridCol w:w="196"/>
        <w:gridCol w:w="736"/>
        <w:gridCol w:w="156"/>
      </w:tblGrid>
      <w:tr>
        <w:trPr/>
        <w:tc>
          <w:tcPr>
            <w:tcW w:w="1807" w:type="dxa"/>
            <w:tcBorders/>
            <w:shd w:fill="auto" w:val="clear"/>
            <w:vAlign w:val="center"/>
          </w:tcPr>
          <w:p>
            <w:pPr>
              <w:pStyle w:val="TableContents"/>
              <w:spacing w:before="0" w:after="283"/>
              <w:rPr>
                <w:sz w:val="4"/>
                <w:szCs w:val="4"/>
              </w:rPr>
            </w:pPr>
            <w:r>
              <w:rPr>
                <w:sz w:val="4"/>
                <w:szCs w:val="4"/>
              </w:rPr>
            </w:r>
          </w:p>
        </w:tc>
        <w:tc>
          <w:tcPr>
            <w:tcW w:w="1587" w:type="dxa"/>
            <w:tcBorders/>
            <w:shd w:fill="auto" w:val="clear"/>
            <w:vAlign w:val="center"/>
          </w:tcPr>
          <w:p>
            <w:pPr>
              <w:pStyle w:val="TableContents"/>
              <w:spacing w:before="0" w:after="283"/>
              <w:rPr>
                <w:sz w:val="4"/>
                <w:szCs w:val="4"/>
              </w:rPr>
            </w:pPr>
            <w:r>
              <w:rPr>
                <w:sz w:val="4"/>
                <w:szCs w:val="4"/>
              </w:rPr>
            </w:r>
          </w:p>
        </w:tc>
        <w:tc>
          <w:tcPr>
            <w:tcW w:w="15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0539" w:type="dxa"/>
            <w:gridSpan w:val="27"/>
            <w:tcBorders>
              <w:bottom w:val="single" w:sz="8" w:space="0" w:color="000000"/>
            </w:tcBorders>
            <w:shd w:fill="FFFFFF"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 except per share amounts)</w:t>
            </w:r>
          </w:p>
        </w:tc>
      </w:tr>
      <w:tr>
        <w:trPr/>
        <w:tc>
          <w:tcPr>
            <w:tcW w:w="49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424"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Three months ended March 31,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471"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Nine months ended March 31,</w:t>
            </w:r>
          </w:p>
        </w:tc>
      </w:tr>
      <w:tr>
        <w:trPr/>
        <w:tc>
          <w:tcPr>
            <w:tcW w:w="49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ind w:left="0" w:right="0" w:hanging="180"/>
              <w:jc w:val="right"/>
              <w:rPr>
                <w:rFonts w:ascii="Calibri;sans-serif" w:hAnsi="Calibri;sans-serif"/>
                <w:b w:val="false"/>
                <w:color w:val="000000"/>
                <w:sz w:val="18"/>
              </w:rPr>
            </w:pPr>
            <w:r>
              <w:rPr>
                <w:rFonts w:ascii="Calibri;sans-serif" w:hAnsi="Calibri;sans-serif"/>
                <w:b w:val="false"/>
                <w:color w:val="000000"/>
                <w:sz w:val="18"/>
              </w:rPr>
              <w:t>2022</w:t>
            </w:r>
          </w:p>
        </w:tc>
      </w:tr>
      <w:tr>
        <w:trPr/>
        <w:tc>
          <w:tcPr>
            <w:tcW w:w="49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income from continuing operations attributable to shareholders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646,077</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674,973 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257,847</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335,955 </w:t>
            </w:r>
          </w:p>
        </w:tc>
        <w:tc>
          <w:tcPr>
            <w:tcW w:w="1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Amounts allocated to participating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(2,822)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(3,061)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(1,064)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(1,543)</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income from continuing operations attributable to common shareholders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643,255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671,912 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256,783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334,412 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Basic weighted average common shares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152,281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162,777 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155,249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171,481 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Potential dilutive shares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3,280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2,835 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3,239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2,661 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Dilutive weighted average common shares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155,561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165,612 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158,488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174,142 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auto"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9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Earnings per share from continuing operations attributable to common shareholders: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4.22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1.65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4.14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1.62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0"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088"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270"/>
        <w:jc w:val="both"/>
        <w:rPr>
          <w:rFonts w:ascii="Calibri;sans-serif" w:hAnsi="Calibri;sans-serif"/>
          <w:b w:val="false"/>
          <w:color w:val="000000"/>
          <w:sz w:val="20"/>
          <w:highlight w:val="white"/>
        </w:rPr>
      </w:pPr>
      <w:r>
        <w:rPr>
          <w:rFonts w:ascii="Calibri;sans-serif" w:hAnsi="Calibri;sans-serif"/>
          <w:b w:val="false"/>
          <w:color w:val="000000"/>
          <w:sz w:val="20"/>
          <w:highlight w:val="white"/>
        </w:rPr>
        <w:t xml:space="preserve">The decrease in the weighted average shares outstanding is due to share repurchases completed in the current and prior fiscal years. </w:t>
      </w:r>
    </w:p>
    <w:p>
      <w:pPr>
        <w:pStyle w:val="TextBody"/>
        <w:spacing w:lineRule="auto" w:line="288" w:before="120" w:after="283"/>
        <w:ind w:left="0" w:right="0" w:firstLine="270"/>
        <w:jc w:val="both"/>
        <w:rPr/>
      </w:pPr>
      <w:r>
        <w:rPr>
          <w:rFonts w:ascii="Calibri;sans-serif" w:hAnsi="Calibri;sans-serif"/>
          <w:b/>
          <w:color w:val="000000"/>
          <w:sz w:val="20"/>
          <w:highlight w:val="white"/>
        </w:rPr>
        <w:t xml:space="preserve">STOCK-BASED COMPENSATION </w:t>
      </w:r>
      <w:r>
        <w:rPr>
          <w:color w:val="000000"/>
          <w:highlight w:val="white"/>
        </w:rPr>
        <w:t xml:space="preserve">– </w:t>
      </w:r>
      <w:r>
        <w:rPr>
          <w:rFonts w:ascii="Calibri;sans-serif" w:hAnsi="Calibri;sans-serif"/>
          <w:b w:val="false"/>
          <w:color w:val="000000"/>
          <w:sz w:val="20"/>
          <w:highlight w:val="white"/>
        </w:rPr>
        <w:t xml:space="preserve">We granted 1.1 million and 1.6 million shares under our stock-based compensation plans during the </w:t>
      </w:r>
      <w:r>
        <w:rPr>
          <w:rFonts w:ascii="Calibri;sans-serif" w:hAnsi="Calibri;sans-serif"/>
          <w:b w:val="false"/>
          <w:color w:val="000000"/>
          <w:sz w:val="20"/>
        </w:rPr>
        <w:t>nine</w:t>
      </w:r>
      <w:r>
        <w:rPr>
          <w:color w:val="000000"/>
          <w:highlight w:val="white"/>
        </w:rPr>
        <w:t xml:space="preserve"> </w:t>
      </w:r>
      <w:r>
        <w:rPr>
          <w:rFonts w:ascii="Calibri;sans-serif" w:hAnsi="Calibri;sans-serif"/>
          <w:b w:val="false"/>
          <w:color w:val="000000"/>
          <w:sz w:val="20"/>
          <w:highlight w:val="white"/>
        </w:rPr>
        <w:t xml:space="preserve">months ended March 31, 2023 and March 31, 2022, respectively. Stock-based compensation expense of our continuing operations totaled $8.9 million and $26.8 million for the </w:t>
      </w:r>
      <w:r>
        <w:rPr>
          <w:rFonts w:ascii="Calibri;sans-serif" w:hAnsi="Calibri;sans-serif"/>
          <w:b w:val="false"/>
          <w:color w:val="000000"/>
          <w:sz w:val="20"/>
        </w:rPr>
        <w:t>three and nine</w:t>
      </w:r>
      <w:r>
        <w:rPr>
          <w:color w:val="000000"/>
          <w:highlight w:val="white"/>
        </w:rPr>
        <w:t xml:space="preserve"> </w:t>
      </w:r>
      <w:r>
        <w:rPr>
          <w:rFonts w:ascii="Calibri;sans-serif" w:hAnsi="Calibri;sans-serif"/>
          <w:b w:val="false"/>
          <w:color w:val="000000"/>
          <w:sz w:val="20"/>
          <w:highlight w:val="white"/>
        </w:rPr>
        <w:t xml:space="preserve">months ended March 31, 2023, respectively, and $6.8 million and $20.0 million for the </w:t>
      </w:r>
      <w:r>
        <w:rPr>
          <w:rFonts w:ascii="Calibri;sans-serif" w:hAnsi="Calibri;sans-serif"/>
          <w:b w:val="false"/>
          <w:color w:val="000000"/>
          <w:sz w:val="20"/>
        </w:rPr>
        <w:t>three and nine</w:t>
      </w:r>
      <w:r>
        <w:rPr>
          <w:color w:val="000000"/>
          <w:highlight w:val="white"/>
        </w:rPr>
        <w:t xml:space="preserve"> </w:t>
      </w:r>
      <w:r>
        <w:rPr>
          <w:rFonts w:ascii="Calibri;sans-serif" w:hAnsi="Calibri;sans-serif"/>
          <w:b w:val="false"/>
          <w:color w:val="000000"/>
          <w:sz w:val="20"/>
          <w:highlight w:val="white"/>
        </w:rPr>
        <w:t xml:space="preserve">months ended March 31, 2022, respectively. As of March 31, 2023, unrecognized compensation cost for stock options totaled $0.2 million, and for nonvested shares and units totaled $56.6 million.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Calibri;sans-serif" w:hAnsi="Calibri;sans-serif"/>
          <w:b/>
          <w:color w:val="14AA40"/>
          <w:sz w:val="28"/>
        </w:rPr>
      </w:pPr>
      <w:r>
        <w:rPr>
          <w:rFonts w:ascii="Calibri;sans-serif" w:hAnsi="Calibri;sans-serif"/>
          <w:b/>
          <w:color w:val="14AA40"/>
          <w:sz w:val="28"/>
        </w:rPr>
        <w:t xml:space="preserve">NOTE 4: RECEIVABLES </w:t>
      </w:r>
    </w:p>
    <w:p>
      <w:pPr>
        <w:pStyle w:val="TextBody"/>
        <w:spacing w:lineRule="auto" w:line="288" w:before="120" w:after="283"/>
        <w:rPr>
          <w:rFonts w:ascii="Calibri;sans-serif" w:hAnsi="Calibri;sans-serif"/>
          <w:b w:val="false"/>
          <w:color w:val="000000"/>
          <w:sz w:val="20"/>
        </w:rPr>
      </w:pPr>
      <w:r>
        <w:rPr>
          <w:rFonts w:ascii="Calibri;sans-serif" w:hAnsi="Calibri;sans-serif"/>
          <w:b w:val="false"/>
          <w:color w:val="000000"/>
          <w:sz w:val="20"/>
        </w:rPr>
        <w:t>Receivables, net of their related allowance, consist of the following:</w:t>
      </w:r>
    </w:p>
    <w:tbl>
      <w:tblPr>
        <w:tblW w:w="10539" w:type="dxa"/>
        <w:jc w:val="left"/>
        <w:tblInd w:w="0" w:type="dxa"/>
        <w:tblCellMar>
          <w:top w:w="28" w:type="dxa"/>
          <w:left w:w="28" w:type="dxa"/>
          <w:bottom w:w="28" w:type="dxa"/>
          <w:right w:w="28" w:type="dxa"/>
        </w:tblCellMar>
      </w:tblPr>
      <w:tblGrid>
        <w:gridCol w:w="1750"/>
        <w:gridCol w:w="1536"/>
        <w:gridCol w:w="1539"/>
        <w:gridCol w:w="109"/>
        <w:gridCol w:w="109"/>
        <w:gridCol w:w="109"/>
        <w:gridCol w:w="196"/>
        <w:gridCol w:w="751"/>
        <w:gridCol w:w="109"/>
        <w:gridCol w:w="109"/>
        <w:gridCol w:w="109"/>
        <w:gridCol w:w="109"/>
        <w:gridCol w:w="196"/>
        <w:gridCol w:w="661"/>
        <w:gridCol w:w="109"/>
        <w:gridCol w:w="109"/>
        <w:gridCol w:w="109"/>
        <w:gridCol w:w="109"/>
        <w:gridCol w:w="109"/>
        <w:gridCol w:w="109"/>
        <w:gridCol w:w="109"/>
        <w:gridCol w:w="109"/>
        <w:gridCol w:w="196"/>
        <w:gridCol w:w="646"/>
        <w:gridCol w:w="109"/>
        <w:gridCol w:w="109"/>
        <w:gridCol w:w="109"/>
        <w:gridCol w:w="109"/>
        <w:gridCol w:w="196"/>
        <w:gridCol w:w="646"/>
        <w:gridCol w:w="155"/>
      </w:tblGrid>
      <w:tr>
        <w:trPr/>
        <w:tc>
          <w:tcPr>
            <w:tcW w:w="1750" w:type="dxa"/>
            <w:tcBorders/>
            <w:shd w:fill="auto" w:val="clear"/>
            <w:vAlign w:val="center"/>
          </w:tcPr>
          <w:p>
            <w:pPr>
              <w:pStyle w:val="TableContents"/>
              <w:spacing w:before="0" w:after="283"/>
              <w:rPr>
                <w:sz w:val="4"/>
                <w:szCs w:val="4"/>
              </w:rPr>
            </w:pPr>
            <w:r>
              <w:rPr>
                <w:sz w:val="4"/>
                <w:szCs w:val="4"/>
              </w:rPr>
            </w:r>
          </w:p>
        </w:tc>
        <w:tc>
          <w:tcPr>
            <w:tcW w:w="1536" w:type="dxa"/>
            <w:tcBorders/>
            <w:shd w:fill="auto" w:val="clear"/>
            <w:vAlign w:val="center"/>
          </w:tcPr>
          <w:p>
            <w:pPr>
              <w:pStyle w:val="TableContents"/>
              <w:spacing w:before="0" w:after="283"/>
              <w:rPr>
                <w:sz w:val="4"/>
                <w:szCs w:val="4"/>
              </w:rPr>
            </w:pPr>
            <w:r>
              <w:rPr>
                <w:sz w:val="4"/>
                <w:szCs w:val="4"/>
              </w:rPr>
            </w:r>
          </w:p>
        </w:tc>
        <w:tc>
          <w:tcPr>
            <w:tcW w:w="15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937" w:type="dxa"/>
            <w:gridSpan w:val="1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w:t>
            </w:r>
          </w:p>
        </w:tc>
        <w:tc>
          <w:tcPr>
            <w:tcW w:w="2602" w:type="dxa"/>
            <w:gridSpan w:val="12"/>
            <w:tcBorders/>
            <w:shd w:fill="auto" w:val="clear"/>
          </w:tcPr>
          <w:p>
            <w:pPr>
              <w:pStyle w:val="TableContents"/>
              <w:spacing w:before="0" w:after="283"/>
              <w:rPr>
                <w:sz w:val="4"/>
                <w:szCs w:val="4"/>
              </w:rPr>
            </w:pPr>
            <w:r>
              <w:rPr>
                <w:sz w:val="4"/>
                <w:szCs w:val="4"/>
              </w:rPr>
            </w:r>
          </w:p>
        </w:tc>
      </w:tr>
      <w:tr>
        <w:trPr/>
        <w:tc>
          <w:tcPr>
            <w:tcW w:w="48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As of</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4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color w:val="000000"/>
                <w:sz w:val="18"/>
              </w:rPr>
            </w:pPr>
            <w:r>
              <w:rPr>
                <w:rFonts w:ascii="Calibri;sans-serif" w:hAnsi="Calibri;sans-serif"/>
                <w:b/>
                <w:color w:val="000000"/>
                <w:sz w:val="18"/>
              </w:rPr>
              <w:t>March 31,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June 30, 2022</w:t>
            </w:r>
          </w:p>
        </w:tc>
        <w:tc>
          <w:tcPr>
            <w:tcW w:w="1324" w:type="dxa"/>
            <w:gridSpan w:val="6"/>
            <w:tcBorders/>
            <w:shd w:fill="auto" w:val="clear"/>
          </w:tcPr>
          <w:p>
            <w:pPr>
              <w:pStyle w:val="TableContents"/>
              <w:spacing w:before="0" w:after="283"/>
              <w:rPr>
                <w:sz w:val="4"/>
                <w:szCs w:val="4"/>
              </w:rPr>
            </w:pPr>
            <w:r>
              <w:rPr>
                <w:sz w:val="4"/>
                <w:szCs w:val="4"/>
              </w:rPr>
            </w:r>
          </w:p>
        </w:tc>
      </w:tr>
      <w:tr>
        <w:trPr/>
        <w:tc>
          <w:tcPr>
            <w:tcW w:w="48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Short-term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Long-term</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Short-term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Long-term</w:t>
            </w:r>
          </w:p>
        </w:tc>
      </w:tr>
      <w:tr>
        <w:trPr/>
        <w:tc>
          <w:tcPr>
            <w:tcW w:w="4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Loans to franchisees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13,841</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23,570</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6,194 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22,036 </w:t>
            </w:r>
          </w:p>
        </w:tc>
        <w:tc>
          <w:tcPr>
            <w:tcW w:w="155"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Receivables for U.S. assisted and DIY tax preparation and related fees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104,954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6,477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18,893 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2,560 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2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Calibri;sans-serif" w:hAnsi="Calibri;sans-serif"/>
                <w:b w:val="false"/>
                <w:color w:val="000000"/>
                <w:sz w:val="18"/>
              </w:rPr>
              <w:t>H&amp;R Block's Instant Refund</w:t>
            </w:r>
            <w:r>
              <w:rPr>
                <w:rFonts w:ascii="Calibri;sans-serif" w:hAnsi="Calibri;sans-serif"/>
                <w:b w:val="false"/>
                <w:color w:val="000000"/>
                <w:sz w:val="12"/>
              </w:rPr>
              <w:t>SM</w:t>
            </w:r>
            <w:r>
              <w:rPr>
                <w:color w:val="000000"/>
              </w:rPr>
              <w:t xml:space="preserve"> </w:t>
            </w:r>
            <w:r>
              <w:rPr>
                <w:rFonts w:ascii="Calibri;sans-serif" w:hAnsi="Calibri;sans-serif"/>
                <w:b w:val="false"/>
                <w:color w:val="000000"/>
                <w:sz w:val="18"/>
              </w:rPr>
              <w:t>receivables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41,537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1,687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2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Calibri;sans-serif" w:hAnsi="Calibri;sans-serif"/>
                <w:b w:val="false"/>
                <w:color w:val="000000"/>
                <w:sz w:val="18"/>
              </w:rPr>
              <w:t>H&amp;R Block Emerald Advance®</w:t>
            </w:r>
            <w:r>
              <w:rPr>
                <w:color w:val="000000"/>
              </w:rPr>
              <w:t xml:space="preserve"> </w:t>
            </w:r>
            <w:r>
              <w:rPr>
                <w:rFonts w:ascii="Calibri;sans-serif" w:hAnsi="Calibri;sans-serif"/>
                <w:b w:val="false"/>
                <w:color w:val="000000"/>
                <w:sz w:val="18"/>
              </w:rPr>
              <w:t>lines of credit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15,976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6,166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6,691 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8,825 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Software receivables from retailers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8,882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3,992 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Royalties and other receivables from franchisees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42,443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4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Wave payment processing receivables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935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20,582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1,365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14,111 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1,172 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r>
      <w:tr>
        <w:trPr/>
        <w:tc>
          <w:tcPr>
            <w:tcW w:w="48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7" w:type="dxa"/>
            <w:gridSpan w:val="3"/>
            <w:tcBorders/>
            <w:shd w:fill="auto" w:val="clear"/>
            <w:vAlign w:val="center"/>
          </w:tcPr>
          <w:p>
            <w:pPr>
              <w:pStyle w:val="TableContents"/>
              <w:spacing w:before="0" w:after="283"/>
              <w:rPr>
                <w:sz w:val="4"/>
                <w:szCs w:val="4"/>
              </w:rPr>
            </w:pPr>
            <w:r>
              <w:rPr>
                <w:sz w:val="4"/>
                <w:szCs w:val="4"/>
              </w:rPr>
            </w:r>
          </w:p>
        </w:tc>
      </w:tr>
      <w:tr>
        <w:trPr/>
        <w:tc>
          <w:tcPr>
            <w:tcW w:w="4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249,150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39,265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58,447 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34,864 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25"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997"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692265" cy="543560"/>
                <wp:effectExtent l="0" t="0" r="0" b="0"/>
                <wp:wrapNone/>
                <wp:docPr id="10" name="Frame10"/>
                <a:graphic xmlns:a="http://schemas.openxmlformats.org/drawingml/2006/main">
                  <a:graphicData uri="http://schemas.microsoft.com/office/word/2010/wordprocessingShape">
                    <wps:wsp>
                      <wps:cNvSpPr txBox="1"/>
                      <wps:spPr>
                        <a:xfrm>
                          <a:off x="0" y="0"/>
                          <a:ext cx="6692265" cy="543560"/>
                        </a:xfrm>
                        <a:prstGeom prst="rect"/>
                      </wps:spPr>
                      <wps:txbx>
                        <w:txbxContent>
                          <w:tbl>
                            <w:tblPr>
                              <w:tblW w:w="3131" w:type="dxa"/>
                              <w:jc w:val="left"/>
                              <w:tblInd w:w="0" w:type="dxa"/>
                              <w:tblCellMar>
                                <w:top w:w="28" w:type="dxa"/>
                                <w:left w:w="28" w:type="dxa"/>
                                <w:bottom w:w="28" w:type="dxa"/>
                                <w:right w:w="28" w:type="dxa"/>
                              </w:tblCellMar>
                            </w:tblPr>
                            <w:tblGrid>
                              <w:gridCol w:w="124"/>
                              <w:gridCol w:w="109"/>
                              <w:gridCol w:w="109"/>
                              <w:gridCol w:w="814"/>
                              <w:gridCol w:w="814"/>
                              <w:gridCol w:w="116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8</w:t>
                                  </w:r>
                                </w:p>
                              </w:tc>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Calibri;sans-serif" w:hAnsi="Calibri;sans-serif"/>
                                      <w:b w:val="false"/>
                                      <w:color w:val="000000"/>
                                      <w:sz w:val="16"/>
                                    </w:rPr>
                                    <w:t xml:space="preserve">Q3 FY2023 Form 10-Q| </w:t>
                                  </w:r>
                                  <w:r>
                                    <w:rPr>
                                      <w:rFonts w:ascii="Calibri;sans-serif" w:hAnsi="Calibri;sans-serif"/>
                                      <w:b/>
                                      <w:color w:val="000000"/>
                                      <w:sz w:val="16"/>
                                    </w:rPr>
                                    <w:t>H&amp;R Block, Inc.</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3131" w:type="dxa"/>
                        <w:jc w:val="left"/>
                        <w:tblInd w:w="0" w:type="dxa"/>
                        <w:tblCellMar>
                          <w:top w:w="28" w:type="dxa"/>
                          <w:left w:w="28" w:type="dxa"/>
                          <w:bottom w:w="28" w:type="dxa"/>
                          <w:right w:w="28" w:type="dxa"/>
                        </w:tblCellMar>
                      </w:tblPr>
                      <w:tblGrid>
                        <w:gridCol w:w="124"/>
                        <w:gridCol w:w="109"/>
                        <w:gridCol w:w="109"/>
                        <w:gridCol w:w="814"/>
                        <w:gridCol w:w="814"/>
                        <w:gridCol w:w="116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8</w:t>
                            </w:r>
                          </w:p>
                        </w:tc>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Calibri;sans-serif" w:hAnsi="Calibri;sans-serif"/>
                                <w:b w:val="false"/>
                                <w:color w:val="000000"/>
                                <w:sz w:val="16"/>
                              </w:rPr>
                              <w:t xml:space="preserve">Q3 FY2023 Form 10-Q| </w:t>
                            </w:r>
                            <w:r>
                              <w:rPr>
                                <w:rFonts w:ascii="Calibri;sans-serif" w:hAnsi="Calibri;sans-serif"/>
                                <w:b/>
                                <w:color w:val="000000"/>
                                <w:sz w:val="16"/>
                              </w:rPr>
                              <w:t>H&amp;R Block, Inc.</w:t>
                            </w:r>
                          </w:p>
                        </w:tc>
                      </w:tr>
                    </w:tbl>
                    <w:p>
                      <w:pPr>
                        <w:pStyle w:val="TextBody"/>
                        <w:spacing w:before="0" w:after="283"/>
                        <w:rPr/>
                      </w:pPr>
                      <w:r>
                        <w:rPr/>
                      </w:r>
                    </w:p>
                  </w:txbxContent>
                </v:textbox>
              </v:rect>
            </w:pict>
          </mc:Fallback>
        </mc:AlternateContent>
      </w:r>
    </w:p>
    <w:p>
      <w:pPr>
        <w:pStyle w:val="TextBody"/>
        <w:spacing w:lineRule="auto" w:line="288" w:before="120" w:after="283"/>
        <w:rPr/>
      </w:pPr>
      <w:hyperlink w:anchor="ica06acc7160d4977b3f034161052416e_7">
        <w:r>
          <w:rPr>
            <w:rStyle w:val="InternetLink"/>
            <w:rFonts w:ascii="Calibri;sans-serif" w:hAnsi="Calibri;sans-serif"/>
            <w:b w:val="false"/>
            <w:color w:val="0000FF"/>
            <w:sz w:val="18"/>
            <w:u w:val="single"/>
          </w:rPr>
          <w:t>Table of Contents</w:t>
        </w:r>
      </w:hyperlink>
    </w:p>
    <w:p>
      <w:pPr>
        <w:pStyle w:val="TextBody"/>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 xml:space="preserve">Balances presented above as short-term are included in receivables, while the long-term portions are included in other noncurrent assets in the consolidated balance sheets. </w:t>
      </w:r>
    </w:p>
    <w:p>
      <w:pPr>
        <w:pStyle w:val="TextBody"/>
        <w:spacing w:lineRule="auto" w:line="288" w:before="120" w:after="283"/>
        <w:ind w:left="0" w:right="0" w:firstLine="225"/>
        <w:jc w:val="both"/>
        <w:rPr/>
      </w:pPr>
      <w:r>
        <w:rPr>
          <w:rFonts w:ascii="Calibri;sans-serif" w:hAnsi="Calibri;sans-serif"/>
          <w:b/>
          <w:color w:val="000000"/>
          <w:sz w:val="20"/>
        </w:rPr>
        <w:t xml:space="preserve">LOANS TO FRANCHISEES </w:t>
      </w:r>
      <w:r>
        <w:rPr>
          <w:color w:val="000000"/>
        </w:rPr>
        <w:t xml:space="preserve">– </w:t>
      </w:r>
      <w:r>
        <w:rPr>
          <w:rFonts w:ascii="Calibri;sans-serif" w:hAnsi="Calibri;sans-serif"/>
          <w:b w:val="false"/>
          <w:color w:val="000000"/>
          <w:sz w:val="20"/>
        </w:rPr>
        <w:t xml:space="preserve">Franchisee loan balances consist of term loans made primarily to finance the purchase of franchises and revolving lines of credit primarily for the purpose of funding working capital needs. As of </w:t>
      </w:r>
      <w:r>
        <w:rPr>
          <w:rFonts w:ascii="Calibri;sans-serif" w:hAnsi="Calibri;sans-serif"/>
          <w:b w:val="false"/>
          <w:color w:val="000000"/>
          <w:sz w:val="20"/>
          <w:highlight w:val="white"/>
        </w:rPr>
        <w:t xml:space="preserve">March 31, 2023 </w:t>
      </w:r>
      <w:r>
        <w:rPr>
          <w:rFonts w:ascii="Calibri;sans-serif" w:hAnsi="Calibri;sans-serif"/>
          <w:b w:val="false"/>
          <w:color w:val="000000"/>
          <w:sz w:val="20"/>
        </w:rPr>
        <w:t>and June 30, 2022, loans with a principal balance more than 90 days past due, or on non-accrual status, are not material.</w:t>
      </w:r>
    </w:p>
    <w:p>
      <w:pPr>
        <w:pStyle w:val="TextBody"/>
        <w:spacing w:lineRule="auto" w:line="288" w:before="120" w:after="283"/>
        <w:ind w:left="0" w:right="0" w:firstLine="225"/>
        <w:jc w:val="both"/>
        <w:rPr/>
      </w:pPr>
      <w:r>
        <w:rPr>
          <w:rFonts w:ascii="Calibri;sans-serif" w:hAnsi="Calibri;sans-serif"/>
          <w:b/>
          <w:color w:val="000000"/>
          <w:sz w:val="20"/>
        </w:rPr>
        <w:t>H&amp;R BLOCK'S INSTANT REFUND</w:t>
      </w:r>
      <w:r>
        <w:rPr>
          <w:rFonts w:ascii="Calibri;sans-serif" w:hAnsi="Calibri;sans-serif"/>
          <w:b/>
          <w:color w:val="000000"/>
          <w:sz w:val="12"/>
        </w:rPr>
        <w:t>SM</w:t>
      </w:r>
      <w:r>
        <w:rPr>
          <w:color w:val="000000"/>
        </w:rPr>
        <w:t xml:space="preserve"> – </w:t>
      </w:r>
      <w:r>
        <w:rPr>
          <w:rFonts w:ascii="Calibri;sans-serif" w:hAnsi="Calibri;sans-serif"/>
          <w:b w:val="false"/>
          <w:color w:val="000000"/>
          <w:sz w:val="20"/>
        </w:rPr>
        <w:t>H&amp;R Block's Instant Refund</w:t>
      </w:r>
      <w:r>
        <w:rPr>
          <w:rFonts w:ascii="Calibri;sans-serif" w:hAnsi="Calibri;sans-serif"/>
          <w:b w:val="false"/>
          <w:color w:val="000000"/>
          <w:sz w:val="12"/>
        </w:rPr>
        <w:t>SM</w:t>
      </w:r>
      <w:r>
        <w:rPr>
          <w:color w:val="000000"/>
        </w:rPr>
        <w:t xml:space="preserve"> </w:t>
      </w:r>
      <w:r>
        <w:rPr>
          <w:rFonts w:ascii="Calibri;sans-serif" w:hAnsi="Calibri;sans-serif"/>
          <w:b w:val="false"/>
          <w:color w:val="000000"/>
          <w:sz w:val="20"/>
        </w:rPr>
        <w:t xml:space="preserve">amounts are generally received from the Canada Revenue Agency within 60 days of filing the client's return, with the remaining balance collectible from the client. </w:t>
      </w:r>
    </w:p>
    <w:p>
      <w:pPr>
        <w:pStyle w:val="TextBody"/>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We review the credit quality of our Instant Refund receivables based on pools, which are segregated by the tax return year of origination, with older years being deemed more unlikely to be repaid. We establish an allowance for credit losses at an amount that we believe reflects the receivable at net realizable value. In December of each year, we charge-off the receivables to an amount we believe represents the net realizable value.</w:t>
      </w:r>
    </w:p>
    <w:p>
      <w:pPr>
        <w:pStyle w:val="TextBody"/>
        <w:spacing w:lineRule="auto" w:line="288" w:before="120" w:after="283"/>
        <w:ind w:left="0" w:right="0" w:firstLine="225"/>
        <w:jc w:val="both"/>
        <w:rPr/>
      </w:pPr>
      <w:r>
        <w:rPr>
          <w:rFonts w:ascii="Calibri;sans-serif" w:hAnsi="Calibri;sans-serif"/>
          <w:b w:val="false"/>
          <w:color w:val="000000"/>
          <w:sz w:val="20"/>
        </w:rPr>
        <w:t>Balances and amounts on non-accrual status and classified as impaired, or more than 60 days past due, by tax return year of origination, as of March 31, 2023 are as foll</w:t>
      </w:r>
      <w:r>
        <w:rPr>
          <w:rFonts w:ascii="Calibri;sans-serif" w:hAnsi="Calibri;sans-serif"/>
          <w:b w:val="false"/>
          <w:color w:val="000000"/>
          <w:sz w:val="20"/>
          <w:highlight w:val="white"/>
        </w:rPr>
        <w:t>ows:</w:t>
      </w:r>
    </w:p>
    <w:tbl>
      <w:tblPr>
        <w:tblW w:w="6442" w:type="dxa"/>
        <w:jc w:val="left"/>
        <w:tblInd w:w="0" w:type="dxa"/>
        <w:tblCellMar>
          <w:top w:w="28" w:type="dxa"/>
          <w:left w:w="28" w:type="dxa"/>
          <w:bottom w:w="28" w:type="dxa"/>
          <w:right w:w="28" w:type="dxa"/>
        </w:tblCellMar>
      </w:tblPr>
      <w:tblGrid>
        <w:gridCol w:w="821"/>
        <w:gridCol w:w="719"/>
        <w:gridCol w:w="724"/>
        <w:gridCol w:w="109"/>
        <w:gridCol w:w="109"/>
        <w:gridCol w:w="109"/>
        <w:gridCol w:w="258"/>
        <w:gridCol w:w="873"/>
        <w:gridCol w:w="143"/>
        <w:gridCol w:w="109"/>
        <w:gridCol w:w="109"/>
        <w:gridCol w:w="109"/>
        <w:gridCol w:w="561"/>
        <w:gridCol w:w="1248"/>
        <w:gridCol w:w="441"/>
      </w:tblGrid>
      <w:tr>
        <w:trPr/>
        <w:tc>
          <w:tcPr>
            <w:tcW w:w="821"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r>
      <w:tr>
        <w:trPr/>
        <w:tc>
          <w:tcPr>
            <w:tcW w:w="22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w:t>
            </w:r>
          </w:p>
        </w:tc>
      </w:tr>
      <w:tr>
        <w:trPr/>
        <w:tc>
          <w:tcPr>
            <w:tcW w:w="22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2577" w:type="dxa"/>
            <w:gridSpan w:val="6"/>
            <w:tcBorders/>
            <w:shd w:fill="auto" w:val="clear"/>
          </w:tcPr>
          <w:p>
            <w:pPr>
              <w:pStyle w:val="TableContents"/>
              <w:spacing w:before="0" w:after="283"/>
              <w:rPr>
                <w:sz w:val="4"/>
                <w:szCs w:val="4"/>
              </w:rPr>
            </w:pPr>
            <w:r>
              <w:rPr>
                <w:sz w:val="4"/>
                <w:szCs w:val="4"/>
              </w:rPr>
            </w:r>
          </w:p>
        </w:tc>
      </w:tr>
      <w:tr>
        <w:trPr/>
        <w:tc>
          <w:tcPr>
            <w:tcW w:w="22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Tax return year of origination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Current Balance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2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More Than 60 Days Past Due</w:t>
            </w:r>
          </w:p>
        </w:tc>
      </w:tr>
      <w:tr>
        <w:trPr/>
        <w:tc>
          <w:tcPr>
            <w:tcW w:w="22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7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44,063</w:t>
            </w:r>
            <w:r>
              <w:rPr>
                <w:color w:val="000000"/>
              </w:rPr>
              <w:t> </w:t>
            </w:r>
          </w:p>
        </w:tc>
        <w:tc>
          <w:tcPr>
            <w:tcW w:w="14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24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4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2021 and prior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451</w:t>
            </w:r>
            <w:r>
              <w:rPr>
                <w:color w:val="000000"/>
              </w:rPr>
              <w:t>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451</w:t>
            </w:r>
            <w:r>
              <w:rPr>
                <w:color w:val="000000"/>
              </w:rPr>
              <w:t> </w:t>
            </w:r>
          </w:p>
        </w:tc>
        <w:tc>
          <w:tcPr>
            <w:tcW w:w="4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250" w:type="dxa"/>
            <w:gridSpan w:val="3"/>
            <w:tcBorders/>
            <w:shd w:fill="auto" w:val="clear"/>
            <w:vAlign w:val="center"/>
          </w:tcPr>
          <w:p>
            <w:pPr>
              <w:pStyle w:val="TableContents"/>
              <w:spacing w:before="0" w:after="283"/>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44,514</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24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451</w:t>
            </w:r>
            <w:r>
              <w:rPr>
                <w:color w:val="000000"/>
              </w:rPr>
              <w:t> </w:t>
            </w:r>
          </w:p>
        </w:tc>
        <w:tc>
          <w:tcPr>
            <w:tcW w:w="44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Allowance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(1,290)</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balance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43,224</w:t>
            </w:r>
            <w:r>
              <w:rPr>
                <w:color w:val="000000"/>
              </w:rPr>
              <w:t>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64"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274"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2250"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270"/>
        <w:jc w:val="both"/>
        <w:rPr/>
      </w:pPr>
      <w:r>
        <w:rPr>
          <w:rFonts w:ascii="Calibri;sans-serif" w:hAnsi="Calibri;sans-serif"/>
          <w:b/>
          <w:color w:val="000000"/>
          <w:sz w:val="20"/>
        </w:rPr>
        <w:t>H&amp;R BLOCK EMERALD ADVANCE</w:t>
      </w:r>
      <w:r>
        <w:rPr>
          <w:rFonts w:ascii="Calibri;sans-serif" w:hAnsi="Calibri;sans-serif"/>
          <w:b w:val="false"/>
          <w:color w:val="000000"/>
          <w:sz w:val="20"/>
        </w:rPr>
        <w:t>®</w:t>
      </w:r>
      <w:r>
        <w:rPr>
          <w:color w:val="000000"/>
        </w:rPr>
        <w:t xml:space="preserve"> </w:t>
      </w:r>
      <w:r>
        <w:rPr>
          <w:rFonts w:ascii="Calibri;sans-serif" w:hAnsi="Calibri;sans-serif"/>
          <w:b/>
          <w:color w:val="000000"/>
          <w:sz w:val="20"/>
        </w:rPr>
        <w:t xml:space="preserve">LINES OF CREDIT </w:t>
      </w:r>
      <w:r>
        <w:rPr>
          <w:color w:val="000000"/>
        </w:rPr>
        <w:t xml:space="preserve">– </w:t>
      </w:r>
      <w:r>
        <w:rPr>
          <w:rFonts w:ascii="Calibri;sans-serif" w:hAnsi="Calibri;sans-serif"/>
          <w:b w:val="false"/>
          <w:color w:val="000000"/>
          <w:sz w:val="20"/>
        </w:rPr>
        <w:t>We review the credit quality of our purchased participation interests in Emerald Advance</w:t>
      </w:r>
      <w:r>
        <w:rPr>
          <w:rFonts w:ascii="Calibri;sans-serif" w:hAnsi="Calibri;sans-serif"/>
          <w:b w:val="false"/>
          <w:color w:val="000000"/>
          <w:sz w:val="13"/>
        </w:rPr>
        <w:t>SM</w:t>
      </w:r>
      <w:r>
        <w:rPr>
          <w:color w:val="000000"/>
        </w:rPr>
        <w:t xml:space="preserve"> </w:t>
      </w:r>
      <w:r>
        <w:rPr>
          <w:rFonts w:ascii="Calibri;sans-serif" w:hAnsi="Calibri;sans-serif"/>
          <w:b w:val="false"/>
          <w:color w:val="000000"/>
          <w:sz w:val="20"/>
        </w:rPr>
        <w:t>(EA) receivables based on pools, which are segregated by the fiscal year of origination, with older years being deemed more unlikely to be repaid. We establish an allowance for credit losses at an amount that we believe reflects the receivable at net realizable value. In December of each year, we charge-off the receivables to an amount we believe represents the net realizable value.</w:t>
      </w:r>
    </w:p>
    <w:p>
      <w:pPr>
        <w:pStyle w:val="TextBody"/>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Balances and amounts on non-accrual status and classified as impaired, or more than 60 days past due, by fiscal year of origination, as of March 31, 2023 are as follows:</w:t>
      </w:r>
    </w:p>
    <w:tbl>
      <w:tblPr>
        <w:tblW w:w="4914" w:type="dxa"/>
        <w:jc w:val="left"/>
        <w:tblInd w:w="0" w:type="dxa"/>
        <w:tblCellMar>
          <w:top w:w="28" w:type="dxa"/>
          <w:left w:w="28" w:type="dxa"/>
          <w:bottom w:w="28" w:type="dxa"/>
          <w:right w:w="28" w:type="dxa"/>
        </w:tblCellMar>
      </w:tblPr>
      <w:tblGrid>
        <w:gridCol w:w="701"/>
        <w:gridCol w:w="615"/>
        <w:gridCol w:w="619"/>
        <w:gridCol w:w="109"/>
        <w:gridCol w:w="109"/>
        <w:gridCol w:w="109"/>
        <w:gridCol w:w="258"/>
        <w:gridCol w:w="873"/>
        <w:gridCol w:w="143"/>
        <w:gridCol w:w="109"/>
        <w:gridCol w:w="109"/>
        <w:gridCol w:w="109"/>
        <w:gridCol w:w="203"/>
        <w:gridCol w:w="687"/>
        <w:gridCol w:w="161"/>
      </w:tblGrid>
      <w:tr>
        <w:trPr/>
        <w:tc>
          <w:tcPr>
            <w:tcW w:w="701"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6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914" w:type="dxa"/>
            <w:gridSpan w:val="15"/>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w:t>
            </w:r>
          </w:p>
        </w:tc>
      </w:tr>
      <w:tr>
        <w:trPr/>
        <w:tc>
          <w:tcPr>
            <w:tcW w:w="19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Fiscal year of origination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Current Balance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Non-Accrual</w:t>
            </w:r>
          </w:p>
        </w:tc>
      </w:tr>
      <w:tr>
        <w:trPr/>
        <w:tc>
          <w:tcPr>
            <w:tcW w:w="19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7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33,096</w:t>
            </w:r>
            <w:r>
              <w:rPr>
                <w:color w:val="000000"/>
              </w:rPr>
              <w:t> </w:t>
            </w:r>
          </w:p>
        </w:tc>
        <w:tc>
          <w:tcPr>
            <w:tcW w:w="14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8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33,096</w:t>
            </w:r>
            <w:r>
              <w:rPr>
                <w:color w:val="000000"/>
              </w:rPr>
              <w:t> </w:t>
            </w:r>
          </w:p>
        </w:tc>
        <w:tc>
          <w:tcPr>
            <w:tcW w:w="16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2022 and prior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3,757</w:t>
            </w:r>
            <w:r>
              <w:rPr>
                <w:color w:val="000000"/>
              </w:rPr>
              <w:t> </w:t>
            </w:r>
          </w:p>
        </w:tc>
        <w:tc>
          <w:tcPr>
            <w:tcW w:w="1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3,757</w:t>
            </w: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Revolving loans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13,318</w:t>
            </w:r>
            <w:r>
              <w:rPr>
                <w:color w:val="000000"/>
              </w:rPr>
              <w:t> </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12,743</w:t>
            </w: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50,171</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49,596</w:t>
            </w:r>
            <w:r>
              <w:rPr>
                <w:color w:val="000000"/>
              </w:rPr>
              <w:t>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Allowance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(28,029)</w:t>
            </w:r>
          </w:p>
        </w:tc>
        <w:tc>
          <w:tcPr>
            <w:tcW w:w="1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balance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22,142</w:t>
            </w:r>
            <w:r>
              <w:rPr>
                <w:color w:val="000000"/>
              </w:rPr>
              <w:t>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35"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274"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51"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692265" cy="594995"/>
                <wp:effectExtent l="0" t="0" r="0" b="0"/>
                <wp:wrapNone/>
                <wp:docPr id="11" name="Frame11"/>
                <a:graphic xmlns:a="http://schemas.openxmlformats.org/drawingml/2006/main">
                  <a:graphicData uri="http://schemas.microsoft.com/office/word/2010/wordprocessingShape">
                    <wps:wsp>
                      <wps:cNvSpPr txBox="1"/>
                      <wps:spPr>
                        <a:xfrm>
                          <a:off x="0" y="0"/>
                          <a:ext cx="6692265" cy="594995"/>
                        </a:xfrm>
                        <a:prstGeom prst="rect"/>
                      </wps:spPr>
                      <wps:txbx>
                        <w:txbxContent>
                          <w:tbl>
                            <w:tblPr>
                              <w:tblW w:w="3162" w:type="dxa"/>
                              <w:jc w:val="right"/>
                              <w:tblInd w:w="0" w:type="dxa"/>
                              <w:tblCellMar>
                                <w:top w:w="28" w:type="dxa"/>
                                <w:left w:w="28" w:type="dxa"/>
                                <w:bottom w:w="28" w:type="dxa"/>
                                <w:right w:w="28" w:type="dxa"/>
                              </w:tblCellMar>
                            </w:tblPr>
                            <w:tblGrid>
                              <w:gridCol w:w="1008"/>
                              <w:gridCol w:w="889"/>
                              <w:gridCol w:w="893"/>
                              <w:gridCol w:w="109"/>
                              <w:gridCol w:w="109"/>
                              <w:gridCol w:w="154"/>
                            </w:tblGrid>
                            <w:tr>
                              <w:trPr/>
                              <w:tc>
                                <w:tcPr>
                                  <w:tcW w:w="1008"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|Q3 FY2023 Form 10-Q</w:t>
                                  </w:r>
                                </w:p>
                              </w:tc>
                              <w:tc>
                                <w:tcPr>
                                  <w:tcW w:w="37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162" w:type="dxa"/>
                        <w:jc w:val="right"/>
                        <w:tblInd w:w="0" w:type="dxa"/>
                        <w:tblCellMar>
                          <w:top w:w="28" w:type="dxa"/>
                          <w:left w:w="28" w:type="dxa"/>
                          <w:bottom w:w="28" w:type="dxa"/>
                          <w:right w:w="28" w:type="dxa"/>
                        </w:tblCellMar>
                      </w:tblPr>
                      <w:tblGrid>
                        <w:gridCol w:w="1008"/>
                        <w:gridCol w:w="889"/>
                        <w:gridCol w:w="893"/>
                        <w:gridCol w:w="109"/>
                        <w:gridCol w:w="109"/>
                        <w:gridCol w:w="154"/>
                      </w:tblGrid>
                      <w:tr>
                        <w:trPr/>
                        <w:tc>
                          <w:tcPr>
                            <w:tcW w:w="1008"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|Q3 FY2023 Form 10-Q</w:t>
                            </w:r>
                          </w:p>
                        </w:tc>
                        <w:tc>
                          <w:tcPr>
                            <w:tcW w:w="37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9</w:t>
                            </w:r>
                          </w:p>
                        </w:tc>
                      </w:tr>
                    </w:tbl>
                    <w:p>
                      <w:pPr>
                        <w:pStyle w:val="TextBody"/>
                        <w:spacing w:before="0" w:after="283"/>
                        <w:rPr/>
                      </w:pPr>
                      <w:r>
                        <w:rPr/>
                      </w:r>
                    </w:p>
                  </w:txbxContent>
                </v:textbox>
              </v:rect>
            </w:pict>
          </mc:Fallback>
        </mc:AlternateContent>
      </w:r>
    </w:p>
    <w:p>
      <w:pPr>
        <w:pStyle w:val="TextBody"/>
        <w:spacing w:lineRule="auto" w:line="288" w:before="120" w:after="283"/>
        <w:rPr/>
      </w:pPr>
      <w:hyperlink w:anchor="ica06acc7160d4977b3f034161052416e_7">
        <w:r>
          <w:rPr>
            <w:rStyle w:val="InternetLink"/>
            <w:rFonts w:ascii="Calibri;sans-serif" w:hAnsi="Calibri;sans-serif"/>
            <w:b w:val="false"/>
            <w:color w:val="0000FF"/>
            <w:sz w:val="18"/>
            <w:u w:val="single"/>
          </w:rPr>
          <w:t>Table of Contents</w:t>
        </w:r>
      </w:hyperlink>
    </w:p>
    <w:p>
      <w:pPr>
        <w:pStyle w:val="TextBody"/>
        <w:spacing w:lineRule="auto" w:line="288" w:before="120" w:after="283"/>
        <w:ind w:left="0" w:right="0" w:firstLine="225"/>
        <w:jc w:val="both"/>
        <w:rPr/>
      </w:pPr>
      <w:r>
        <w:rPr>
          <w:rFonts w:ascii="Calibri;sans-serif" w:hAnsi="Calibri;sans-serif"/>
          <w:b/>
          <w:color w:val="000000"/>
          <w:sz w:val="20"/>
        </w:rPr>
        <w:t xml:space="preserve">ALLOWANCE FOR CREDIT LOSSES </w:t>
      </w:r>
      <w:r>
        <w:rPr>
          <w:color w:val="000000"/>
        </w:rPr>
        <w:t xml:space="preserve">– </w:t>
      </w:r>
      <w:r>
        <w:rPr>
          <w:rFonts w:ascii="Calibri;sans-serif" w:hAnsi="Calibri;sans-serif"/>
          <w:b w:val="false"/>
          <w:color w:val="000000"/>
          <w:sz w:val="20"/>
        </w:rPr>
        <w:t>Activity in the allowance for credit losses for our EA and all other short-term and long-term receivables for the nine months ended March 31, 2023 and 2022 is as follows:</w:t>
      </w:r>
    </w:p>
    <w:tbl>
      <w:tblPr>
        <w:tblW w:w="7128" w:type="dxa"/>
        <w:jc w:val="left"/>
        <w:tblInd w:w="0" w:type="dxa"/>
        <w:tblCellMar>
          <w:top w:w="28" w:type="dxa"/>
          <w:left w:w="28" w:type="dxa"/>
          <w:bottom w:w="28" w:type="dxa"/>
          <w:right w:w="28" w:type="dxa"/>
        </w:tblCellMar>
      </w:tblPr>
      <w:tblGrid>
        <w:gridCol w:w="924"/>
        <w:gridCol w:w="810"/>
        <w:gridCol w:w="816"/>
        <w:gridCol w:w="109"/>
        <w:gridCol w:w="109"/>
        <w:gridCol w:w="109"/>
        <w:gridCol w:w="196"/>
        <w:gridCol w:w="661"/>
        <w:gridCol w:w="109"/>
        <w:gridCol w:w="109"/>
        <w:gridCol w:w="109"/>
        <w:gridCol w:w="109"/>
        <w:gridCol w:w="109"/>
        <w:gridCol w:w="109"/>
        <w:gridCol w:w="109"/>
        <w:gridCol w:w="109"/>
        <w:gridCol w:w="109"/>
        <w:gridCol w:w="109"/>
        <w:gridCol w:w="196"/>
        <w:gridCol w:w="661"/>
        <w:gridCol w:w="109"/>
        <w:gridCol w:w="109"/>
        <w:gridCol w:w="109"/>
        <w:gridCol w:w="109"/>
        <w:gridCol w:w="196"/>
        <w:gridCol w:w="661"/>
        <w:gridCol w:w="154"/>
      </w:tblGrid>
      <w:tr>
        <w:trPr/>
        <w:tc>
          <w:tcPr>
            <w:tcW w:w="924"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497" w:type="dxa"/>
            <w:gridSpan w:val="15"/>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w:t>
            </w:r>
          </w:p>
        </w:tc>
        <w:tc>
          <w:tcPr>
            <w:tcW w:w="2631" w:type="dxa"/>
            <w:gridSpan w:val="12"/>
            <w:tcBorders/>
            <w:shd w:fill="auto" w:val="clear"/>
          </w:tcPr>
          <w:p>
            <w:pPr>
              <w:pStyle w:val="TableContents"/>
              <w:spacing w:before="0" w:after="283"/>
              <w:rPr>
                <w:sz w:val="4"/>
                <w:szCs w:val="4"/>
              </w:rPr>
            </w:pPr>
            <w:r>
              <w:rPr>
                <w:sz w:val="4"/>
                <w:szCs w:val="4"/>
              </w:rPr>
            </w:r>
          </w:p>
        </w:tc>
      </w:tr>
      <w:tr>
        <w:trPr/>
        <w:tc>
          <w:tcPr>
            <w:tcW w:w="255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EAs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All Other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Total</w:t>
            </w:r>
          </w:p>
        </w:tc>
      </w:tr>
      <w:tr>
        <w:trPr/>
        <w:tc>
          <w:tcPr>
            <w:tcW w:w="25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Balances as of July 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26,141</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51,126</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77,267</w:t>
            </w:r>
            <w:r>
              <w:rPr>
                <w:color w:val="000000"/>
              </w:rPr>
              <w:t>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Provision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16,702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32,472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49,174</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Charge-offs, recoveries and 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(14,814)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(51,081)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(65,895)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11" w:type="dxa"/>
            <w:gridSpan w:val="3"/>
            <w:tcBorders/>
            <w:shd w:fill="auto" w:val="cle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Balances as of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28,029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32,517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60,546</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Balances as of July 1, 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27,704 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60,272 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87,976 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Provision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13,797 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45,981 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59,778 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Charge-offs, recoveries and 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(16,377)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(60,343)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(76,720)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Balances as of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25,124 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45,910 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71,034 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50"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66"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rPr>
          <w:color w:val="000000"/>
        </w:rPr>
      </w:pPr>
      <w:r>
        <w:rPr>
          <w:color w:val="000000"/>
        </w:rPr>
        <w:t>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Calibri;sans-serif" w:hAnsi="Calibri;sans-serif"/>
          <w:b/>
          <w:color w:val="14AA40"/>
          <w:sz w:val="28"/>
        </w:rPr>
      </w:pPr>
      <w:r>
        <w:rPr>
          <w:rFonts w:ascii="Calibri;sans-serif" w:hAnsi="Calibri;sans-serif"/>
          <w:b/>
          <w:color w:val="14AA40"/>
          <w:sz w:val="28"/>
        </w:rPr>
        <w:t xml:space="preserve">NOTE 5: GOODWILL AND INTANGIBLE ASSETS </w:t>
      </w:r>
    </w:p>
    <w:p>
      <w:pPr>
        <w:pStyle w:val="TextBody"/>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Changes in the carrying amount of goodwill for the nine months ended March 31, 2023 are as follows:</w:t>
      </w:r>
    </w:p>
    <w:tbl>
      <w:tblPr>
        <w:tblW w:w="9082" w:type="dxa"/>
        <w:jc w:val="left"/>
        <w:tblInd w:w="0" w:type="dxa"/>
        <w:tblCellMar>
          <w:top w:w="28" w:type="dxa"/>
          <w:left w:w="28" w:type="dxa"/>
          <w:bottom w:w="28" w:type="dxa"/>
          <w:right w:w="28" w:type="dxa"/>
        </w:tblCellMar>
      </w:tblPr>
      <w:tblGrid>
        <w:gridCol w:w="1206"/>
        <w:gridCol w:w="1058"/>
        <w:gridCol w:w="1066"/>
        <w:gridCol w:w="109"/>
        <w:gridCol w:w="109"/>
        <w:gridCol w:w="109"/>
        <w:gridCol w:w="196"/>
        <w:gridCol w:w="751"/>
        <w:gridCol w:w="109"/>
        <w:gridCol w:w="109"/>
        <w:gridCol w:w="109"/>
        <w:gridCol w:w="109"/>
        <w:gridCol w:w="440"/>
        <w:gridCol w:w="1821"/>
        <w:gridCol w:w="244"/>
        <w:gridCol w:w="109"/>
        <w:gridCol w:w="109"/>
        <w:gridCol w:w="109"/>
        <w:gridCol w:w="196"/>
        <w:gridCol w:w="751"/>
        <w:gridCol w:w="109"/>
        <w:gridCol w:w="154"/>
      </w:tblGrid>
      <w:tr>
        <w:trPr/>
        <w:tc>
          <w:tcPr>
            <w:tcW w:w="1206"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0" w:type="dxa"/>
            <w:tcBorders/>
            <w:shd w:fill="auto" w:val="clear"/>
            <w:vAlign w:val="center"/>
          </w:tcPr>
          <w:p>
            <w:pPr>
              <w:pStyle w:val="TableContents"/>
              <w:spacing w:before="0" w:after="283"/>
              <w:rPr>
                <w:sz w:val="4"/>
                <w:szCs w:val="4"/>
              </w:rPr>
            </w:pPr>
            <w:r>
              <w:rPr>
                <w:sz w:val="4"/>
                <w:szCs w:val="4"/>
              </w:rPr>
            </w:r>
          </w:p>
        </w:tc>
        <w:tc>
          <w:tcPr>
            <w:tcW w:w="1821"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928" w:type="dxa"/>
            <w:gridSpan w:val="21"/>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33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Goodwill</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250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Accumulated Impairment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Net</w:t>
            </w:r>
          </w:p>
        </w:tc>
        <w:tc>
          <w:tcPr>
            <w:tcW w:w="154" w:type="dxa"/>
            <w:tcBorders/>
            <w:shd w:fill="auto" w:val="clear"/>
            <w:vAlign w:val="center"/>
          </w:tcPr>
          <w:p>
            <w:pPr>
              <w:pStyle w:val="TableContents"/>
              <w:spacing w:before="0" w:after="283"/>
              <w:rPr>
                <w:sz w:val="4"/>
                <w:szCs w:val="4"/>
              </w:rPr>
            </w:pPr>
            <w:r>
              <w:rPr>
                <w:sz w:val="4"/>
                <w:szCs w:val="4"/>
              </w:rPr>
            </w:r>
          </w:p>
        </w:tc>
      </w:tr>
      <w:tr>
        <w:trPr/>
        <w:tc>
          <w:tcPr>
            <w:tcW w:w="333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both"/>
              <w:rPr>
                <w:rFonts w:ascii="Calibri;sans-serif" w:hAnsi="Calibri;sans-serif"/>
                <w:b w:val="false"/>
                <w:color w:val="000000"/>
                <w:sz w:val="18"/>
              </w:rPr>
            </w:pPr>
            <w:r>
              <w:rPr>
                <w:rFonts w:ascii="Calibri;sans-serif" w:hAnsi="Calibri;sans-serif"/>
                <w:b w:val="false"/>
                <w:color w:val="000000"/>
                <w:sz w:val="18"/>
              </w:rPr>
              <w:t>Balances as of July 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898,698</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82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(138,297)</w:t>
            </w:r>
          </w:p>
        </w:tc>
        <w:tc>
          <w:tcPr>
            <w:tcW w:w="24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760,401</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Acquisitions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23,829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23,829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Disposals and foreign currency changes,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(14,673)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(14,673)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Impairments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Balances as of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907,854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8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(138,297)</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769,557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5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6" w:type="dxa"/>
            <w:gridSpan w:val="3"/>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330"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2505"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In conjunction with our annual impairment test, we tested goodwill for impairment during the quarter and did not identify any impairment.</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692265" cy="543560"/>
                <wp:effectExtent l="0" t="0" r="0" b="0"/>
                <wp:wrapNone/>
                <wp:docPr id="12" name="Frame12"/>
                <a:graphic xmlns:a="http://schemas.openxmlformats.org/drawingml/2006/main">
                  <a:graphicData uri="http://schemas.microsoft.com/office/word/2010/wordprocessingShape">
                    <wps:wsp>
                      <wps:cNvSpPr txBox="1"/>
                      <wps:spPr>
                        <a:xfrm>
                          <a:off x="0" y="0"/>
                          <a:ext cx="6692265" cy="543560"/>
                        </a:xfrm>
                        <a:prstGeom prst="rect"/>
                      </wps:spPr>
                      <wps:txbx>
                        <w:txbxContent>
                          <w:tbl>
                            <w:tblPr>
                              <w:tblW w:w="3131" w:type="dxa"/>
                              <w:jc w:val="left"/>
                              <w:tblInd w:w="0" w:type="dxa"/>
                              <w:tblCellMar>
                                <w:top w:w="28" w:type="dxa"/>
                                <w:left w:w="28" w:type="dxa"/>
                                <w:bottom w:w="28" w:type="dxa"/>
                                <w:right w:w="28" w:type="dxa"/>
                              </w:tblCellMar>
                            </w:tblPr>
                            <w:tblGrid>
                              <w:gridCol w:w="124"/>
                              <w:gridCol w:w="109"/>
                              <w:gridCol w:w="109"/>
                              <w:gridCol w:w="814"/>
                              <w:gridCol w:w="814"/>
                              <w:gridCol w:w="116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10</w:t>
                                  </w:r>
                                </w:p>
                              </w:tc>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Calibri;sans-serif" w:hAnsi="Calibri;sans-serif"/>
                                      <w:b w:val="false"/>
                                      <w:color w:val="000000"/>
                                      <w:sz w:val="16"/>
                                    </w:rPr>
                                    <w:t xml:space="preserve">Q3 FY2023 Form 10-Q| </w:t>
                                  </w:r>
                                  <w:r>
                                    <w:rPr>
                                      <w:rFonts w:ascii="Calibri;sans-serif" w:hAnsi="Calibri;sans-serif"/>
                                      <w:b/>
                                      <w:color w:val="000000"/>
                                      <w:sz w:val="16"/>
                                    </w:rPr>
                                    <w:t>H&amp;R Block, Inc.</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3131" w:type="dxa"/>
                        <w:jc w:val="left"/>
                        <w:tblInd w:w="0" w:type="dxa"/>
                        <w:tblCellMar>
                          <w:top w:w="28" w:type="dxa"/>
                          <w:left w:w="28" w:type="dxa"/>
                          <w:bottom w:w="28" w:type="dxa"/>
                          <w:right w:w="28" w:type="dxa"/>
                        </w:tblCellMar>
                      </w:tblPr>
                      <w:tblGrid>
                        <w:gridCol w:w="124"/>
                        <w:gridCol w:w="109"/>
                        <w:gridCol w:w="109"/>
                        <w:gridCol w:w="814"/>
                        <w:gridCol w:w="814"/>
                        <w:gridCol w:w="116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10</w:t>
                            </w:r>
                          </w:p>
                        </w:tc>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Calibri;sans-serif" w:hAnsi="Calibri;sans-serif"/>
                                <w:b w:val="false"/>
                                <w:color w:val="000000"/>
                                <w:sz w:val="16"/>
                              </w:rPr>
                              <w:t xml:space="preserve">Q3 FY2023 Form 10-Q| </w:t>
                            </w:r>
                            <w:r>
                              <w:rPr>
                                <w:rFonts w:ascii="Calibri;sans-serif" w:hAnsi="Calibri;sans-serif"/>
                                <w:b/>
                                <w:color w:val="000000"/>
                                <w:sz w:val="16"/>
                              </w:rPr>
                              <w:t>H&amp;R Block, Inc.</w:t>
                            </w:r>
                          </w:p>
                        </w:tc>
                      </w:tr>
                    </w:tbl>
                    <w:p>
                      <w:pPr>
                        <w:pStyle w:val="TextBody"/>
                        <w:spacing w:before="0" w:after="283"/>
                        <w:rPr/>
                      </w:pPr>
                      <w:r>
                        <w:rPr/>
                      </w:r>
                    </w:p>
                  </w:txbxContent>
                </v:textbox>
              </v:rect>
            </w:pict>
          </mc:Fallback>
        </mc:AlternateContent>
      </w:r>
    </w:p>
    <w:p>
      <w:pPr>
        <w:pStyle w:val="TextBody"/>
        <w:spacing w:lineRule="auto" w:line="288" w:before="120" w:after="283"/>
        <w:rPr/>
      </w:pPr>
      <w:hyperlink w:anchor="ica06acc7160d4977b3f034161052416e_7">
        <w:r>
          <w:rPr>
            <w:rStyle w:val="InternetLink"/>
            <w:rFonts w:ascii="Calibri;sans-serif" w:hAnsi="Calibri;sans-serif"/>
            <w:b w:val="false"/>
            <w:color w:val="0000FF"/>
            <w:sz w:val="18"/>
            <w:u w:val="single"/>
          </w:rPr>
          <w:t>Table of Contents</w:t>
        </w:r>
      </w:hyperlink>
    </w:p>
    <w:p>
      <w:pPr>
        <w:pStyle w:val="TextBody"/>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Components of intangible assets are as follows:</w:t>
      </w:r>
    </w:p>
    <w:tbl>
      <w:tblPr>
        <w:tblW w:w="6699" w:type="dxa"/>
        <w:jc w:val="left"/>
        <w:tblInd w:w="0" w:type="dxa"/>
        <w:tblCellMar>
          <w:top w:w="28" w:type="dxa"/>
          <w:left w:w="28" w:type="dxa"/>
          <w:bottom w:w="28" w:type="dxa"/>
          <w:right w:w="28" w:type="dxa"/>
        </w:tblCellMar>
      </w:tblPr>
      <w:tblGrid>
        <w:gridCol w:w="836"/>
        <w:gridCol w:w="733"/>
        <w:gridCol w:w="741"/>
        <w:gridCol w:w="109"/>
        <w:gridCol w:w="109"/>
        <w:gridCol w:w="109"/>
        <w:gridCol w:w="196"/>
        <w:gridCol w:w="886"/>
        <w:gridCol w:w="109"/>
        <w:gridCol w:w="109"/>
        <w:gridCol w:w="109"/>
        <w:gridCol w:w="109"/>
        <w:gridCol w:w="196"/>
        <w:gridCol w:w="811"/>
        <w:gridCol w:w="109"/>
        <w:gridCol w:w="109"/>
        <w:gridCol w:w="109"/>
        <w:gridCol w:w="109"/>
        <w:gridCol w:w="196"/>
        <w:gridCol w:w="751"/>
        <w:gridCol w:w="154"/>
      </w:tblGrid>
      <w:tr>
        <w:trPr/>
        <w:tc>
          <w:tcPr>
            <w:tcW w:w="836"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699" w:type="dxa"/>
            <w:gridSpan w:val="21"/>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w:t>
            </w:r>
          </w:p>
        </w:tc>
      </w:tr>
      <w:tr>
        <w:trPr/>
        <w:tc>
          <w:tcPr>
            <w:tcW w:w="2310"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Gross</w:t>
              <w:b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Accumulated</w:t>
              <w:br/>
              <w:t>Amortization</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Net</w:t>
            </w:r>
          </w:p>
        </w:tc>
      </w:tr>
      <w:tr>
        <w:trPr/>
        <w:tc>
          <w:tcPr>
            <w:tcW w:w="23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As of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Reacquired franchise rights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392,274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(208,401)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183,873</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Customer relationships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351,427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(295,094)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56,333</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Internally-developed software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140,268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(123,125)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17,143</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Noncompete agreements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42,575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(39,099)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3,476</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Franchise agreements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19,201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(18,348)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853</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Purchased technology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122,700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(94,556)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28,144</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Trade name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5,800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(2,175)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3,625</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1,074,245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(780,798)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293,447</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As of June 30,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Reacquired franchise rights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379,114 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(197,068)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182,046 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Customer relationships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331,020 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(278,717)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52,303 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Internally-developed software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137,638 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(107,111)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30,527 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Noncompete agreements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41,789 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(37,684)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4,105 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Franchise agreements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19,201 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(17,388)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Purchased technology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122,700 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(87,910)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34,790 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Trade name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5,800 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(1,740)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4,060 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01" w:type="dxa"/>
            <w:gridSpan w:val="3"/>
            <w:tcBorders/>
            <w:shd w:fill="auto" w:val="clear"/>
            <w:vAlign w:val="center"/>
          </w:tcPr>
          <w:p>
            <w:pPr>
              <w:pStyle w:val="TableContents"/>
              <w:spacing w:before="0" w:after="283"/>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1,037,262 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(727,618)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309,644 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10"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225"/>
        <w:jc w:val="both"/>
        <w:rPr/>
      </w:pPr>
      <w:r>
        <w:rPr>
          <w:rFonts w:ascii="Calibri;sans-serif" w:hAnsi="Calibri;sans-serif"/>
          <w:b w:val="false"/>
          <w:color w:val="000000"/>
          <w:sz w:val="20"/>
        </w:rPr>
        <w:t>We made payments to acquire businesses totaling $47.7 million and $25.5 million during the nine months ended March 31, 2023 and 2022, respectively. The amounts and weighted-average lives of intangible assets acquired during the nine months e</w:t>
      </w:r>
      <w:r>
        <w:rPr>
          <w:rFonts w:ascii="Calibri;sans-serif" w:hAnsi="Calibri;sans-serif"/>
          <w:b w:val="false"/>
          <w:color w:val="000000"/>
          <w:sz w:val="20"/>
          <w:highlight w:val="white"/>
        </w:rPr>
        <w:t>nded March 31, 2023, including amounts capitalized related to internally-developed software, a</w:t>
      </w:r>
      <w:r>
        <w:rPr>
          <w:rFonts w:ascii="Calibri;sans-serif" w:hAnsi="Calibri;sans-serif"/>
          <w:b w:val="false"/>
          <w:color w:val="000000"/>
          <w:sz w:val="20"/>
        </w:rPr>
        <w:t>re as follows:</w:t>
      </w:r>
    </w:p>
    <w:tbl>
      <w:tblPr>
        <w:tblW w:w="6509" w:type="dxa"/>
        <w:jc w:val="left"/>
        <w:tblInd w:w="0" w:type="dxa"/>
        <w:tblCellMar>
          <w:top w:w="28" w:type="dxa"/>
          <w:left w:w="28" w:type="dxa"/>
          <w:bottom w:w="28" w:type="dxa"/>
          <w:right w:w="28" w:type="dxa"/>
        </w:tblCellMar>
      </w:tblPr>
      <w:tblGrid>
        <w:gridCol w:w="836"/>
        <w:gridCol w:w="735"/>
        <w:gridCol w:w="738"/>
        <w:gridCol w:w="109"/>
        <w:gridCol w:w="109"/>
        <w:gridCol w:w="109"/>
        <w:gridCol w:w="196"/>
        <w:gridCol w:w="661"/>
        <w:gridCol w:w="109"/>
        <w:gridCol w:w="109"/>
        <w:gridCol w:w="109"/>
        <w:gridCol w:w="109"/>
        <w:gridCol w:w="755"/>
        <w:gridCol w:w="755"/>
        <w:gridCol w:w="1070"/>
      </w:tblGrid>
      <w:tr>
        <w:trPr/>
        <w:tc>
          <w:tcPr>
            <w:tcW w:w="836" w:type="dxa"/>
            <w:tcBorders/>
            <w:shd w:fill="auto" w:val="clear"/>
            <w:vAlign w:val="center"/>
          </w:tcPr>
          <w:p>
            <w:pPr>
              <w:pStyle w:val="TableContents"/>
              <w:spacing w:before="0" w:after="283"/>
              <w:rPr>
                <w:sz w:val="4"/>
                <w:szCs w:val="4"/>
              </w:rPr>
            </w:pPr>
            <w:r>
              <w:rPr>
                <w:sz w:val="4"/>
                <w:szCs w:val="4"/>
              </w:rPr>
            </w:r>
          </w:p>
        </w:tc>
        <w:tc>
          <w:tcPr>
            <w:tcW w:w="735"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r>
      <w:tr>
        <w:trPr/>
        <w:tc>
          <w:tcPr>
            <w:tcW w:w="6509" w:type="dxa"/>
            <w:gridSpan w:val="15"/>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(dollars in 000s)</w:t>
            </w:r>
          </w:p>
        </w:tc>
      </w:tr>
      <w:tr>
        <w:trPr/>
        <w:tc>
          <w:tcPr>
            <w:tcW w:w="230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Weighted-Average Life (in years)</w:t>
            </w:r>
          </w:p>
        </w:tc>
      </w:tr>
      <w:tr>
        <w:trPr/>
        <w:tc>
          <w:tcPr>
            <w:tcW w:w="23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Internally-developed software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2,822</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color w:val="000000"/>
                <w:sz w:val="18"/>
              </w:rPr>
            </w:pPr>
            <w:r>
              <w:rPr>
                <w:rFonts w:ascii="Calibri;sans-serif" w:hAnsi="Calibri;sans-serif"/>
                <w:b/>
                <w:color w:val="000000"/>
                <w:sz w:val="18"/>
              </w:rPr>
              <w:t>2</w:t>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Customer relationships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22,015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color w:val="000000"/>
                <w:sz w:val="18"/>
              </w:rPr>
            </w:pPr>
            <w:r>
              <w:rPr>
                <w:rFonts w:ascii="Calibri;sans-serif" w:hAnsi="Calibri;sans-serif"/>
                <w:b/>
                <w:color w:val="000000"/>
                <w:sz w:val="18"/>
              </w:rPr>
              <w:t>5</w:t>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Reacquired franchise rights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13,460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color w:val="000000"/>
                <w:sz w:val="18"/>
              </w:rPr>
            </w:pPr>
            <w:r>
              <w:rPr>
                <w:rFonts w:ascii="Calibri;sans-serif" w:hAnsi="Calibri;sans-serif"/>
                <w:b/>
                <w:color w:val="000000"/>
                <w:sz w:val="18"/>
              </w:rPr>
              <w:t>4</w:t>
            </w:r>
          </w:p>
        </w:tc>
      </w:tr>
      <w:tr>
        <w:trPr/>
        <w:tc>
          <w:tcPr>
            <w:tcW w:w="23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Noncompete agreements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833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color w:val="000000"/>
                <w:sz w:val="18"/>
              </w:rPr>
            </w:pPr>
            <w:r>
              <w:rPr>
                <w:rFonts w:ascii="Calibri;sans-serif" w:hAnsi="Calibri;sans-serif"/>
                <w:b/>
                <w:color w:val="000000"/>
                <w:sz w:val="18"/>
              </w:rPr>
              <w:t>5</w:t>
            </w:r>
          </w:p>
        </w:tc>
      </w:tr>
      <w:tr>
        <w:trPr/>
        <w:tc>
          <w:tcPr>
            <w:tcW w:w="23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39,130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Calibri;sans-serif" w:hAnsi="Calibri;sans-serif"/>
                <w:b/>
                <w:color w:val="000000"/>
                <w:sz w:val="18"/>
              </w:rPr>
            </w:pPr>
            <w:r>
              <w:rPr>
                <w:rFonts w:ascii="Calibri;sans-serif" w:hAnsi="Calibri;sans-serif"/>
                <w:b/>
                <w:color w:val="000000"/>
                <w:sz w:val="18"/>
              </w:rPr>
              <w:t>5</w:t>
            </w:r>
          </w:p>
        </w:tc>
      </w:tr>
      <w:tr>
        <w:trPr/>
        <w:tc>
          <w:tcPr>
            <w:tcW w:w="2309"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2580"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225"/>
        <w:jc w:val="both"/>
        <w:rPr/>
      </w:pPr>
      <w:r>
        <w:rPr>
          <w:rFonts w:ascii="Calibri;sans-serif" w:hAnsi="Calibri;sans-serif"/>
          <w:b w:val="false"/>
          <w:color w:val="000000"/>
          <w:sz w:val="20"/>
        </w:rPr>
        <w:t>Amortization of intangible assets for the three and nine</w:t>
      </w:r>
      <w:r>
        <w:rPr>
          <w:color w:val="000000"/>
          <w:highlight w:val="white"/>
        </w:rPr>
        <w:t xml:space="preserve"> </w:t>
      </w:r>
      <w:r>
        <w:rPr>
          <w:rFonts w:ascii="Calibri;sans-serif" w:hAnsi="Calibri;sans-serif"/>
          <w:b w:val="false"/>
          <w:color w:val="000000"/>
          <w:sz w:val="20"/>
          <w:highlight w:val="white"/>
        </w:rPr>
        <w:t xml:space="preserve">months ended March 31, 2023 was $17.8 million and $54.7 million, respectively, compared to $19.5 million and $58.7 million for the </w:t>
      </w:r>
      <w:r>
        <w:rPr>
          <w:rFonts w:ascii="Calibri;sans-serif" w:hAnsi="Calibri;sans-serif"/>
          <w:b w:val="false"/>
          <w:color w:val="000000"/>
          <w:sz w:val="20"/>
        </w:rPr>
        <w:t>three and nine</w:t>
      </w:r>
      <w:r>
        <w:rPr>
          <w:color w:val="000000"/>
          <w:highlight w:val="white"/>
        </w:rPr>
        <w:t xml:space="preserve"> </w:t>
      </w:r>
      <w:r>
        <w:rPr>
          <w:rFonts w:ascii="Calibri;sans-serif" w:hAnsi="Calibri;sans-serif"/>
          <w:b w:val="false"/>
          <w:color w:val="000000"/>
          <w:sz w:val="20"/>
          <w:highlight w:val="white"/>
        </w:rPr>
        <w:t>months ended March 31, 2022, respectively. Estimated amortization of intangible assets for fiscal years ending June 30, 2023, 2024, 2025, 2026, and 2027 is $71.9 million, $55.2 million, $32.6 million, $23.6 million and $17.8 million, respectively.</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692265" cy="594995"/>
                <wp:effectExtent l="0" t="0" r="0" b="0"/>
                <wp:wrapNone/>
                <wp:docPr id="13" name="Frame13"/>
                <a:graphic xmlns:a="http://schemas.openxmlformats.org/drawingml/2006/main">
                  <a:graphicData uri="http://schemas.microsoft.com/office/word/2010/wordprocessingShape">
                    <wps:wsp>
                      <wps:cNvSpPr txBox="1"/>
                      <wps:spPr>
                        <a:xfrm>
                          <a:off x="0" y="0"/>
                          <a:ext cx="6692265" cy="594995"/>
                        </a:xfrm>
                        <a:prstGeom prst="rect"/>
                      </wps:spPr>
                      <wps:txbx>
                        <w:txbxContent>
                          <w:tbl>
                            <w:tblPr>
                              <w:tblW w:w="3162" w:type="dxa"/>
                              <w:jc w:val="right"/>
                              <w:tblInd w:w="0" w:type="dxa"/>
                              <w:tblCellMar>
                                <w:top w:w="28" w:type="dxa"/>
                                <w:left w:w="28" w:type="dxa"/>
                                <w:bottom w:w="28" w:type="dxa"/>
                                <w:right w:w="28" w:type="dxa"/>
                              </w:tblCellMar>
                            </w:tblPr>
                            <w:tblGrid>
                              <w:gridCol w:w="1008"/>
                              <w:gridCol w:w="889"/>
                              <w:gridCol w:w="893"/>
                              <w:gridCol w:w="109"/>
                              <w:gridCol w:w="109"/>
                              <w:gridCol w:w="154"/>
                            </w:tblGrid>
                            <w:tr>
                              <w:trPr/>
                              <w:tc>
                                <w:tcPr>
                                  <w:tcW w:w="1008"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|Q3 FY2023 Form 10-Q</w:t>
                                  </w:r>
                                </w:p>
                              </w:tc>
                              <w:tc>
                                <w:tcPr>
                                  <w:tcW w:w="37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11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162" w:type="dxa"/>
                        <w:jc w:val="right"/>
                        <w:tblInd w:w="0" w:type="dxa"/>
                        <w:tblCellMar>
                          <w:top w:w="28" w:type="dxa"/>
                          <w:left w:w="28" w:type="dxa"/>
                          <w:bottom w:w="28" w:type="dxa"/>
                          <w:right w:w="28" w:type="dxa"/>
                        </w:tblCellMar>
                      </w:tblPr>
                      <w:tblGrid>
                        <w:gridCol w:w="1008"/>
                        <w:gridCol w:w="889"/>
                        <w:gridCol w:w="893"/>
                        <w:gridCol w:w="109"/>
                        <w:gridCol w:w="109"/>
                        <w:gridCol w:w="154"/>
                      </w:tblGrid>
                      <w:tr>
                        <w:trPr/>
                        <w:tc>
                          <w:tcPr>
                            <w:tcW w:w="1008"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|Q3 FY2023 Form 10-Q</w:t>
                            </w:r>
                          </w:p>
                        </w:tc>
                        <w:tc>
                          <w:tcPr>
                            <w:tcW w:w="37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11</w:t>
                            </w:r>
                          </w:p>
                        </w:tc>
                      </w:tr>
                    </w:tbl>
                    <w:p>
                      <w:pPr>
                        <w:pStyle w:val="TextBody"/>
                        <w:spacing w:before="0" w:after="283"/>
                        <w:rPr/>
                      </w:pPr>
                      <w:r>
                        <w:rPr/>
                      </w:r>
                    </w:p>
                  </w:txbxContent>
                </v:textbox>
              </v:rect>
            </w:pict>
          </mc:Fallback>
        </mc:AlternateContent>
      </w:r>
    </w:p>
    <w:p>
      <w:pPr>
        <w:pStyle w:val="TextBody"/>
        <w:spacing w:lineRule="auto" w:line="288" w:before="120" w:after="283"/>
        <w:rPr/>
      </w:pPr>
      <w:hyperlink w:anchor="ica06acc7160d4977b3f034161052416e_7">
        <w:r>
          <w:rPr>
            <w:rStyle w:val="InternetLink"/>
            <w:rFonts w:ascii="Calibri;sans-serif" w:hAnsi="Calibri;sans-serif"/>
            <w:b w:val="false"/>
            <w:color w:val="0000FF"/>
            <w:sz w:val="18"/>
            <w:u w:val="single"/>
          </w:rPr>
          <w:t>Table of Contents</w:t>
        </w:r>
      </w:hyperlink>
    </w:p>
    <w:p>
      <w:pPr>
        <w:pStyle w:val="TextBody"/>
        <w:spacing w:lineRule="auto" w:line="288" w:before="120" w:after="283"/>
        <w:rPr/>
      </w:pPr>
      <w:r>
        <w:rPr>
          <w:rFonts w:ascii="Calibri;sans-serif" w:hAnsi="Calibri;sans-serif"/>
          <w:b/>
          <w:color w:val="14AA40"/>
          <w:sz w:val="28"/>
        </w:rPr>
        <w:t>NOTE 6: LONG-TERM DEBT</w:t>
      </w:r>
      <w:r>
        <w:rPr>
          <w:color w:val="14AA40"/>
        </w:rPr>
        <w:t xml:space="preserve"> </w:t>
      </w:r>
    </w:p>
    <w:p>
      <w:pPr>
        <w:pStyle w:val="TextBody"/>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The components of long-term debt are as follows:</w:t>
      </w:r>
    </w:p>
    <w:tbl>
      <w:tblPr>
        <w:tblW w:w="6428" w:type="dxa"/>
        <w:jc w:val="center"/>
        <w:tblInd w:w="0" w:type="dxa"/>
        <w:tblCellMar>
          <w:top w:w="28" w:type="dxa"/>
          <w:left w:w="28" w:type="dxa"/>
          <w:bottom w:w="28" w:type="dxa"/>
          <w:right w:w="28" w:type="dxa"/>
        </w:tblCellMar>
      </w:tblPr>
      <w:tblGrid>
        <w:gridCol w:w="1116"/>
        <w:gridCol w:w="985"/>
        <w:gridCol w:w="989"/>
        <w:gridCol w:w="109"/>
        <w:gridCol w:w="109"/>
        <w:gridCol w:w="109"/>
        <w:gridCol w:w="205"/>
        <w:gridCol w:w="926"/>
        <w:gridCol w:w="114"/>
        <w:gridCol w:w="109"/>
        <w:gridCol w:w="109"/>
        <w:gridCol w:w="109"/>
        <w:gridCol w:w="109"/>
        <w:gridCol w:w="109"/>
        <w:gridCol w:w="196"/>
        <w:gridCol w:w="871"/>
        <w:gridCol w:w="154"/>
      </w:tblGrid>
      <w:tr>
        <w:trPr/>
        <w:tc>
          <w:tcPr>
            <w:tcW w:w="1116" w:type="dxa"/>
            <w:tcBorders/>
            <w:shd w:fill="auto" w:val="clear"/>
            <w:vAlign w:val="center"/>
          </w:tcPr>
          <w:p>
            <w:pPr>
              <w:pStyle w:val="TableContents"/>
              <w:spacing w:before="0" w:after="283"/>
              <w:rPr>
                <w:sz w:val="4"/>
                <w:szCs w:val="4"/>
              </w:rPr>
            </w:pPr>
            <w:r>
              <w:rPr>
                <w:sz w:val="4"/>
                <w:szCs w:val="4"/>
              </w:rPr>
            </w:r>
          </w:p>
        </w:tc>
        <w:tc>
          <w:tcPr>
            <w:tcW w:w="985"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w:t>
            </w:r>
          </w:p>
        </w:tc>
      </w:tr>
      <w:tr>
        <w:trPr/>
        <w:tc>
          <w:tcPr>
            <w:tcW w:w="30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As of</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March 31,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June 30, 2022</w:t>
            </w:r>
          </w:p>
        </w:tc>
      </w:tr>
      <w:tr>
        <w:trPr/>
        <w:tc>
          <w:tcPr>
            <w:tcW w:w="30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30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Calibri;sans-serif" w:hAnsi="Calibri;sans-serif"/>
                <w:b w:val="false"/>
                <w:color w:val="000000"/>
                <w:sz w:val="18"/>
              </w:rPr>
            </w:pPr>
            <w:r>
              <w:rPr>
                <w:rFonts w:ascii="Calibri;sans-serif" w:hAnsi="Calibri;sans-serif"/>
                <w:b w:val="false"/>
                <w:color w:val="000000"/>
                <w:sz w:val="18"/>
              </w:rPr>
              <w:t>Senior Notes, 5.250%, due October 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350,000</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Calibri;sans-serif" w:hAnsi="Calibri;sans-serif"/>
                <w:b w:val="false"/>
                <w:color w:val="000000"/>
                <w:sz w:val="18"/>
              </w:rPr>
            </w:pPr>
            <w:r>
              <w:rPr>
                <w:rFonts w:ascii="Calibri;sans-serif" w:hAnsi="Calibri;sans-serif"/>
                <w:b w:val="false"/>
                <w:color w:val="000000"/>
                <w:sz w:val="18"/>
              </w:rPr>
              <w:t>Senior Notes, 2.500%, due July 2028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500,000</w:t>
            </w: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500,000 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Calibri;sans-serif" w:hAnsi="Calibri;sans-serif"/>
                <w:b w:val="false"/>
                <w:color w:val="000000"/>
                <w:sz w:val="18"/>
              </w:rPr>
            </w:pPr>
            <w:r>
              <w:rPr>
                <w:rFonts w:ascii="Calibri;sans-serif" w:hAnsi="Calibri;sans-serif"/>
                <w:b w:val="false"/>
                <w:color w:val="000000"/>
                <w:sz w:val="18"/>
              </w:rPr>
              <w:t>Senior Notes, 3.875%, due August 2030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650,000</w:t>
            </w:r>
            <w:r>
              <w:rPr>
                <w:color w:val="000000"/>
              </w:rPr>
              <w:t> </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650,000 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21" w:type="dxa"/>
            <w:gridSpan w:val="3"/>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Debt issuance costs and discounts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(11,543)</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(13,124)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long-term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1,488,457</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1,486,876 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Less: Current portion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Long-term portion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9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1,488,457</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1,486,876 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Estimated fair value of long-term debt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9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1,337,000</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1,377,000 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90"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245"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221"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Our unsecured committed line of credit (CLOC) provides for an unsecured senior revolving credit facility in the aggregate principal amount of $1.5 billion, which includes a $175.0 million sublimit for swingline loans and a $50.0 million sublimit for standby letters of credit. We may request increases in the aggregate principal amount of the revolving credit facility of up to $500.0 million, subject to obtaining commitments from lenders and meeting certain other conditions. The CLOC will mature on June 11, 2026, unless extended pursuant to the terms of the CLOC, at which time all outstanding amounts thereunder will be due and payable. Our CLOC includes an annual facility fee, which will vary depending on our then current credit ratings.</w:t>
      </w:r>
    </w:p>
    <w:p>
      <w:pPr>
        <w:pStyle w:val="TextBody"/>
        <w:spacing w:lineRule="auto" w:line="288" w:before="120" w:after="283"/>
        <w:ind w:left="0" w:right="0" w:firstLine="270"/>
        <w:jc w:val="both"/>
        <w:rPr/>
      </w:pPr>
      <w:r>
        <w:rPr>
          <w:rFonts w:ascii="Calibri;sans-serif" w:hAnsi="Calibri;sans-serif"/>
          <w:b w:val="false"/>
          <w:color w:val="000000"/>
          <w:sz w:val="20"/>
        </w:rPr>
        <w:t>The CLOC is subject to various conditions, triggers, events or occurrences that could result in earlier termination and contains customary representations, warranties, covenants and events of default, including, without limitation: (1) a covenant requiring the Company to maintain a debt-to-EBITDA ratio, as defined by the CLOC agreement, calculated on a consolidated basis of no greater than (a) 3.50 to 1.00 as of the last day of each fiscal quarter ending on March 31, June 30, and September 30 of each year and (b) 4.50 to 1.00 as of the last day of each fiscal quarter ending on December 31 of each year; (2) a covenant requiring us to maintain an interest coverage ratio (EBITDA-to-interest expense) calculated on a consolidated basis of not less than 2.50 to 1.00 as of the last date of any fiscal quarter; and (3) covenants restricting our ability to incur certain additional debt, incur liens, merge or consolidate with other companies, sell or dispose of assets (including equity interests), liquidate or dissolve, engage in certain transactions with affiliates or enter into certain restrictive agreements. The CLOC includes provisions for an equity cure which could potentially allow us to independently cure certain defaults. Proceeds under the CLOC may be used for working capital needs or for other general corporate pu</w:t>
      </w:r>
      <w:r>
        <w:rPr>
          <w:rFonts w:ascii="Calibri;sans-serif" w:hAnsi="Calibri;sans-serif"/>
          <w:b w:val="false"/>
          <w:color w:val="000000"/>
          <w:sz w:val="20"/>
          <w:highlight w:val="white"/>
        </w:rPr>
        <w:t xml:space="preserve">rposes. We were in compliance with these requirements as of March 31, 2023. </w:t>
      </w:r>
    </w:p>
    <w:p>
      <w:pPr>
        <w:pStyle w:val="TextBody"/>
        <w:spacing w:lineRule="auto" w:line="288" w:before="120" w:after="283"/>
        <w:ind w:left="0" w:right="0" w:firstLine="270"/>
        <w:jc w:val="both"/>
        <w:rPr/>
      </w:pPr>
      <w:r>
        <w:rPr>
          <w:rFonts w:ascii="Calibri;sans-serif" w:hAnsi="Calibri;sans-serif"/>
          <w:b w:val="false"/>
          <w:color w:val="000000"/>
          <w:sz w:val="20"/>
          <w:highlight w:val="white"/>
        </w:rPr>
        <w:t>We had no outst</w:t>
      </w:r>
      <w:r>
        <w:rPr>
          <w:rFonts w:ascii="Calibri;sans-serif" w:hAnsi="Calibri;sans-serif"/>
          <w:b w:val="false"/>
          <w:color w:val="000000"/>
          <w:sz w:val="20"/>
        </w:rPr>
        <w:t xml:space="preserve">anding balance under our CLOC and amounts available to borrow were limited by the debt-to-EBITDA covenant to approximately $1.4 billion of March 31, 2023.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Calibri;sans-serif" w:hAnsi="Calibri;sans-serif"/>
          <w:b/>
          <w:color w:val="14AA40"/>
          <w:sz w:val="28"/>
        </w:rPr>
      </w:pPr>
      <w:r>
        <w:rPr>
          <w:rFonts w:ascii="Calibri;sans-serif" w:hAnsi="Calibri;sans-serif"/>
          <w:b/>
          <w:color w:val="14AA40"/>
          <w:sz w:val="28"/>
        </w:rPr>
        <w:t>NOTE 7: INCOME TAXES</w:t>
      </w:r>
    </w:p>
    <w:p>
      <w:pPr>
        <w:pStyle w:val="TextBody"/>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We file a consolidated federal income tax return in the U.S. with the Internal Revenue Service (IRS) and file tax returns in various state, local, and foreign jurisdictions. Tax returns are typically examined and either settled upon completion of the examination or through the appeals process. With respect to federal, state and local jurisdictions and countries outside of the U.S., we are typically subject to examination for three to six years after the income tax returns have been filed. On November 7, 2022, the IRS commenced their examination of our 2020 tax return and related carryback claims to tax years 2015 through 2018. Although the outcome of tax audits is always uncertain, we believe that adequate amounts of tax, interest, and penalties have been provided for in the accompanying consolidated financial statements for any adjustments that might be incurred due to federal, state, local or foreign audits.</w:t>
      </w:r>
    </w:p>
    <w:p>
      <w:pPr>
        <w:pStyle w:val="TextBody"/>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 xml:space="preserve">We had gross unrecognized tax benefits of $256.3 million and $232.0 million as of March 31, 2023 and June 30, 2022, respectively. The gross unrecognized tax benefits increased by $24.3 million during the nine months ended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692265" cy="543560"/>
                <wp:effectExtent l="0" t="0" r="0" b="0"/>
                <wp:wrapNone/>
                <wp:docPr id="14" name="Frame14"/>
                <a:graphic xmlns:a="http://schemas.openxmlformats.org/drawingml/2006/main">
                  <a:graphicData uri="http://schemas.microsoft.com/office/word/2010/wordprocessingShape">
                    <wps:wsp>
                      <wps:cNvSpPr txBox="1"/>
                      <wps:spPr>
                        <a:xfrm>
                          <a:off x="0" y="0"/>
                          <a:ext cx="6692265" cy="543560"/>
                        </a:xfrm>
                        <a:prstGeom prst="rect"/>
                      </wps:spPr>
                      <wps:txbx>
                        <w:txbxContent>
                          <w:tbl>
                            <w:tblPr>
                              <w:tblW w:w="3131" w:type="dxa"/>
                              <w:jc w:val="left"/>
                              <w:tblInd w:w="0" w:type="dxa"/>
                              <w:tblCellMar>
                                <w:top w:w="28" w:type="dxa"/>
                                <w:left w:w="28" w:type="dxa"/>
                                <w:bottom w:w="28" w:type="dxa"/>
                                <w:right w:w="28" w:type="dxa"/>
                              </w:tblCellMar>
                            </w:tblPr>
                            <w:tblGrid>
                              <w:gridCol w:w="124"/>
                              <w:gridCol w:w="109"/>
                              <w:gridCol w:w="109"/>
                              <w:gridCol w:w="814"/>
                              <w:gridCol w:w="814"/>
                              <w:gridCol w:w="116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12</w:t>
                                  </w:r>
                                </w:p>
                              </w:tc>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Calibri;sans-serif" w:hAnsi="Calibri;sans-serif"/>
                                      <w:b w:val="false"/>
                                      <w:color w:val="000000"/>
                                      <w:sz w:val="16"/>
                                    </w:rPr>
                                    <w:t xml:space="preserve">Q3 FY2023 Form 10-Q| </w:t>
                                  </w:r>
                                  <w:r>
                                    <w:rPr>
                                      <w:rFonts w:ascii="Calibri;sans-serif" w:hAnsi="Calibri;sans-serif"/>
                                      <w:b/>
                                      <w:color w:val="000000"/>
                                      <w:sz w:val="16"/>
                                    </w:rPr>
                                    <w:t>H&amp;R Block, Inc.</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3131" w:type="dxa"/>
                        <w:jc w:val="left"/>
                        <w:tblInd w:w="0" w:type="dxa"/>
                        <w:tblCellMar>
                          <w:top w:w="28" w:type="dxa"/>
                          <w:left w:w="28" w:type="dxa"/>
                          <w:bottom w:w="28" w:type="dxa"/>
                          <w:right w:w="28" w:type="dxa"/>
                        </w:tblCellMar>
                      </w:tblPr>
                      <w:tblGrid>
                        <w:gridCol w:w="124"/>
                        <w:gridCol w:w="109"/>
                        <w:gridCol w:w="109"/>
                        <w:gridCol w:w="814"/>
                        <w:gridCol w:w="814"/>
                        <w:gridCol w:w="116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12</w:t>
                            </w:r>
                          </w:p>
                        </w:tc>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Calibri;sans-serif" w:hAnsi="Calibri;sans-serif"/>
                                <w:b w:val="false"/>
                                <w:color w:val="000000"/>
                                <w:sz w:val="16"/>
                              </w:rPr>
                              <w:t xml:space="preserve">Q3 FY2023 Form 10-Q| </w:t>
                            </w:r>
                            <w:r>
                              <w:rPr>
                                <w:rFonts w:ascii="Calibri;sans-serif" w:hAnsi="Calibri;sans-serif"/>
                                <w:b/>
                                <w:color w:val="000000"/>
                                <w:sz w:val="16"/>
                              </w:rPr>
                              <w:t>H&amp;R Block, Inc.</w:t>
                            </w:r>
                          </w:p>
                        </w:tc>
                      </w:tr>
                    </w:tbl>
                    <w:p>
                      <w:pPr>
                        <w:pStyle w:val="TextBody"/>
                        <w:spacing w:before="0" w:after="283"/>
                        <w:rPr/>
                      </w:pPr>
                      <w:r>
                        <w:rPr/>
                      </w:r>
                    </w:p>
                  </w:txbxContent>
                </v:textbox>
              </v:rect>
            </w:pict>
          </mc:Fallback>
        </mc:AlternateContent>
      </w:r>
    </w:p>
    <w:p>
      <w:pPr>
        <w:pStyle w:val="TextBody"/>
        <w:spacing w:lineRule="auto" w:line="288" w:before="120" w:after="283"/>
        <w:rPr/>
      </w:pPr>
      <w:hyperlink w:anchor="ica06acc7160d4977b3f034161052416e_7">
        <w:r>
          <w:rPr>
            <w:rStyle w:val="InternetLink"/>
            <w:rFonts w:ascii="Calibri;sans-serif" w:hAnsi="Calibri;sans-serif"/>
            <w:b w:val="false"/>
            <w:color w:val="0000FF"/>
            <w:sz w:val="18"/>
            <w:u w:val="single"/>
          </w:rPr>
          <w:t>Table of Contents</w:t>
        </w:r>
      </w:hyperlink>
    </w:p>
    <w:p>
      <w:pPr>
        <w:pStyle w:val="TextBody"/>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 xml:space="preserve">March 31, 2023. We believe it is reasonably possible that the balance of unrecognized tax benefits could decrease by approximately $53.5 million within the next twelve months. The anticipated decrease is due to the expiration of statutes of limitations and anticipated closure of various matters currently under examination or in appeals. For such matters where a change in the balance of unrecognized tax benefits is not yet deemed reasonably possible, no estimate has been included. </w:t>
      </w:r>
    </w:p>
    <w:p>
      <w:pPr>
        <w:pStyle w:val="TextBody"/>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Our effective tax rate for continuing operations, including the effects of discrete tax items, was 23.3% and 8.1% for the nine months ended March 31, 2023 and 2022, respectively. Discrete items decreased the effective tax rate by 1.3% and 14.4% for the nine months ended March 31, 2023, and 2022, respectively. A discrete income tax benefit of $4.2 million and $52.6 million were recorded in the nine months ended March 31, 2023 and 2022, respectively. The discrete tax benefit recorded in the current period primarily resulted from state statute of limitations expirations. The discrete tax benefit recorded in the prior period primarily resulted from federal and state statute of limitations expirations. The impact discrete tax items have on our tax rate through the third quarter are slightly exaggerated versus the impact discrete tax items have on the full fiscal year tax rate.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Calibri;sans-serif" w:hAnsi="Calibri;sans-serif"/>
          <w:b/>
          <w:color w:val="14AA40"/>
          <w:sz w:val="28"/>
        </w:rPr>
      </w:pPr>
      <w:r>
        <w:rPr>
          <w:rFonts w:ascii="Calibri;sans-serif" w:hAnsi="Calibri;sans-serif"/>
          <w:b/>
          <w:color w:val="14AA40"/>
          <w:sz w:val="28"/>
        </w:rPr>
        <w:t xml:space="preserve">NOTE 8: COMMITMENTS AND CONTINGENCIES </w:t>
      </w:r>
    </w:p>
    <w:p>
      <w:pPr>
        <w:pStyle w:val="TextBody"/>
        <w:spacing w:lineRule="auto" w:line="288" w:before="120" w:after="283"/>
        <w:jc w:val="both"/>
        <w:rPr/>
      </w:pPr>
      <w:r>
        <w:rPr>
          <w:rFonts w:ascii="Calibri;sans-serif" w:hAnsi="Calibri;sans-serif"/>
          <w:b w:val="false"/>
          <w:color w:val="000000"/>
          <w:sz w:val="20"/>
        </w:rPr>
        <w:t>Assisted tax returns</w:t>
      </w:r>
      <w:r>
        <w:rPr>
          <w:color w:val="000000"/>
        </w:rPr>
        <w:t xml:space="preserve"> </w:t>
      </w:r>
      <w:r>
        <w:rPr>
          <w:rFonts w:ascii="Calibri;sans-serif" w:hAnsi="Calibri;sans-serif"/>
          <w:b w:val="false"/>
          <w:color w:val="000000"/>
          <w:sz w:val="20"/>
        </w:rPr>
        <w:t xml:space="preserve">are covered by our 100% accuracy guarantee, whereby we will reimburse a client for penalties and interest attributable to an H&amp;R Block error on a return. DIY tax returns are covered by our 100% accuracy guarantee, whereby we will reimburse a client up to a maximum of $10,000 if our software makes an arithmetic error that results in payment of penalties and/or interest to the IRS that a client would otherwise not have been required to pay. Our liability related to estimated losses under the 100% accuracy guarantee was $14.6 million and $14.0 million as of March 31, 2023 and June 30, 2022, respectively. The short-term and long-term portions of this liability are included in deferred revenue and other liabilities in the consolidated balance sheets. </w:t>
      </w:r>
    </w:p>
    <w:p>
      <w:pPr>
        <w:pStyle w:val="TextBody"/>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 xml:space="preserve">Liabilities related to acquisitions for (1) estimated contingent consideration based on expected financial performance of the acquired business and economic conditions at the time of acquisition and (2) estimated accrued compensation related to continued employment of key employees were $19.9 million and $12.9 million as of March 31, 2023 and June 30, 2022, respectively, with amounts recorded in deferred revenue and other liabilities. Should actual results differ from our estimates, future payments made will differ from the above estimate and any differences will be recorded in results from continuing operations. </w:t>
      </w:r>
    </w:p>
    <w:p>
      <w:pPr>
        <w:pStyle w:val="TextBody"/>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We have contractual commitments to fund certain franchises with approved revolving lines of credit. Our total obligation under these lines of credit was $20.4 million at March 31, 2023, and net of amounts drawn and outstanding, our remaining commitment to fund totaled $9.6 million.</w:t>
      </w:r>
    </w:p>
    <w:p>
      <w:pPr>
        <w:pStyle w:val="TextBody"/>
        <w:spacing w:lineRule="auto" w:line="288" w:before="120" w:after="283"/>
        <w:ind w:left="0" w:right="0" w:firstLine="225"/>
        <w:jc w:val="both"/>
        <w:rPr/>
      </w:pPr>
      <w:r>
        <w:rPr>
          <w:rFonts w:ascii="Calibri;sans-serif" w:hAnsi="Calibri;sans-serif"/>
          <w:b w:val="false"/>
          <w:color w:val="000000"/>
          <w:sz w:val="20"/>
        </w:rPr>
        <w:t xml:space="preserve">In March 2020, the U.S. government enacted the Coronavirus Aid, Relief, and Economic Security Act (CARES Act) to provide economic and other relief as a result of the COVID-19 pandemic. The CARES Act includes, among other items, provisions relating to refundable employee retention payroll tax credits. </w:t>
      </w:r>
      <w:r>
        <w:rPr>
          <w:rFonts w:ascii="Calibri;sans-serif" w:hAnsi="Calibri;sans-serif"/>
          <w:b w:val="false"/>
          <w:color w:val="000000"/>
          <w:sz w:val="20"/>
          <w:highlight w:val="white"/>
        </w:rPr>
        <w:t>Due to the complex nature of the employee retention credit computations, any benefits we may receive are uncertain and may significantly differ from our current estimates. We plan to record any benefit related to these credits upon both the receipt of the benefit and the resolution of the uncertainties, including, but not limited to, the completion of any potential audit or examination, or the expiration of the related stat</w:t>
      </w:r>
      <w:r>
        <w:rPr>
          <w:rFonts w:ascii="Calibri;sans-serif" w:hAnsi="Calibri;sans-serif"/>
          <w:b w:val="false"/>
          <w:color w:val="000000"/>
          <w:sz w:val="20"/>
        </w:rPr>
        <w:t>ute of limitations. During the nine months ended March 31, 2023, we received $13.2 million related to these credits and recognized $3.7 million as an offset to related operating expenses. As of March 31, 2023 and June 30, 2022, we had deferre</w:t>
      </w:r>
      <w:r>
        <w:rPr>
          <w:rFonts w:ascii="Calibri;sans-serif" w:hAnsi="Calibri;sans-serif"/>
          <w:b w:val="false"/>
          <w:color w:val="000000"/>
          <w:sz w:val="20"/>
          <w:highlight w:val="white"/>
        </w:rPr>
        <w:t xml:space="preserve">d balances of $14.6 million and $5.1 million, respectively, which is recorded in deferred revenue and other current liabilities. </w:t>
      </w:r>
    </w:p>
    <w:p>
      <w:pPr>
        <w:pStyle w:val="TextBody"/>
        <w:spacing w:lineRule="auto" w:line="288" w:before="120" w:after="283"/>
        <w:ind w:left="0" w:right="0" w:firstLine="225"/>
        <w:jc w:val="both"/>
        <w:rPr/>
      </w:pPr>
      <w:r>
        <w:rPr>
          <w:rFonts w:ascii="Calibri;sans-serif" w:hAnsi="Calibri;sans-serif"/>
          <w:b w:val="false"/>
          <w:color w:val="000000"/>
          <w:sz w:val="20"/>
        </w:rPr>
        <w:t>Emerald Advance</w:t>
      </w:r>
      <w:r>
        <w:rPr>
          <w:rFonts w:ascii="Calibri;sans-serif" w:hAnsi="Calibri;sans-serif"/>
          <w:b w:val="false"/>
          <w:color w:val="000000"/>
          <w:sz w:val="13"/>
        </w:rPr>
        <w:t>SM</w:t>
      </w:r>
      <w:r>
        <w:rPr>
          <w:color w:val="000000"/>
        </w:rPr>
        <w:t xml:space="preserve"> </w:t>
      </w:r>
      <w:r>
        <w:rPr>
          <w:rFonts w:ascii="Calibri;sans-serif" w:hAnsi="Calibri;sans-serif"/>
          <w:b w:val="false"/>
          <w:color w:val="000000"/>
          <w:sz w:val="20"/>
        </w:rPr>
        <w:t>lines of credit (EAs) are originated by Pathward</w:t>
      </w:r>
      <w:r>
        <w:rPr>
          <w:rFonts w:ascii="Calibri;sans-serif" w:hAnsi="Calibri;sans-serif"/>
          <w:b w:val="false"/>
          <w:color w:val="000000"/>
          <w:sz w:val="13"/>
        </w:rPr>
        <w:t xml:space="preserve">TM </w:t>
      </w:r>
      <w:r>
        <w:rPr>
          <w:rFonts w:ascii="Calibri;sans-serif" w:hAnsi="Calibri;sans-serif"/>
          <w:b w:val="false"/>
          <w:color w:val="000000"/>
          <w:sz w:val="20"/>
        </w:rPr>
        <w:t>N.A. (Pathward). We purchase a 90% participation interest, at par, in all EAs originated by Pathward in accordance with our participation agreement. At March 31, 2023, the principal balance of purchased participation interests for the current year totaled $277.9 million.</w:t>
      </w:r>
    </w:p>
    <w:p>
      <w:pPr>
        <w:pStyle w:val="TextBody"/>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Refund Advance loans are originated by Pathward and offered to certain assisted U.S. tax preparation clients, based on client eligibility as determined by Pathward. We pay fees primarily based on loan size and customer type. We have provided a guarantee up to $18.0 million related to certain loans to clients prior to the IRS accepting electronic filing. At March 31, 2023, we accrued an estimated liability of $0.8 million related to this guarantee, compared to $0.6 million at March 31, 2022.</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692265" cy="594995"/>
                <wp:effectExtent l="0" t="0" r="0" b="0"/>
                <wp:wrapNone/>
                <wp:docPr id="15" name="Frame15"/>
                <a:graphic xmlns:a="http://schemas.openxmlformats.org/drawingml/2006/main">
                  <a:graphicData uri="http://schemas.microsoft.com/office/word/2010/wordprocessingShape">
                    <wps:wsp>
                      <wps:cNvSpPr txBox="1"/>
                      <wps:spPr>
                        <a:xfrm>
                          <a:off x="0" y="0"/>
                          <a:ext cx="6692265" cy="594995"/>
                        </a:xfrm>
                        <a:prstGeom prst="rect"/>
                      </wps:spPr>
                      <wps:txbx>
                        <w:txbxContent>
                          <w:tbl>
                            <w:tblPr>
                              <w:tblW w:w="3162" w:type="dxa"/>
                              <w:jc w:val="right"/>
                              <w:tblInd w:w="0" w:type="dxa"/>
                              <w:tblCellMar>
                                <w:top w:w="28" w:type="dxa"/>
                                <w:left w:w="28" w:type="dxa"/>
                                <w:bottom w:w="28" w:type="dxa"/>
                                <w:right w:w="28" w:type="dxa"/>
                              </w:tblCellMar>
                            </w:tblPr>
                            <w:tblGrid>
                              <w:gridCol w:w="1008"/>
                              <w:gridCol w:w="889"/>
                              <w:gridCol w:w="893"/>
                              <w:gridCol w:w="109"/>
                              <w:gridCol w:w="109"/>
                              <w:gridCol w:w="154"/>
                            </w:tblGrid>
                            <w:tr>
                              <w:trPr/>
                              <w:tc>
                                <w:tcPr>
                                  <w:tcW w:w="1008"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|Q3 FY2023 Form 10-Q</w:t>
                                  </w:r>
                                </w:p>
                              </w:tc>
                              <w:tc>
                                <w:tcPr>
                                  <w:tcW w:w="37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13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162" w:type="dxa"/>
                        <w:jc w:val="right"/>
                        <w:tblInd w:w="0" w:type="dxa"/>
                        <w:tblCellMar>
                          <w:top w:w="28" w:type="dxa"/>
                          <w:left w:w="28" w:type="dxa"/>
                          <w:bottom w:w="28" w:type="dxa"/>
                          <w:right w:w="28" w:type="dxa"/>
                        </w:tblCellMar>
                      </w:tblPr>
                      <w:tblGrid>
                        <w:gridCol w:w="1008"/>
                        <w:gridCol w:w="889"/>
                        <w:gridCol w:w="893"/>
                        <w:gridCol w:w="109"/>
                        <w:gridCol w:w="109"/>
                        <w:gridCol w:w="154"/>
                      </w:tblGrid>
                      <w:tr>
                        <w:trPr/>
                        <w:tc>
                          <w:tcPr>
                            <w:tcW w:w="1008"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|Q3 FY2023 Form 10-Q</w:t>
                            </w:r>
                          </w:p>
                        </w:tc>
                        <w:tc>
                          <w:tcPr>
                            <w:tcW w:w="37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13</w:t>
                            </w:r>
                          </w:p>
                        </w:tc>
                      </w:tr>
                    </w:tbl>
                    <w:p>
                      <w:pPr>
                        <w:pStyle w:val="TextBody"/>
                        <w:spacing w:before="0" w:after="283"/>
                        <w:rPr/>
                      </w:pPr>
                      <w:r>
                        <w:rPr/>
                      </w:r>
                    </w:p>
                  </w:txbxContent>
                </v:textbox>
              </v:rect>
            </w:pict>
          </mc:Fallback>
        </mc:AlternateContent>
      </w:r>
    </w:p>
    <w:p>
      <w:pPr>
        <w:pStyle w:val="TextBody"/>
        <w:spacing w:lineRule="auto" w:line="288" w:before="120" w:after="283"/>
        <w:rPr/>
      </w:pPr>
      <w:hyperlink w:anchor="ica06acc7160d4977b3f034161052416e_7">
        <w:r>
          <w:rPr>
            <w:rStyle w:val="InternetLink"/>
            <w:rFonts w:ascii="Calibri;sans-serif" w:hAnsi="Calibri;sans-serif"/>
            <w:b w:val="false"/>
            <w:color w:val="0000FF"/>
            <w:sz w:val="18"/>
            <w:u w:val="single"/>
          </w:rPr>
          <w:t>Table of Contents</w:t>
        </w:r>
      </w:hyperlink>
    </w:p>
    <w:p>
      <w:pPr>
        <w:pStyle w:val="TextBody"/>
        <w:spacing w:lineRule="auto" w:line="288" w:before="120" w:after="283"/>
        <w:rPr>
          <w:rFonts w:ascii="Calibri;sans-serif" w:hAnsi="Calibri;sans-serif"/>
          <w:b/>
          <w:color w:val="14AA40"/>
          <w:sz w:val="28"/>
        </w:rPr>
      </w:pPr>
      <w:r>
        <w:rPr>
          <w:rFonts w:ascii="Calibri;sans-serif" w:hAnsi="Calibri;sans-serif"/>
          <w:b/>
          <w:color w:val="14AA40"/>
          <w:sz w:val="28"/>
        </w:rPr>
        <w:t xml:space="preserve">NOTE 9: LITIGATION AND OTHER RELATED CONTINGENCIES </w:t>
      </w:r>
    </w:p>
    <w:p>
      <w:pPr>
        <w:pStyle w:val="TextBody"/>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We are a defendant in numerous litigation and arbitration matters, arising both in the ordinary course of business and otherwise, including as described below. The matters described below are not all of the lawsuits or arbitrations to which we are subject. In some of the matters, very large or indeterminate amounts, including punitive damages, may be sought. U.S. jurisdictions permit considerable variation in the assertion of monetary damages or other relief. Jurisdictions may permit claimants not to specify the monetary damages sought or may permit claimants to state only that the amount sought is sufficient to invoke the jurisdiction. In addition, jurisdictions may permit plaintiffs to allege monetary damages in amounts well exceeding reasonably possible verdicts in the jurisdiction for similar matters. We believe that the monetary relief which may be specified in a lawsuit or claim bears little relevance to its merits or disposition value due to this variability in pleadings and our experience in handling and resolving numerous claims over an extended period of time.</w:t>
      </w:r>
    </w:p>
    <w:p>
      <w:pPr>
        <w:pStyle w:val="TextBody"/>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The outcome of a matter and the amount or range of potential loss at particular points in time may be difficult to ascertain. Among other things, uncertainties can include how fact finders will evaluate documentary evidence and the credibility and effectiveness of witness testimony, and how courts and arbitrators will apply the law. Disposition valuations are also subject to the uncertainty of how opposing parties and their counsel will view the relevant evidence and applicable law.</w:t>
      </w:r>
    </w:p>
    <w:p>
      <w:pPr>
        <w:pStyle w:val="TextBody"/>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In addition to litigation and arbitration matters, we are also subject to other loss contingencies arising out of our business activities, including as described below.</w:t>
      </w:r>
    </w:p>
    <w:p>
      <w:pPr>
        <w:pStyle w:val="TextBody"/>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We accrue liabilities for litigation, arbitration, and other related loss contingencies and any related settlements when it is probable that a loss has been incurred and the amount of the loss can be reasonably estimated. If a range of loss is estimated, and some amount within that range appears to be a better estimate than any other amount within that range, then that amount is accrued. If no amount within the range can be identified as a better estimate than any other amount, we accrue the minimum amount in the range.</w:t>
      </w:r>
    </w:p>
    <w:p>
      <w:pPr>
        <w:pStyle w:val="TextBody"/>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For such matters where a loss is believed to be reasonably possible, but not probable, or the loss cannot be reasonably estimated, no accrual has been made. It is possible that such matters could require us to pay damages or make other expenditures or accrue liabilities in amounts that could not be reasonably estimated as of March 31, 2023. While the potential future liabilities could be material in the particular quarterly or annual periods in which they are recorded, based on information currently known, we do not believe any such liabilities are likely to have a material adverse effect on our business and our consolidated financial position, results of operations, and cash flows. Our total accrued liabilities were $4.0 million and $1.7 million as of March 31, 2023 and June 30, 2022, respectively.</w:t>
      </w:r>
    </w:p>
    <w:p>
      <w:pPr>
        <w:pStyle w:val="TextBody"/>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Our estimate of the aggregate range of reasonably possible losses includes (1) matters where a liability has been accrued and there is a reasonably possible loss in excess of the amount accrued for that liability, and (2) matters where a liability has not been accrued but we believe a loss is reasonably possible. This aggregate range only represents those losses as to which we are currently able to estimate a reasonably possible loss or range of loss. It does not represent our maximum loss exposure.</w:t>
      </w:r>
    </w:p>
    <w:p>
      <w:pPr>
        <w:pStyle w:val="TextBody"/>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Matters for which we are not currently able to estimate the reasonably possible loss or range of loss are not included in this range. We are often unable to estimate the possible loss or range of loss until developments in such matters have provided sufficient information to support an assessment of the reasonably possible loss or range of loss, such as precise information about the amount of damages or other remedies being asserted, the defenses to the claims being asserted, discovery from other parties and investigation of factual allegations, rulings by courts or arbitrators on motions or appeals, analyses by experts, or the status or terms of any settlement negotiations.</w:t>
      </w:r>
    </w:p>
    <w:p>
      <w:pPr>
        <w:pStyle w:val="TextBody"/>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The estimated range of reasonably possible loss is based upon currently available information and is subject to significant judgment and a variety of assumptions, as well as known and unknown uncertainties. The matters underlying the estimated range will change from time to time, and actual results may vary significantly from the current estimate. As of March 31, 2023, we believe the estimate of the aggregate range of reasonably possible losses in excess of amounts accrued, where the range of loss can be estimated, is not material.</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692265" cy="543560"/>
                <wp:effectExtent l="0" t="0" r="0" b="0"/>
                <wp:wrapNone/>
                <wp:docPr id="16" name="Frame16"/>
                <a:graphic xmlns:a="http://schemas.openxmlformats.org/drawingml/2006/main">
                  <a:graphicData uri="http://schemas.microsoft.com/office/word/2010/wordprocessingShape">
                    <wps:wsp>
                      <wps:cNvSpPr txBox="1"/>
                      <wps:spPr>
                        <a:xfrm>
                          <a:off x="0" y="0"/>
                          <a:ext cx="6692265" cy="543560"/>
                        </a:xfrm>
                        <a:prstGeom prst="rect"/>
                      </wps:spPr>
                      <wps:txbx>
                        <w:txbxContent>
                          <w:tbl>
                            <w:tblPr>
                              <w:tblW w:w="3131" w:type="dxa"/>
                              <w:jc w:val="left"/>
                              <w:tblInd w:w="0" w:type="dxa"/>
                              <w:tblCellMar>
                                <w:top w:w="28" w:type="dxa"/>
                                <w:left w:w="28" w:type="dxa"/>
                                <w:bottom w:w="28" w:type="dxa"/>
                                <w:right w:w="28" w:type="dxa"/>
                              </w:tblCellMar>
                            </w:tblPr>
                            <w:tblGrid>
                              <w:gridCol w:w="124"/>
                              <w:gridCol w:w="109"/>
                              <w:gridCol w:w="109"/>
                              <w:gridCol w:w="814"/>
                              <w:gridCol w:w="814"/>
                              <w:gridCol w:w="116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14</w:t>
                                  </w:r>
                                </w:p>
                              </w:tc>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Calibri;sans-serif" w:hAnsi="Calibri;sans-serif"/>
                                      <w:b w:val="false"/>
                                      <w:color w:val="000000"/>
                                      <w:sz w:val="16"/>
                                    </w:rPr>
                                    <w:t xml:space="preserve">Q3 FY2023 Form 10-Q| </w:t>
                                  </w:r>
                                  <w:r>
                                    <w:rPr>
                                      <w:rFonts w:ascii="Calibri;sans-serif" w:hAnsi="Calibri;sans-serif"/>
                                      <w:b/>
                                      <w:color w:val="000000"/>
                                      <w:sz w:val="16"/>
                                    </w:rPr>
                                    <w:t>H&amp;R Block, Inc.</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3131" w:type="dxa"/>
                        <w:jc w:val="left"/>
                        <w:tblInd w:w="0" w:type="dxa"/>
                        <w:tblCellMar>
                          <w:top w:w="28" w:type="dxa"/>
                          <w:left w:w="28" w:type="dxa"/>
                          <w:bottom w:w="28" w:type="dxa"/>
                          <w:right w:w="28" w:type="dxa"/>
                        </w:tblCellMar>
                      </w:tblPr>
                      <w:tblGrid>
                        <w:gridCol w:w="124"/>
                        <w:gridCol w:w="109"/>
                        <w:gridCol w:w="109"/>
                        <w:gridCol w:w="814"/>
                        <w:gridCol w:w="814"/>
                        <w:gridCol w:w="116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14</w:t>
                            </w:r>
                          </w:p>
                        </w:tc>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Calibri;sans-serif" w:hAnsi="Calibri;sans-serif"/>
                                <w:b w:val="false"/>
                                <w:color w:val="000000"/>
                                <w:sz w:val="16"/>
                              </w:rPr>
                              <w:t xml:space="preserve">Q3 FY2023 Form 10-Q| </w:t>
                            </w:r>
                            <w:r>
                              <w:rPr>
                                <w:rFonts w:ascii="Calibri;sans-serif" w:hAnsi="Calibri;sans-serif"/>
                                <w:b/>
                                <w:color w:val="000000"/>
                                <w:sz w:val="16"/>
                              </w:rPr>
                              <w:t>H&amp;R Block, Inc.</w:t>
                            </w:r>
                          </w:p>
                        </w:tc>
                      </w:tr>
                    </w:tbl>
                    <w:p>
                      <w:pPr>
                        <w:pStyle w:val="TextBody"/>
                        <w:spacing w:before="0" w:after="283"/>
                        <w:rPr/>
                      </w:pPr>
                      <w:r>
                        <w:rPr/>
                      </w:r>
                    </w:p>
                  </w:txbxContent>
                </v:textbox>
              </v:rect>
            </w:pict>
          </mc:Fallback>
        </mc:AlternateContent>
      </w:r>
    </w:p>
    <w:p>
      <w:pPr>
        <w:pStyle w:val="TextBody"/>
        <w:spacing w:lineRule="auto" w:line="288" w:before="120" w:after="283"/>
        <w:rPr/>
      </w:pPr>
      <w:hyperlink w:anchor="ica06acc7160d4977b3f034161052416e_7">
        <w:r>
          <w:rPr>
            <w:rStyle w:val="InternetLink"/>
            <w:rFonts w:ascii="Calibri;sans-serif" w:hAnsi="Calibri;sans-serif"/>
            <w:b w:val="false"/>
            <w:color w:val="0000FF"/>
            <w:sz w:val="18"/>
            <w:u w:val="single"/>
          </w:rPr>
          <w:t>Table of Contents</w:t>
        </w:r>
      </w:hyperlink>
    </w:p>
    <w:p>
      <w:pPr>
        <w:pStyle w:val="TextBody"/>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At the end of each reporting period, we review relevant information with respect to litigation, arbitration, and other related loss contingencies and update our accruals, disclosures, and estimates of reasonably possible loss or range of loss based on such reviews. Costs incurred with defending matters are expensed as incurred. Any receivable for insurance recoveries is recorded separately from the corresponding liability, and only if recovery is determined to be probable and reasonably estimable.</w:t>
      </w:r>
    </w:p>
    <w:p>
      <w:pPr>
        <w:pStyle w:val="TextBody"/>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We believe we have meritorious defenses to the claims asserted in the various matters described in this note, and we intend to defend them vigorously. The amounts claimed in the matters are substantial, however, and there can be no assurances as to their outcomes. In the event of unfavorable outcomes, it could require modifications to our operations; in addition, the amounts that may be required to be paid to discharge or settle the matters could be substantial and could have a material adverse impact on our business and our consolidated financial position, results of operations, and cash flows.</w:t>
      </w:r>
    </w:p>
    <w:p>
      <w:pPr>
        <w:pStyle w:val="TextBody"/>
        <w:spacing w:lineRule="auto" w:line="288" w:before="120" w:after="283"/>
        <w:ind w:left="0" w:right="0" w:firstLine="225"/>
        <w:jc w:val="both"/>
        <w:rPr/>
      </w:pPr>
      <w:r>
        <w:rPr>
          <w:rFonts w:ascii="Calibri;sans-serif" w:hAnsi="Calibri;sans-serif"/>
          <w:b/>
          <w:color w:val="000000"/>
          <w:sz w:val="20"/>
        </w:rPr>
        <w:t xml:space="preserve">LITIGATION, CLAIMS OR OTHER LOSS CONTINGENCIES PERTAINING TO CONTINUING OPERATIONS </w:t>
      </w:r>
      <w:r>
        <w:rPr>
          <w:color w:val="000000"/>
        </w:rPr>
        <w:t>–</w:t>
      </w:r>
    </w:p>
    <w:p>
      <w:pPr>
        <w:pStyle w:val="TextBody"/>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On May 6, 2019, the Los Angeles City Attorney filed a lawsuit on behalf of the People of the State of California in the Superior Court of California, County of Los Angeles (Case No. 19STCV15742). The case is styled The People of the State of California v. HRB Digital LLC, et al. The complaint alleges that H&amp;R Block, Inc. and HRB Digital LLC engaged in unfair, fraudulent and deceptive business practices and acts in connection with the IRS Free File Program in violation of the California Unfair Competition Law, California Business and Professions Code §§17200 et seq. The complaint seeks injunctive relief, restitution of monies paid to H&amp;R Block by persons in the State of California who were eligible to file under the IRS Free File Program for the time period starting 4 years prior to the date of the filing of the complaint, pre-judgment interest, civil penalties and costs. The City Attorney subsequently dismissed H&amp;R Block, Inc. from the case and amended its complaint to add HRB Tax Group, Inc. We filed a motion for summary judgment, which was denied. A trial date is set for August 14, 2023. We have not concluded that a loss related to this matter is probable, nor have we accrued a liability related to this matter.</w:t>
      </w:r>
    </w:p>
    <w:p>
      <w:pPr>
        <w:pStyle w:val="TextBody"/>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We have received and are responding to certain governmental inquiries relating to the IRS Free File Program and our DIY tax preparation services. In February 2023, we received a demand and draft complaint from the Federal Trade Commission (FTC) relating to our DIY tax preparation services. The Company has been discussing potential resolution of the matter with the FTC. If we are not able to reach a resolution, the FTC may seek resolution through litigation. We have not concluded that a loss related to these matters is probable, nor have we accrued a liability related to these matters.</w:t>
      </w:r>
    </w:p>
    <w:p>
      <w:pPr>
        <w:pStyle w:val="TextBody"/>
        <w:spacing w:lineRule="auto" w:line="288" w:before="120" w:after="283"/>
        <w:ind w:left="0" w:right="0" w:firstLine="225"/>
        <w:jc w:val="both"/>
        <w:rPr/>
      </w:pPr>
      <w:r>
        <w:rPr>
          <w:rFonts w:ascii="Calibri;sans-serif" w:hAnsi="Calibri;sans-serif"/>
          <w:b/>
          <w:color w:val="000000"/>
          <w:sz w:val="20"/>
        </w:rPr>
        <w:t>DISCONTINUED MORTGAGE OPERATIONS</w:t>
      </w:r>
      <w:r>
        <w:rPr>
          <w:color w:val="000000"/>
        </w:rPr>
        <w:t> – </w:t>
      </w:r>
      <w:r>
        <w:rPr>
          <w:rFonts w:ascii="Calibri;sans-serif" w:hAnsi="Calibri;sans-serif"/>
          <w:b w:val="false"/>
          <w:color w:val="000000"/>
          <w:sz w:val="20"/>
        </w:rPr>
        <w:t xml:space="preserve">Although SCC ceased its mortgage loan origination activities in December 2007 and sold its loan servicing business in April 2008, SCC or the Company has been and may in the future be, subject to litigation and other loss contingencies, including indemnification and contribution claims, pertaining to SCC's mortgage business activities that occurred prior to such termination and sale. </w:t>
      </w:r>
    </w:p>
    <w:p>
      <w:pPr>
        <w:pStyle w:val="TextBody"/>
        <w:spacing w:lineRule="auto" w:line="288" w:before="120" w:after="120"/>
        <w:ind w:left="0" w:right="0" w:firstLine="270"/>
        <w:jc w:val="both"/>
        <w:rPr>
          <w:rFonts w:ascii="Calibri;sans-serif" w:hAnsi="Calibri;sans-serif"/>
          <w:b w:val="false"/>
          <w:color w:val="000000"/>
          <w:sz w:val="20"/>
        </w:rPr>
      </w:pPr>
      <w:r>
        <w:rPr>
          <w:rFonts w:ascii="Calibri;sans-serif" w:hAnsi="Calibri;sans-serif"/>
          <w:b w:val="false"/>
          <w:color w:val="000000"/>
          <w:sz w:val="20"/>
        </w:rPr>
        <w:t>Parties, including underwriters, depositors, and securitization trustees, have been, remain, or may in the future be, involved in lawsuits, threatened lawsuits, or settlements related to securitization transactions in which SCC participated. A variety of claims are alleged in these matters, including violations of federal and state securities laws and common law fraud, breaches of representations and warranties, or violations of statutory requirements. SCC has received notices of potential indemnification or contribution obligations relating to such matters. Additional lawsuits against the parties to the securitization transactions may be filed in the future, and SCC may receive additional notices of potential indemnification, contribution or similar obligations with respect to existing or new lawsuits or settlements of such lawsuits or other claims. An accrual related to these matters is included in our loss contingency accrual.</w:t>
      </w:r>
    </w:p>
    <w:p>
      <w:pPr>
        <w:pStyle w:val="TextBody"/>
        <w:spacing w:lineRule="auto" w:line="288" w:before="120" w:after="120"/>
        <w:ind w:left="0" w:right="0" w:firstLine="270"/>
        <w:jc w:val="both"/>
        <w:rPr>
          <w:rFonts w:ascii="Calibri;sans-serif" w:hAnsi="Calibri;sans-serif"/>
          <w:b w:val="false"/>
          <w:color w:val="000000"/>
          <w:sz w:val="20"/>
        </w:rPr>
      </w:pPr>
      <w:r>
        <w:rPr>
          <w:rFonts w:ascii="Calibri;sans-serif" w:hAnsi="Calibri;sans-serif"/>
          <w:b w:val="false"/>
          <w:color w:val="000000"/>
          <w:sz w:val="20"/>
        </w:rPr>
        <w:t xml:space="preserve">It is difficult to predict either the likelihood of new matters being initiated or the outcome of existing matters. In many of these matters it is not possible to estimate a reasonably possible loss or range of loss due to, among other things, the inherent uncertainties involved in these matters and the indeterminate damages sought. If the amount that SCC is ultimately required to pay with respect to loss contingencies, together with payment of SCC's related administration and legal expense, exceeds SCC's net assets, the creditors of SCC, other potential claimants, or a bankruptcy trustee if SCC were to file or be forced into bankruptcy, may attempt to assert claims against us for payment of SCC's obligations. Claimants also may attempt to assert claims against or seek payment directly from the Company even if SCC's assets exceed its liabilities. SCC's principal assets, as of March 31, 2023, total </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692265" cy="594995"/>
                <wp:effectExtent l="0" t="0" r="0" b="0"/>
                <wp:wrapNone/>
                <wp:docPr id="17" name="Frame17"/>
                <a:graphic xmlns:a="http://schemas.openxmlformats.org/drawingml/2006/main">
                  <a:graphicData uri="http://schemas.microsoft.com/office/word/2010/wordprocessingShape">
                    <wps:wsp>
                      <wps:cNvSpPr txBox="1"/>
                      <wps:spPr>
                        <a:xfrm>
                          <a:off x="0" y="0"/>
                          <a:ext cx="6692265" cy="594995"/>
                        </a:xfrm>
                        <a:prstGeom prst="rect"/>
                      </wps:spPr>
                      <wps:txbx>
                        <w:txbxContent>
                          <w:tbl>
                            <w:tblPr>
                              <w:tblW w:w="3162" w:type="dxa"/>
                              <w:jc w:val="right"/>
                              <w:tblInd w:w="0" w:type="dxa"/>
                              <w:tblCellMar>
                                <w:top w:w="28" w:type="dxa"/>
                                <w:left w:w="28" w:type="dxa"/>
                                <w:bottom w:w="28" w:type="dxa"/>
                                <w:right w:w="28" w:type="dxa"/>
                              </w:tblCellMar>
                            </w:tblPr>
                            <w:tblGrid>
                              <w:gridCol w:w="1008"/>
                              <w:gridCol w:w="889"/>
                              <w:gridCol w:w="893"/>
                              <w:gridCol w:w="109"/>
                              <w:gridCol w:w="109"/>
                              <w:gridCol w:w="154"/>
                            </w:tblGrid>
                            <w:tr>
                              <w:trPr/>
                              <w:tc>
                                <w:tcPr>
                                  <w:tcW w:w="1008"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|Q3 FY2023 Form 10-Q</w:t>
                                  </w:r>
                                </w:p>
                              </w:tc>
                              <w:tc>
                                <w:tcPr>
                                  <w:tcW w:w="37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15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162" w:type="dxa"/>
                        <w:jc w:val="right"/>
                        <w:tblInd w:w="0" w:type="dxa"/>
                        <w:tblCellMar>
                          <w:top w:w="28" w:type="dxa"/>
                          <w:left w:w="28" w:type="dxa"/>
                          <w:bottom w:w="28" w:type="dxa"/>
                          <w:right w:w="28" w:type="dxa"/>
                        </w:tblCellMar>
                      </w:tblPr>
                      <w:tblGrid>
                        <w:gridCol w:w="1008"/>
                        <w:gridCol w:w="889"/>
                        <w:gridCol w:w="893"/>
                        <w:gridCol w:w="109"/>
                        <w:gridCol w:w="109"/>
                        <w:gridCol w:w="154"/>
                      </w:tblGrid>
                      <w:tr>
                        <w:trPr/>
                        <w:tc>
                          <w:tcPr>
                            <w:tcW w:w="1008"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|Q3 FY2023 Form 10-Q</w:t>
                            </w:r>
                          </w:p>
                        </w:tc>
                        <w:tc>
                          <w:tcPr>
                            <w:tcW w:w="37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15</w:t>
                            </w:r>
                          </w:p>
                        </w:tc>
                      </w:tr>
                    </w:tbl>
                    <w:p>
                      <w:pPr>
                        <w:pStyle w:val="TextBody"/>
                        <w:spacing w:before="0" w:after="283"/>
                        <w:rPr/>
                      </w:pPr>
                      <w:r>
                        <w:rPr/>
                      </w:r>
                    </w:p>
                  </w:txbxContent>
                </v:textbox>
              </v:rect>
            </w:pict>
          </mc:Fallback>
        </mc:AlternateContent>
      </w:r>
    </w:p>
    <w:p>
      <w:pPr>
        <w:pStyle w:val="TextBody"/>
        <w:spacing w:lineRule="auto" w:line="288" w:before="120" w:after="283"/>
        <w:rPr/>
      </w:pPr>
      <w:hyperlink w:anchor="ica06acc7160d4977b3f034161052416e_7">
        <w:r>
          <w:rPr>
            <w:rStyle w:val="InternetLink"/>
            <w:rFonts w:ascii="Calibri;sans-serif" w:hAnsi="Calibri;sans-serif"/>
            <w:b w:val="false"/>
            <w:color w:val="0000FF"/>
            <w:sz w:val="18"/>
            <w:u w:val="single"/>
          </w:rPr>
          <w:t>Table of Contents</w:t>
        </w:r>
      </w:hyperlink>
    </w:p>
    <w:p>
      <w:pPr>
        <w:pStyle w:val="TextBody"/>
        <w:spacing w:lineRule="auto" w:line="288" w:before="120" w:after="120"/>
        <w:jc w:val="both"/>
        <w:rPr>
          <w:rFonts w:ascii="Calibri;sans-serif" w:hAnsi="Calibri;sans-serif"/>
          <w:b w:val="false"/>
          <w:color w:val="000000"/>
          <w:sz w:val="20"/>
        </w:rPr>
      </w:pPr>
      <w:r>
        <w:rPr>
          <w:rFonts w:ascii="Calibri;sans-serif" w:hAnsi="Calibri;sans-serif"/>
          <w:b w:val="false"/>
          <w:color w:val="000000"/>
          <w:sz w:val="20"/>
        </w:rPr>
        <w:t>approximately $266 million and consist of an intercompany note receivable. We believe our legal position is strong on any potential corporate veil-piercing arguments; however, if this position is challenged and not upheld, it could have a material adverse effect on our business and our consolidated financial position, results of operations, and cash flows.</w:t>
      </w:r>
    </w:p>
    <w:p>
      <w:pPr>
        <w:pStyle w:val="TextBody"/>
        <w:spacing w:lineRule="auto" w:line="288" w:before="120" w:after="283"/>
        <w:ind w:left="0" w:right="0" w:firstLine="225"/>
        <w:jc w:val="both"/>
        <w:rPr/>
      </w:pPr>
      <w:r>
        <w:rPr>
          <w:rFonts w:ascii="Calibri;sans-serif" w:hAnsi="Calibri;sans-serif"/>
          <w:b/>
          <w:color w:val="000000"/>
          <w:sz w:val="20"/>
        </w:rPr>
        <w:t>OTHER</w:t>
      </w:r>
      <w:r>
        <w:rPr>
          <w:color w:val="000000"/>
        </w:rPr>
        <w:t xml:space="preserve"> – </w:t>
      </w:r>
      <w:r>
        <w:rPr>
          <w:rFonts w:ascii="Calibri;sans-serif" w:hAnsi="Calibri;sans-serif"/>
          <w:b w:val="false"/>
          <w:color w:val="000000"/>
          <w:sz w:val="20"/>
        </w:rPr>
        <w:t xml:space="preserve">We are from time to time a party to litigation, arbitration and other loss contingencies not discussed herein arising out of our business operations. These matters may include actions by state attorneys general, other state regulators, federal regulators, individual plaintiffs, and cases in which plaintiffs seek to represent others who may be similarly situated. </w:t>
      </w:r>
    </w:p>
    <w:p>
      <w:pPr>
        <w:pStyle w:val="TextBody"/>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While we cannot provide assurance that we will ultimately prevail in each instance, we believe the amount, if any, we are required to pay to discharge or settle these other matters will not have a material adverse impact on our business and our consolidated financial position, results of operations, and cash flows.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283"/>
        <w:ind w:left="0" w:right="0" w:hanging="1260"/>
        <w:jc w:val="both"/>
        <w:rPr>
          <w:rFonts w:ascii="Calibri;sans-serif" w:hAnsi="Calibri;sans-serif"/>
          <w:b/>
          <w:color w:val="14AA40"/>
          <w:sz w:val="28"/>
        </w:rPr>
      </w:pPr>
      <w:r>
        <w:rPr>
          <w:rFonts w:ascii="Calibri;sans-serif" w:hAnsi="Calibri;sans-serif"/>
          <w:b/>
          <w:color w:val="14AA40"/>
          <w:sz w:val="28"/>
        </w:rPr>
        <w:t>ITEM 2.    MANAGEMENT'S DISCUSSION AND ANALYSIS OF FINANCIAL CONDITION AND RESULTS OF OPERATIONS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Calibri;sans-serif" w:hAnsi="Calibri;sans-serif"/>
          <w:b/>
          <w:color w:val="000000"/>
          <w:sz w:val="20"/>
        </w:rPr>
      </w:pPr>
      <w:r>
        <w:rPr>
          <w:rFonts w:ascii="Calibri;sans-serif" w:hAnsi="Calibri;sans-serif"/>
          <w:b/>
          <w:color w:val="000000"/>
          <w:sz w:val="20"/>
        </w:rPr>
        <w:t>RESULTS OF OPERATIONS</w:t>
      </w:r>
    </w:p>
    <w:p>
      <w:pPr>
        <w:pStyle w:val="TextBody"/>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Our subsidiaries provide assisted and DIY tax preparation solutions through multiple channels (including in-person, online and mobile applications, virtual, and desktop software) and distribute H&amp;R Block-branded products and services, including those of our bank partners, to the general public primarily in the U.S., Canada and Australia. Tax returns are either prepared by H&amp;R Block tax professionals (in company-owned or franchise offices, virtually or via an internet review) or prepared and filed by our clients through our DIY tax solutions. We also offer small business solutions through our company-owned and franchise offices and online through Wave. We report a single segment that includes all of our continuing operations.</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692265" cy="543560"/>
                <wp:effectExtent l="0" t="0" r="0" b="0"/>
                <wp:wrapNone/>
                <wp:docPr id="18" name="Frame18"/>
                <a:graphic xmlns:a="http://schemas.openxmlformats.org/drawingml/2006/main">
                  <a:graphicData uri="http://schemas.microsoft.com/office/word/2010/wordprocessingShape">
                    <wps:wsp>
                      <wps:cNvSpPr txBox="1"/>
                      <wps:spPr>
                        <a:xfrm>
                          <a:off x="0" y="0"/>
                          <a:ext cx="6692265" cy="543560"/>
                        </a:xfrm>
                        <a:prstGeom prst="rect"/>
                      </wps:spPr>
                      <wps:txbx>
                        <w:txbxContent>
                          <w:tbl>
                            <w:tblPr>
                              <w:tblW w:w="3131" w:type="dxa"/>
                              <w:jc w:val="left"/>
                              <w:tblInd w:w="0" w:type="dxa"/>
                              <w:tblCellMar>
                                <w:top w:w="28" w:type="dxa"/>
                                <w:left w:w="28" w:type="dxa"/>
                                <w:bottom w:w="28" w:type="dxa"/>
                                <w:right w:w="28" w:type="dxa"/>
                              </w:tblCellMar>
                            </w:tblPr>
                            <w:tblGrid>
                              <w:gridCol w:w="124"/>
                              <w:gridCol w:w="109"/>
                              <w:gridCol w:w="109"/>
                              <w:gridCol w:w="814"/>
                              <w:gridCol w:w="814"/>
                              <w:gridCol w:w="116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16</w:t>
                                  </w:r>
                                </w:p>
                              </w:tc>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Calibri;sans-serif" w:hAnsi="Calibri;sans-serif"/>
                                      <w:b w:val="false"/>
                                      <w:color w:val="000000"/>
                                      <w:sz w:val="16"/>
                                    </w:rPr>
                                    <w:t xml:space="preserve">Q3 FY2023 Form 10-Q| </w:t>
                                  </w:r>
                                  <w:r>
                                    <w:rPr>
                                      <w:rFonts w:ascii="Calibri;sans-serif" w:hAnsi="Calibri;sans-serif"/>
                                      <w:b/>
                                      <w:color w:val="000000"/>
                                      <w:sz w:val="16"/>
                                    </w:rPr>
                                    <w:t>H&amp;R Block, Inc.</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3131" w:type="dxa"/>
                        <w:jc w:val="left"/>
                        <w:tblInd w:w="0" w:type="dxa"/>
                        <w:tblCellMar>
                          <w:top w:w="28" w:type="dxa"/>
                          <w:left w:w="28" w:type="dxa"/>
                          <w:bottom w:w="28" w:type="dxa"/>
                          <w:right w:w="28" w:type="dxa"/>
                        </w:tblCellMar>
                      </w:tblPr>
                      <w:tblGrid>
                        <w:gridCol w:w="124"/>
                        <w:gridCol w:w="109"/>
                        <w:gridCol w:w="109"/>
                        <w:gridCol w:w="814"/>
                        <w:gridCol w:w="814"/>
                        <w:gridCol w:w="116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16</w:t>
                            </w:r>
                          </w:p>
                        </w:tc>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Calibri;sans-serif" w:hAnsi="Calibri;sans-serif"/>
                                <w:b w:val="false"/>
                                <w:color w:val="000000"/>
                                <w:sz w:val="16"/>
                              </w:rPr>
                              <w:t xml:space="preserve">Q3 FY2023 Form 10-Q| </w:t>
                            </w:r>
                            <w:r>
                              <w:rPr>
                                <w:rFonts w:ascii="Calibri;sans-serif" w:hAnsi="Calibri;sans-serif"/>
                                <w:b/>
                                <w:color w:val="000000"/>
                                <w:sz w:val="16"/>
                              </w:rPr>
                              <w:t>H&amp;R Block, Inc.</w:t>
                            </w:r>
                          </w:p>
                        </w:tc>
                      </w:tr>
                    </w:tbl>
                    <w:p>
                      <w:pPr>
                        <w:pStyle w:val="TextBody"/>
                        <w:spacing w:before="0" w:after="283"/>
                        <w:rPr/>
                      </w:pPr>
                      <w:r>
                        <w:rPr/>
                      </w:r>
                    </w:p>
                  </w:txbxContent>
                </v:textbox>
              </v:rect>
            </w:pict>
          </mc:Fallback>
        </mc:AlternateContent>
      </w:r>
    </w:p>
    <w:p>
      <w:pPr>
        <w:pStyle w:val="TextBody"/>
        <w:spacing w:lineRule="auto" w:line="288" w:before="120" w:after="283"/>
        <w:rPr/>
      </w:pPr>
      <w:hyperlink w:anchor="ica06acc7160d4977b3f034161052416e_7">
        <w:r>
          <w:rPr>
            <w:rStyle w:val="InternetLink"/>
            <w:rFonts w:ascii="Calibri;sans-serif" w:hAnsi="Calibri;sans-serif"/>
            <w:b w:val="false"/>
            <w:color w:val="0000FF"/>
            <w:sz w:val="18"/>
            <w:u w:val="single"/>
          </w:rPr>
          <w:t>Table of Contents</w:t>
        </w:r>
      </w:hyperlink>
    </w:p>
    <w:tbl>
      <w:tblPr>
        <w:tblW w:w="9410" w:type="dxa"/>
        <w:jc w:val="left"/>
        <w:tblInd w:w="0" w:type="dxa"/>
        <w:tblCellMar>
          <w:top w:w="28" w:type="dxa"/>
          <w:left w:w="28" w:type="dxa"/>
          <w:bottom w:w="28" w:type="dxa"/>
          <w:right w:w="28" w:type="dxa"/>
        </w:tblCellMar>
      </w:tblPr>
      <w:tblGrid>
        <w:gridCol w:w="1298"/>
        <w:gridCol w:w="1140"/>
        <w:gridCol w:w="1146"/>
        <w:gridCol w:w="109"/>
        <w:gridCol w:w="109"/>
        <w:gridCol w:w="109"/>
        <w:gridCol w:w="196"/>
        <w:gridCol w:w="886"/>
        <w:gridCol w:w="109"/>
        <w:gridCol w:w="109"/>
        <w:gridCol w:w="109"/>
        <w:gridCol w:w="109"/>
        <w:gridCol w:w="196"/>
        <w:gridCol w:w="871"/>
        <w:gridCol w:w="109"/>
        <w:gridCol w:w="109"/>
        <w:gridCol w:w="109"/>
        <w:gridCol w:w="109"/>
        <w:gridCol w:w="196"/>
        <w:gridCol w:w="721"/>
        <w:gridCol w:w="109"/>
        <w:gridCol w:w="109"/>
        <w:gridCol w:w="109"/>
        <w:gridCol w:w="109"/>
        <w:gridCol w:w="312"/>
        <w:gridCol w:w="318"/>
        <w:gridCol w:w="495"/>
      </w:tblGrid>
      <w:tr>
        <w:trPr/>
        <w:tc>
          <w:tcPr>
            <w:tcW w:w="1298" w:type="dxa"/>
            <w:tcBorders/>
            <w:shd w:fill="auto" w:val="clear"/>
            <w:vAlign w:val="center"/>
          </w:tcPr>
          <w:p>
            <w:pPr>
              <w:pStyle w:val="TableContents"/>
              <w:spacing w:before="0" w:after="283"/>
              <w:rPr>
                <w:sz w:val="4"/>
                <w:szCs w:val="4"/>
              </w:rPr>
            </w:pPr>
            <w:r>
              <w:rPr>
                <w:sz w:val="4"/>
                <w:szCs w:val="4"/>
              </w:rPr>
            </w:r>
          </w:p>
        </w:tc>
        <w:tc>
          <w:tcPr>
            <w:tcW w:w="1140"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r>
      <w:tr>
        <w:trPr/>
        <w:tc>
          <w:tcPr>
            <w:tcW w:w="35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Consolidated – Financial Results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981"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 except per share amounts)</w:t>
            </w:r>
          </w:p>
        </w:tc>
      </w:tr>
      <w:tr>
        <w:trPr/>
        <w:tc>
          <w:tcPr>
            <w:tcW w:w="35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Three months ended 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 Change</w:t>
            </w:r>
          </w:p>
        </w:tc>
      </w:tr>
      <w:tr>
        <w:trPr/>
        <w:tc>
          <w:tcPr>
            <w:tcW w:w="35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U.S. tax preparation and related services: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Assisted tax preparation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1,453,049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1,392,142 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60,907 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4.4 </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Royalties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150,163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158,786 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(8,623)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(5.4)</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DIY tax preparation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167,022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175,184 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(8,162)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(4.7)</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Refund Transfers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117,384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132,223 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(14,839)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(11.2)</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Peace of Mind® Extended Service Plan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16,750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17,222 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(472)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(2.7)</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Tax Identity Shield®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8,720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9,078 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(3.9)</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10,972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10,584 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3.7 </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U.S. tax preparation and related services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1,924,060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1,895,219 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28,841 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1.5 </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Financial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Calibri;sans-serif" w:hAnsi="Calibri;sans-serif"/>
                <w:b w:val="false"/>
                <w:color w:val="000000"/>
                <w:sz w:val="18"/>
              </w:rPr>
              <w:t>Emerald Card® and Spruce</w:t>
            </w:r>
            <w:r>
              <w:rPr>
                <w:rFonts w:ascii="Calibri;sans-serif" w:hAnsi="Calibri;sans-serif"/>
                <w:b w:val="false"/>
                <w:color w:val="000000"/>
                <w:sz w:val="12"/>
              </w:rPr>
              <w:t>SM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44,358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50,660 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(6,302)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(12.4)</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Calibri;sans-serif" w:hAnsi="Calibri;sans-serif"/>
                <w:b w:val="false"/>
                <w:color w:val="000000"/>
                <w:sz w:val="18"/>
              </w:rPr>
              <w:t>Interest and fee income on Emerald Advance</w:t>
            </w:r>
            <w:r>
              <w:rPr>
                <w:rFonts w:ascii="Calibri;sans-serif" w:hAnsi="Calibri;sans-serif"/>
                <w:b w:val="false"/>
                <w:color w:val="000000"/>
                <w:sz w:val="12"/>
              </w:rPr>
              <w:t>SM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33,750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30,535 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10.5 </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financial services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78,108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81,195 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(3.8)</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International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69,417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65,232 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4,185 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6.4 </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Wave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22,064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20,111 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9.7 </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2,093,649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2,061,757 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31,892 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1.5 </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Compensation and benefits: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Field wages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480,779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435,345 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(45,434)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(10.4)</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wages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73,503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78,584 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5,081 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6.5 </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Benefits and other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100,368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91,051 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(9,317)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(10.2)</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654,650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604,980 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(49,670)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(8.2)</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Occupancy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118,111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111,405 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(6,706)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(6.0)</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Marketing and advertising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210,508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196,582 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(13,926)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(7.1)</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32,313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36,116 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3,803 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10.5 </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Bad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34,273</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45,051 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10,778 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23.9 </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179,292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182,258 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1.6 </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1,229,147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1,176,392 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(52,755)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(4.5)</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13,224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12,986 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Interest expense on borrowings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(22,298)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(23,746)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6.1 </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Pretax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855,428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861,857 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(6,429)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(0.7)</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209,351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186,884 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(22,467)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(12.0)</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income from continuing operations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646,077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674,973 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(28,896)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(4.3)</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loss from discontinued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(2,648)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(1,796)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(852)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(47.4)</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643,429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673,177 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(29,748)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(4.4)</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Continuing operations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4.14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2.0 </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Discontinued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(0.02)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(100.0)</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Consolidated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4.12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1.7 </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3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3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3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Calibri;sans-serif" w:hAnsi="Calibri;sans-serif"/>
                <w:b w:val="false"/>
                <w:color w:val="000000"/>
                <w:sz w:val="18"/>
              </w:rPr>
              <w:t>Adjusted diluted EPS</w:t>
            </w:r>
            <w:r>
              <w:rPr>
                <w:rFonts w:ascii="Calibri;sans-serif" w:hAnsi="Calibri;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4.20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2.2 </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Calibri;sans-serif" w:hAnsi="Calibri;sans-serif"/>
                <w:b w:val="false"/>
                <w:color w:val="000000"/>
                <w:sz w:val="18"/>
              </w:rPr>
              <w:t xml:space="preserve">EBITDA </w:t>
            </w:r>
            <w:r>
              <w:rPr>
                <w:rFonts w:ascii="Calibri;sans-serif" w:hAnsi="Calibri;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910,039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921,719 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(11,680)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25" w:type="dxa"/>
            <w:gridSpan w:val="3"/>
            <w:tcBorders/>
            <w:shd w:fill="auto" w:val="clear"/>
            <w:vAlign w:val="center"/>
          </w:tcPr>
          <w:p>
            <w:pPr>
              <w:pStyle w:val="TableContents"/>
              <w:spacing w:before="0" w:after="283"/>
              <w:rPr>
                <w:sz w:val="4"/>
                <w:szCs w:val="4"/>
              </w:rPr>
            </w:pPr>
            <w:r>
              <w:rPr>
                <w:sz w:val="4"/>
                <w:szCs w:val="4"/>
              </w:rPr>
            </w:r>
          </w:p>
        </w:tc>
      </w:tr>
      <w:tr>
        <w:trPr/>
        <w:tc>
          <w:tcPr>
            <w:tcW w:w="3584"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191"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176"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026"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125"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180"/>
        <w:jc w:val="both"/>
        <w:rPr/>
      </w:pPr>
      <w:r>
        <w:rPr>
          <w:rFonts w:ascii="Calibri;sans-serif" w:hAnsi="Calibri;sans-serif"/>
          <w:b w:val="false"/>
          <w:color w:val="000000"/>
          <w:sz w:val="10"/>
        </w:rPr>
        <w:t>(1)</w:t>
      </w:r>
      <w:r>
        <w:rPr>
          <w:color w:val="000000"/>
        </w:rPr>
        <w:t>    </w:t>
      </w:r>
      <w:r>
        <w:rPr>
          <w:rFonts w:ascii="Calibri;sans-serif" w:hAnsi="Calibri;sans-serif"/>
          <w:b w:val="false"/>
          <w:color w:val="000000"/>
          <w:sz w:val="16"/>
        </w:rPr>
        <w:t>All non-GAAP measures are results from continuing operations. See "</w:t>
      </w:r>
      <w:hyperlink w:anchor="ica06acc7160d4977b3f034161052416e_82">
        <w:r>
          <w:rPr>
            <w:rStyle w:val="InternetLink"/>
            <w:rFonts w:ascii="Calibri;sans-serif" w:hAnsi="Calibri;sans-serif"/>
            <w:b w:val="false"/>
            <w:color w:val="0000FF"/>
            <w:sz w:val="16"/>
            <w:u w:val="single"/>
          </w:rPr>
          <w:t>Non-GAAP Financial Information</w:t>
        </w:r>
      </w:hyperlink>
      <w:r>
        <w:rPr>
          <w:rFonts w:ascii="Calibri;sans-serif" w:hAnsi="Calibri;sans-serif"/>
          <w:b w:val="false"/>
          <w:color w:val="000000"/>
          <w:sz w:val="16"/>
        </w:rPr>
        <w:t>" at the end of this item for a reconciliation of non-GAAP measures</w:t>
      </w:r>
      <w:r>
        <w:rPr>
          <w:rFonts w:ascii="Calibri;sans-serif" w:hAnsi="Calibri;sans-serif"/>
          <w:b w:val="false"/>
          <w:color w:val="000000"/>
          <w:sz w:val="14"/>
        </w:rPr>
        <w:t xml:space="preserve">.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692265" cy="594995"/>
                <wp:effectExtent l="0" t="0" r="0" b="0"/>
                <wp:wrapNone/>
                <wp:docPr id="19" name="Frame19"/>
                <a:graphic xmlns:a="http://schemas.openxmlformats.org/drawingml/2006/main">
                  <a:graphicData uri="http://schemas.microsoft.com/office/word/2010/wordprocessingShape">
                    <wps:wsp>
                      <wps:cNvSpPr txBox="1"/>
                      <wps:spPr>
                        <a:xfrm>
                          <a:off x="0" y="0"/>
                          <a:ext cx="6692265" cy="594995"/>
                        </a:xfrm>
                        <a:prstGeom prst="rect"/>
                      </wps:spPr>
                      <wps:txbx>
                        <w:txbxContent>
                          <w:tbl>
                            <w:tblPr>
                              <w:tblW w:w="3162" w:type="dxa"/>
                              <w:jc w:val="right"/>
                              <w:tblInd w:w="0" w:type="dxa"/>
                              <w:tblCellMar>
                                <w:top w:w="28" w:type="dxa"/>
                                <w:left w:w="28" w:type="dxa"/>
                                <w:bottom w:w="28" w:type="dxa"/>
                                <w:right w:w="28" w:type="dxa"/>
                              </w:tblCellMar>
                            </w:tblPr>
                            <w:tblGrid>
                              <w:gridCol w:w="1008"/>
                              <w:gridCol w:w="889"/>
                              <w:gridCol w:w="893"/>
                              <w:gridCol w:w="109"/>
                              <w:gridCol w:w="109"/>
                              <w:gridCol w:w="154"/>
                            </w:tblGrid>
                            <w:tr>
                              <w:trPr/>
                              <w:tc>
                                <w:tcPr>
                                  <w:tcW w:w="1008"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|Q3 FY2023 Form 10-Q</w:t>
                                  </w:r>
                                </w:p>
                              </w:tc>
                              <w:tc>
                                <w:tcPr>
                                  <w:tcW w:w="37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17</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162" w:type="dxa"/>
                        <w:jc w:val="right"/>
                        <w:tblInd w:w="0" w:type="dxa"/>
                        <w:tblCellMar>
                          <w:top w:w="28" w:type="dxa"/>
                          <w:left w:w="28" w:type="dxa"/>
                          <w:bottom w:w="28" w:type="dxa"/>
                          <w:right w:w="28" w:type="dxa"/>
                        </w:tblCellMar>
                      </w:tblPr>
                      <w:tblGrid>
                        <w:gridCol w:w="1008"/>
                        <w:gridCol w:w="889"/>
                        <w:gridCol w:w="893"/>
                        <w:gridCol w:w="109"/>
                        <w:gridCol w:w="109"/>
                        <w:gridCol w:w="154"/>
                      </w:tblGrid>
                      <w:tr>
                        <w:trPr/>
                        <w:tc>
                          <w:tcPr>
                            <w:tcW w:w="1008"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|Q3 FY2023 Form 10-Q</w:t>
                            </w:r>
                          </w:p>
                        </w:tc>
                        <w:tc>
                          <w:tcPr>
                            <w:tcW w:w="37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17</w:t>
                            </w:r>
                          </w:p>
                        </w:tc>
                      </w:tr>
                    </w:tbl>
                    <w:p>
                      <w:pPr>
                        <w:pStyle w:val="TextBody"/>
                        <w:spacing w:before="0" w:after="283"/>
                        <w:rPr/>
                      </w:pPr>
                      <w:r>
                        <w:rPr/>
                      </w:r>
                    </w:p>
                  </w:txbxContent>
                </v:textbox>
              </v:rect>
            </w:pict>
          </mc:Fallback>
        </mc:AlternateContent>
      </w:r>
    </w:p>
    <w:p>
      <w:pPr>
        <w:pStyle w:val="TextBody"/>
        <w:spacing w:lineRule="auto" w:line="288" w:before="120" w:after="283"/>
        <w:rPr/>
      </w:pPr>
      <w:hyperlink w:anchor="ica06acc7160d4977b3f034161052416e_7">
        <w:r>
          <w:rPr>
            <w:rStyle w:val="InternetLink"/>
            <w:rFonts w:ascii="Calibri;sans-serif" w:hAnsi="Calibri;sans-serif"/>
            <w:b w:val="false"/>
            <w:color w:val="0000FF"/>
            <w:sz w:val="18"/>
            <w:u w:val="single"/>
          </w:rPr>
          <w:t>Table of Contents</w:t>
        </w:r>
      </w:hyperlink>
    </w:p>
    <w:p>
      <w:pPr>
        <w:pStyle w:val="TextBody"/>
        <w:spacing w:lineRule="auto" w:line="288" w:before="120" w:after="283"/>
        <w:jc w:val="both"/>
        <w:rPr/>
      </w:pPr>
      <w:r>
        <w:rPr>
          <w:rFonts w:ascii="Calibri;sans-serif" w:hAnsi="Calibri;sans-serif"/>
          <w:b/>
          <w:color w:val="000000"/>
          <w:sz w:val="20"/>
          <w:highlight w:val="white"/>
        </w:rPr>
        <w:t xml:space="preserve">Three months ended March 31, 2023 compared to </w:t>
      </w:r>
      <w:r>
        <w:rPr>
          <w:rFonts w:ascii="Calibri;sans-serif" w:hAnsi="Calibri;sans-serif"/>
          <w:b/>
          <w:color w:val="000000"/>
          <w:sz w:val="20"/>
        </w:rPr>
        <w:t>March 31, 2022</w:t>
      </w:r>
    </w:p>
    <w:p>
      <w:pPr>
        <w:pStyle w:val="TextBody"/>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Revenues increased $31.9 million, or 1.5%, from the prior year. U.S. assisted tax preparation revenues increased $60.9 million, or 4.4%, due to a 3.7% increase in net average charge combined with higher tax return volumes in the current year. U.S. royalty revenue decreased $8.6 million, or 5.4%, due to lower volumes, partially offset by a higher net average charge in the current year. During the year we purchased franchise offices which results in increasing tax preparation revenues and decreasing royalties as the revenues and returns become company-owned after the acquisition. For the three months ended March 31, our total assisted tax return volume, which includes both company-owned and franchise offices, decreased 2.0% from the prior year.</w:t>
      </w:r>
    </w:p>
    <w:p>
      <w:pPr>
        <w:pStyle w:val="TextBody"/>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U.S. DIY tax preparation revenues decreased $8.2 million, or 4.7%, primarily due to lower software sales and a decline in online paid returns during the quarter compared to the prior year. Refund Transfer revenues decreased $14.8 million, or 11.2%, primarily due to fewer Refund Transfers in the current year.</w:t>
      </w:r>
    </w:p>
    <w:p>
      <w:pPr>
        <w:pStyle w:val="TextBody"/>
        <w:spacing w:lineRule="auto" w:line="288" w:before="120" w:after="283"/>
        <w:ind w:left="0" w:right="0" w:firstLine="270"/>
        <w:jc w:val="both"/>
        <w:rPr/>
      </w:pPr>
      <w:r>
        <w:rPr>
          <w:rFonts w:ascii="Calibri;sans-serif" w:hAnsi="Calibri;sans-serif"/>
          <w:b w:val="false"/>
          <w:color w:val="000000"/>
          <w:sz w:val="20"/>
        </w:rPr>
        <w:t>Emerald Card® and Spruce</w:t>
      </w:r>
      <w:r>
        <w:rPr>
          <w:rFonts w:ascii="Calibri;sans-serif" w:hAnsi="Calibri;sans-serif"/>
          <w:b w:val="false"/>
          <w:color w:val="000000"/>
          <w:sz w:val="13"/>
        </w:rPr>
        <w:t>SM</w:t>
      </w:r>
      <w:r>
        <w:rPr>
          <w:color w:val="000000"/>
        </w:rPr>
        <w:t xml:space="preserve"> </w:t>
      </w:r>
      <w:r>
        <w:rPr>
          <w:rFonts w:ascii="Calibri;sans-serif" w:hAnsi="Calibri;sans-serif"/>
          <w:b w:val="false"/>
          <w:color w:val="000000"/>
          <w:sz w:val="20"/>
        </w:rPr>
        <w:t>revenues decreased $6.3 million, or 12.4%, primarily due to lower card activity in the current year as a result of less funds being loaded to Emerald Cards® in the current year.</w:t>
      </w:r>
    </w:p>
    <w:p>
      <w:pPr>
        <w:pStyle w:val="TextBody"/>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Total operating expenses increased $52.8 million, or 4.5%, from the prior year. Field wages increased $45.4 million, or 10.4%, primarily due to higher wages in the current year. Benefits and other compensation increased $9.3 million, or 10.2%, due to higher payroll taxes, employee insurance and stock-based compensation. Occupancy expense increased $6.7 million, or 6.0%, primarily due to higher office repairs and rent. Marketing and advertising expense increased $13.9 million, or 7.1%, due to higher television advertising. Bad debt expense decreased $10.8 million, or 23.9%, due to fewer Refund Transfers compared to the prior year.</w:t>
      </w:r>
    </w:p>
    <w:p>
      <w:pPr>
        <w:pStyle w:val="TextBody"/>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Other operating expenses decreased $3.0 million, or 1.6%. The components of other expenses are as follows:</w:t>
      </w:r>
    </w:p>
    <w:tbl>
      <w:tblPr>
        <w:tblW w:w="7985" w:type="dxa"/>
        <w:jc w:val="center"/>
        <w:tblInd w:w="0" w:type="dxa"/>
        <w:tblCellMar>
          <w:top w:w="28" w:type="dxa"/>
          <w:left w:w="28" w:type="dxa"/>
          <w:bottom w:w="28" w:type="dxa"/>
          <w:right w:w="28" w:type="dxa"/>
        </w:tblCellMar>
      </w:tblPr>
      <w:tblGrid>
        <w:gridCol w:w="973"/>
        <w:gridCol w:w="854"/>
        <w:gridCol w:w="857"/>
        <w:gridCol w:w="109"/>
        <w:gridCol w:w="109"/>
        <w:gridCol w:w="109"/>
        <w:gridCol w:w="196"/>
        <w:gridCol w:w="751"/>
        <w:gridCol w:w="109"/>
        <w:gridCol w:w="109"/>
        <w:gridCol w:w="109"/>
        <w:gridCol w:w="109"/>
        <w:gridCol w:w="196"/>
        <w:gridCol w:w="736"/>
        <w:gridCol w:w="109"/>
        <w:gridCol w:w="109"/>
        <w:gridCol w:w="109"/>
        <w:gridCol w:w="109"/>
        <w:gridCol w:w="196"/>
        <w:gridCol w:w="556"/>
        <w:gridCol w:w="109"/>
        <w:gridCol w:w="109"/>
        <w:gridCol w:w="109"/>
        <w:gridCol w:w="109"/>
        <w:gridCol w:w="268"/>
        <w:gridCol w:w="272"/>
        <w:gridCol w:w="495"/>
      </w:tblGrid>
      <w:tr>
        <w:trPr/>
        <w:tc>
          <w:tcPr>
            <w:tcW w:w="973"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w:t>
            </w:r>
          </w:p>
        </w:tc>
      </w:tr>
      <w:tr>
        <w:trPr/>
        <w:tc>
          <w:tcPr>
            <w:tcW w:w="268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Three months ended March 31,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2022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 Change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 Change</w:t>
            </w:r>
          </w:p>
        </w:tc>
      </w:tr>
      <w:tr>
        <w:trPr/>
        <w:tc>
          <w:tcPr>
            <w:tcW w:w="268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Consulting and outsourced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42,130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46,402 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4,272 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9.2 </w:t>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Bank partner fees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24,778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23,686 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(4.6)</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Client claims and refunds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8,787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10,730 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18.1 </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Employee and travel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9,906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9,515 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(391)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(4.1)</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Technology-related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26,385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26,373 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Credit card/bank charges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34,159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30,770 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(3,389)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(11.0)</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Insurance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2,891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4,099 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29.5 </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Legal fees and settlements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2,685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7,125 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4,440 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62.3 </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Supplies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15,956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14,243 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(12.0)</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11,615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9,315 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(24.7)</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6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179,292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182,258 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1.6 </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684"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035"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Other income (expense), net increased $13.0 million primarily due to income from a legal settlement and interest in the current year.</w:t>
      </w:r>
    </w:p>
    <w:p>
      <w:pPr>
        <w:pStyle w:val="TextBody"/>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We recorded an income tax expense of $209.4 million in the current year compared to $186.9 million in the prior year. The effective tax rate for the three months ended March 31, 2023, and 2022 was 24.5% and 21.7%, respectively.</w:t>
      </w:r>
    </w:p>
    <w:p>
      <w:pPr>
        <w:pStyle w:val="TextBody"/>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Diluted earnings per share from continuing operations increased 2.0% from the prior year due to fewer shares outstanding from share repurchases, partially offset by lower net income compared to the prior year.</w:t>
      </w:r>
    </w:p>
    <w:p>
      <w:pPr>
        <w:pStyle w:val="TextBody"/>
        <w:spacing w:before="120" w:after="283"/>
        <w:ind w:left="0" w:right="0" w:firstLine="270"/>
        <w:jc w:val="both"/>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before="100" w:after="283"/>
        <w:rPr/>
      </w:pPr>
      <w:r>
        <w:rPr/>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692265" cy="543560"/>
                <wp:effectExtent l="0" t="0" r="0" b="0"/>
                <wp:wrapNone/>
                <wp:docPr id="20" name="Frame20"/>
                <a:graphic xmlns:a="http://schemas.openxmlformats.org/drawingml/2006/main">
                  <a:graphicData uri="http://schemas.microsoft.com/office/word/2010/wordprocessingShape">
                    <wps:wsp>
                      <wps:cNvSpPr txBox="1"/>
                      <wps:spPr>
                        <a:xfrm>
                          <a:off x="0" y="0"/>
                          <a:ext cx="6692265" cy="543560"/>
                        </a:xfrm>
                        <a:prstGeom prst="rect"/>
                      </wps:spPr>
                      <wps:txbx>
                        <w:txbxContent>
                          <w:tbl>
                            <w:tblPr>
                              <w:tblW w:w="3131" w:type="dxa"/>
                              <w:jc w:val="left"/>
                              <w:tblInd w:w="0" w:type="dxa"/>
                              <w:tblCellMar>
                                <w:top w:w="28" w:type="dxa"/>
                                <w:left w:w="28" w:type="dxa"/>
                                <w:bottom w:w="28" w:type="dxa"/>
                                <w:right w:w="28" w:type="dxa"/>
                              </w:tblCellMar>
                            </w:tblPr>
                            <w:tblGrid>
                              <w:gridCol w:w="124"/>
                              <w:gridCol w:w="109"/>
                              <w:gridCol w:w="109"/>
                              <w:gridCol w:w="814"/>
                              <w:gridCol w:w="814"/>
                              <w:gridCol w:w="116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18</w:t>
                                  </w:r>
                                </w:p>
                              </w:tc>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Calibri;sans-serif" w:hAnsi="Calibri;sans-serif"/>
                                      <w:b w:val="false"/>
                                      <w:color w:val="000000"/>
                                      <w:sz w:val="16"/>
                                    </w:rPr>
                                    <w:t xml:space="preserve">Q3 FY2023 Form 10-Q| </w:t>
                                  </w:r>
                                  <w:r>
                                    <w:rPr>
                                      <w:rFonts w:ascii="Calibri;sans-serif" w:hAnsi="Calibri;sans-serif"/>
                                      <w:b/>
                                      <w:color w:val="000000"/>
                                      <w:sz w:val="16"/>
                                    </w:rPr>
                                    <w:t>H&amp;R Block, Inc.</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3131" w:type="dxa"/>
                        <w:jc w:val="left"/>
                        <w:tblInd w:w="0" w:type="dxa"/>
                        <w:tblCellMar>
                          <w:top w:w="28" w:type="dxa"/>
                          <w:left w:w="28" w:type="dxa"/>
                          <w:bottom w:w="28" w:type="dxa"/>
                          <w:right w:w="28" w:type="dxa"/>
                        </w:tblCellMar>
                      </w:tblPr>
                      <w:tblGrid>
                        <w:gridCol w:w="124"/>
                        <w:gridCol w:w="109"/>
                        <w:gridCol w:w="109"/>
                        <w:gridCol w:w="814"/>
                        <w:gridCol w:w="814"/>
                        <w:gridCol w:w="116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18</w:t>
                            </w:r>
                          </w:p>
                        </w:tc>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Calibri;sans-serif" w:hAnsi="Calibri;sans-serif"/>
                                <w:b w:val="false"/>
                                <w:color w:val="000000"/>
                                <w:sz w:val="16"/>
                              </w:rPr>
                              <w:t xml:space="preserve">Q3 FY2023 Form 10-Q| </w:t>
                            </w:r>
                            <w:r>
                              <w:rPr>
                                <w:rFonts w:ascii="Calibri;sans-serif" w:hAnsi="Calibri;sans-serif"/>
                                <w:b/>
                                <w:color w:val="000000"/>
                                <w:sz w:val="16"/>
                              </w:rPr>
                              <w:t>H&amp;R Block, Inc.</w:t>
                            </w:r>
                          </w:p>
                        </w:tc>
                      </w:tr>
                    </w:tbl>
                    <w:p>
                      <w:pPr>
                        <w:pStyle w:val="TextBody"/>
                        <w:spacing w:before="0" w:after="283"/>
                        <w:rPr/>
                      </w:pPr>
                      <w:r>
                        <w:rPr/>
                      </w:r>
                    </w:p>
                  </w:txbxContent>
                </v:textbox>
              </v:rect>
            </w:pict>
          </mc:Fallback>
        </mc:AlternateContent>
      </w:r>
    </w:p>
    <w:p>
      <w:pPr>
        <w:pStyle w:val="TextBody"/>
        <w:spacing w:lineRule="auto" w:line="288" w:before="120" w:after="283"/>
        <w:rPr/>
      </w:pPr>
      <w:hyperlink w:anchor="ica06acc7160d4977b3f034161052416e_7">
        <w:r>
          <w:rPr>
            <w:rStyle w:val="InternetLink"/>
            <w:rFonts w:ascii="Calibri;sans-serif" w:hAnsi="Calibri;sans-serif"/>
            <w:b w:val="false"/>
            <w:color w:val="0000FF"/>
            <w:sz w:val="18"/>
            <w:u w:val="single"/>
          </w:rPr>
          <w:t>Table of Contents</w:t>
        </w:r>
      </w:hyperlink>
    </w:p>
    <w:tbl>
      <w:tblPr>
        <w:tblW w:w="9411" w:type="dxa"/>
        <w:jc w:val="left"/>
        <w:tblInd w:w="0" w:type="dxa"/>
        <w:tblCellMar>
          <w:top w:w="28" w:type="dxa"/>
          <w:left w:w="28" w:type="dxa"/>
          <w:bottom w:w="28" w:type="dxa"/>
          <w:right w:w="28" w:type="dxa"/>
        </w:tblCellMar>
      </w:tblPr>
      <w:tblGrid>
        <w:gridCol w:w="1299"/>
        <w:gridCol w:w="1139"/>
        <w:gridCol w:w="1147"/>
        <w:gridCol w:w="109"/>
        <w:gridCol w:w="109"/>
        <w:gridCol w:w="109"/>
        <w:gridCol w:w="196"/>
        <w:gridCol w:w="886"/>
        <w:gridCol w:w="109"/>
        <w:gridCol w:w="109"/>
        <w:gridCol w:w="109"/>
        <w:gridCol w:w="109"/>
        <w:gridCol w:w="196"/>
        <w:gridCol w:w="871"/>
        <w:gridCol w:w="109"/>
        <w:gridCol w:w="109"/>
        <w:gridCol w:w="109"/>
        <w:gridCol w:w="109"/>
        <w:gridCol w:w="196"/>
        <w:gridCol w:w="721"/>
        <w:gridCol w:w="109"/>
        <w:gridCol w:w="109"/>
        <w:gridCol w:w="109"/>
        <w:gridCol w:w="109"/>
        <w:gridCol w:w="312"/>
        <w:gridCol w:w="318"/>
        <w:gridCol w:w="495"/>
      </w:tblGrid>
      <w:tr>
        <w:trPr/>
        <w:tc>
          <w:tcPr>
            <w:tcW w:w="1299"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spacing w:before="0" w:after="283"/>
              <w:rPr>
                <w:sz w:val="4"/>
                <w:szCs w:val="4"/>
              </w:rPr>
            </w:pPr>
            <w:r>
              <w:rPr>
                <w:sz w:val="4"/>
                <w:szCs w:val="4"/>
              </w:rPr>
            </w:r>
          </w:p>
        </w:tc>
        <w:tc>
          <w:tcPr>
            <w:tcW w:w="1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2"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r>
      <w:tr>
        <w:trPr/>
        <w:tc>
          <w:tcPr>
            <w:tcW w:w="35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Consolidated - Financial Results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981"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 except per share amounts)</w:t>
            </w:r>
          </w:p>
        </w:tc>
      </w:tr>
      <w:tr>
        <w:trPr/>
        <w:tc>
          <w:tcPr>
            <w:tcW w:w="35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Nine months ended 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 Change</w:t>
            </w:r>
          </w:p>
        </w:tc>
      </w:tr>
      <w:tr>
        <w:trPr/>
        <w:tc>
          <w:tcPr>
            <w:tcW w:w="35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Revenues: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U.S. tax preparation and related services: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Assisted tax preparation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1,530,577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1,456,594 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73,983 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5.1 </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Royalties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161,337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169,548 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(8,211)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(4.8)</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DIY tax preparation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182,330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188,455 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(6,125)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Refund Transfers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120,210</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134,665 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(14,455)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(10.7)</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Peace of Mind® Extended Service Plan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58,840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59,373 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(0.9)</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Tax Identity Shield®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19,237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19,431 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28,845</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27,736 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4.0 </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U.S. tax preparation and related services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2,101,376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2,055,802 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45,574 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2.2 </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Financial services: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Calibri;sans-serif" w:hAnsi="Calibri;sans-serif"/>
                <w:b w:val="false"/>
                <w:color w:val="000000"/>
                <w:sz w:val="18"/>
              </w:rPr>
              <w:t>Emerald Card® and Spruce</w:t>
            </w:r>
            <w:r>
              <w:rPr>
                <w:rFonts w:ascii="Calibri;sans-serif" w:hAnsi="Calibri;sans-serif"/>
                <w:b w:val="false"/>
                <w:color w:val="000000"/>
                <w:sz w:val="12"/>
              </w:rPr>
              <w:t>SM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68,448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103,748 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(35,300)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(34.0)</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Calibri;sans-serif" w:hAnsi="Calibri;sans-serif"/>
                <w:b w:val="false"/>
                <w:color w:val="000000"/>
                <w:sz w:val="18"/>
              </w:rPr>
              <w:t>Interest and fee income on Emerald Advance</w:t>
            </w:r>
            <w:r>
              <w:rPr>
                <w:rFonts w:ascii="Calibri;sans-serif" w:hAnsi="Calibri;sans-serif"/>
                <w:b w:val="false"/>
                <w:color w:val="000000"/>
                <w:sz w:val="12"/>
              </w:rPr>
              <w:t>SM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47,267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43,438 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3,829 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8.8 </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financial services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115,715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147,186 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(31,471)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(21.4)</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International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156,297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151,464 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4,833 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3.2 </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Wave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66,651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58,745 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7,906 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13.5 </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2,440,039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2,413,197 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26,842 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1.1 </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Compensation and benefits: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Field wages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618,656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561,482 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(57,174)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(10.2)</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wages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207,786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200,715 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(7,071)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Benefits and other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169,477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146,708 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(22,769)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(15.5)</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995,919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908,905 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(87,014)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(9.6)</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Occupancy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316,874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306,523 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(10,351)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(3.4)</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Marketing and advertising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236,299</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223,796 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(12,503)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(5.6)</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98,660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107,462 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8,802 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8.2 </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Bad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57,018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59,760 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2,742 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4.6 </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363,081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373,458 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10,377 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2.8 </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2,067,851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1,979,904 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(87,947)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(4.4)</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21,020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19,031 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956.8 </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Interest expense on borrowings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(57,107)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(69,661)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12,554 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18.0 </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Pretax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336,101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365,621 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(29,520)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(8.1)</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Income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78,254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29,666 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(48,588)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(163.8)</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income from continuing operations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257,847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335,955 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(78,108)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(23.2)</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loss from discontinued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(6,418)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(4,984)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(28.8)</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251,429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330,971 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(79,542)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(24.0)</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DILUTED EARNINGS PER SHARE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Continuing operations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1.62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(15.6)</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Discontinued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(0.04)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(33.3)</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Consolidated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(16.4)</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Calibri;sans-serif" w:hAnsi="Calibri;sans-serif"/>
                <w:b w:val="false"/>
                <w:color w:val="000000"/>
                <w:sz w:val="18"/>
              </w:rPr>
              <w:t>Adjusted diluted EPS</w:t>
            </w:r>
            <w:r>
              <w:rPr>
                <w:rFonts w:ascii="Calibri;sans-serif" w:hAnsi="Calibri;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(14.7)</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Calibri;sans-serif" w:hAnsi="Calibri;sans-serif"/>
                <w:b w:val="false"/>
                <w:color w:val="000000"/>
                <w:sz w:val="18"/>
              </w:rPr>
              <w:t xml:space="preserve">EBITDA </w:t>
            </w:r>
            <w:r>
              <w:rPr>
                <w:rFonts w:ascii="Calibri;sans-serif" w:hAnsi="Calibri;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491,868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542,744 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(50,876)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(9.4)</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3585"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191"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176"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026"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125"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180"/>
        <w:jc w:val="both"/>
        <w:rPr/>
      </w:pPr>
      <w:r>
        <w:rPr>
          <w:rFonts w:ascii="Calibri;sans-serif" w:hAnsi="Calibri;sans-serif"/>
          <w:b w:val="false"/>
          <w:color w:val="000000"/>
          <w:sz w:val="10"/>
        </w:rPr>
        <w:t xml:space="preserve">(1) </w:t>
      </w:r>
      <w:r>
        <w:rPr>
          <w:rFonts w:ascii="Calibri;sans-serif" w:hAnsi="Calibri;sans-serif"/>
          <w:b w:val="false"/>
          <w:color w:val="000000"/>
          <w:sz w:val="16"/>
        </w:rPr>
        <w:t>All non-GAAP measures are results from continuing operations. See "</w:t>
      </w:r>
      <w:hyperlink w:anchor="ica06acc7160d4977b3f034161052416e_82">
        <w:r>
          <w:rPr>
            <w:rStyle w:val="InternetLink"/>
            <w:rFonts w:ascii="Calibri;sans-serif" w:hAnsi="Calibri;sans-serif"/>
            <w:b w:val="false"/>
            <w:color w:val="0000FF"/>
            <w:sz w:val="16"/>
            <w:u w:val="single"/>
          </w:rPr>
          <w:t>Non-GAAP Financial Information</w:t>
        </w:r>
      </w:hyperlink>
      <w:r>
        <w:rPr>
          <w:rFonts w:ascii="Calibri;sans-serif" w:hAnsi="Calibri;sans-serif"/>
          <w:b w:val="false"/>
          <w:color w:val="000000"/>
          <w:sz w:val="16"/>
        </w:rPr>
        <w:t>" at the end of this item for a reconciliation of non-GAAP measures.</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692265" cy="594995"/>
                <wp:effectExtent l="0" t="0" r="0" b="0"/>
                <wp:wrapNone/>
                <wp:docPr id="21" name="Frame21"/>
                <a:graphic xmlns:a="http://schemas.openxmlformats.org/drawingml/2006/main">
                  <a:graphicData uri="http://schemas.microsoft.com/office/word/2010/wordprocessingShape">
                    <wps:wsp>
                      <wps:cNvSpPr txBox="1"/>
                      <wps:spPr>
                        <a:xfrm>
                          <a:off x="0" y="0"/>
                          <a:ext cx="6692265" cy="594995"/>
                        </a:xfrm>
                        <a:prstGeom prst="rect"/>
                      </wps:spPr>
                      <wps:txbx>
                        <w:txbxContent>
                          <w:tbl>
                            <w:tblPr>
                              <w:tblW w:w="3162" w:type="dxa"/>
                              <w:jc w:val="right"/>
                              <w:tblInd w:w="0" w:type="dxa"/>
                              <w:tblCellMar>
                                <w:top w:w="28" w:type="dxa"/>
                                <w:left w:w="28" w:type="dxa"/>
                                <w:bottom w:w="28" w:type="dxa"/>
                                <w:right w:w="28" w:type="dxa"/>
                              </w:tblCellMar>
                            </w:tblPr>
                            <w:tblGrid>
                              <w:gridCol w:w="1008"/>
                              <w:gridCol w:w="889"/>
                              <w:gridCol w:w="893"/>
                              <w:gridCol w:w="109"/>
                              <w:gridCol w:w="109"/>
                              <w:gridCol w:w="154"/>
                            </w:tblGrid>
                            <w:tr>
                              <w:trPr/>
                              <w:tc>
                                <w:tcPr>
                                  <w:tcW w:w="1008"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|Q3 FY2023 Form 10-Q</w:t>
                                  </w:r>
                                </w:p>
                              </w:tc>
                              <w:tc>
                                <w:tcPr>
                                  <w:tcW w:w="37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19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162" w:type="dxa"/>
                        <w:jc w:val="right"/>
                        <w:tblInd w:w="0" w:type="dxa"/>
                        <w:tblCellMar>
                          <w:top w:w="28" w:type="dxa"/>
                          <w:left w:w="28" w:type="dxa"/>
                          <w:bottom w:w="28" w:type="dxa"/>
                          <w:right w:w="28" w:type="dxa"/>
                        </w:tblCellMar>
                      </w:tblPr>
                      <w:tblGrid>
                        <w:gridCol w:w="1008"/>
                        <w:gridCol w:w="889"/>
                        <w:gridCol w:w="893"/>
                        <w:gridCol w:w="109"/>
                        <w:gridCol w:w="109"/>
                        <w:gridCol w:w="154"/>
                      </w:tblGrid>
                      <w:tr>
                        <w:trPr/>
                        <w:tc>
                          <w:tcPr>
                            <w:tcW w:w="1008"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|Q3 FY2023 Form 10-Q</w:t>
                            </w:r>
                          </w:p>
                        </w:tc>
                        <w:tc>
                          <w:tcPr>
                            <w:tcW w:w="37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19</w:t>
                            </w:r>
                          </w:p>
                        </w:tc>
                      </w:tr>
                    </w:tbl>
                    <w:p>
                      <w:pPr>
                        <w:pStyle w:val="TextBody"/>
                        <w:spacing w:before="0" w:after="283"/>
                        <w:rPr/>
                      </w:pPr>
                      <w:r>
                        <w:rPr/>
                      </w:r>
                    </w:p>
                  </w:txbxContent>
                </v:textbox>
              </v:rect>
            </w:pict>
          </mc:Fallback>
        </mc:AlternateContent>
      </w:r>
    </w:p>
    <w:p>
      <w:pPr>
        <w:pStyle w:val="TextBody"/>
        <w:spacing w:lineRule="auto" w:line="288" w:before="120" w:after="283"/>
        <w:rPr/>
      </w:pPr>
      <w:hyperlink w:anchor="ica06acc7160d4977b3f034161052416e_7">
        <w:r>
          <w:rPr>
            <w:rStyle w:val="InternetLink"/>
            <w:rFonts w:ascii="Calibri;sans-serif" w:hAnsi="Calibri;sans-serif"/>
            <w:b w:val="false"/>
            <w:color w:val="0000FF"/>
            <w:sz w:val="18"/>
            <w:u w:val="single"/>
          </w:rPr>
          <w:t>Table of Contents</w:t>
        </w:r>
      </w:hyperlink>
    </w:p>
    <w:p>
      <w:pPr>
        <w:pStyle w:val="TextBody"/>
        <w:spacing w:lineRule="auto" w:line="288" w:before="120" w:after="283"/>
        <w:jc w:val="both"/>
        <w:rPr>
          <w:rFonts w:ascii="Calibri;sans-serif" w:hAnsi="Calibri;sans-serif"/>
          <w:b/>
          <w:color w:val="000000"/>
          <w:sz w:val="20"/>
        </w:rPr>
      </w:pPr>
      <w:r>
        <w:rPr>
          <w:rFonts w:ascii="Calibri;sans-serif" w:hAnsi="Calibri;sans-serif"/>
          <w:b/>
          <w:color w:val="000000"/>
          <w:sz w:val="20"/>
        </w:rPr>
        <w:t>Nine months ended March 31, 2023 compared to March 31, 2022</w:t>
      </w:r>
    </w:p>
    <w:p>
      <w:pPr>
        <w:pStyle w:val="TextBody"/>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Revenues increased $26.8 million, or 1.1%, from the prior year. U.S. assisted tax preparation revenues increased $74.0 million, or 5.1%, due to a 3.4% increase in net average charge combined with higher tax return volumes in the current year. U.S. royalties revenue decreased $8.2 million, or 4.8%, due to lower volumes, partially offset by a higher net average charge in the current year. During the year we purchased franchise offices which results in increasing tax preparation revenues and decreasing royalties as the revenues and returns become company-owned after the acquisition. Through the nine months ended March 31, our total assisted tax return volume, which includes both company-owned and franchise offices, decreased 1.6% from the prior year.</w:t>
      </w:r>
    </w:p>
    <w:p>
      <w:pPr>
        <w:pStyle w:val="TextBody"/>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 xml:space="preserve">U.S. DIY tax preparation revenues decreased $6.1 million, or 3.3%, primarily due to lower software sales and a decline in online paid returns during the quarter compared to the prior year. Refund Transfer revenues decreased $14.5 million, or 10.7%, due to fewer Refund Transfers in the current year. </w:t>
      </w:r>
    </w:p>
    <w:p>
      <w:pPr>
        <w:pStyle w:val="TextBody"/>
        <w:spacing w:lineRule="auto" w:line="288" w:before="120" w:after="283"/>
        <w:ind w:left="0" w:right="0" w:firstLine="270"/>
        <w:jc w:val="both"/>
        <w:rPr/>
      </w:pPr>
      <w:r>
        <w:rPr>
          <w:rFonts w:ascii="Calibri;sans-serif" w:hAnsi="Calibri;sans-serif"/>
          <w:b w:val="false"/>
          <w:color w:val="000000"/>
          <w:sz w:val="20"/>
        </w:rPr>
        <w:t>Emerald Card® and Spruce</w:t>
      </w:r>
      <w:r>
        <w:rPr>
          <w:rFonts w:ascii="Calibri;sans-serif" w:hAnsi="Calibri;sans-serif"/>
          <w:b w:val="false"/>
          <w:color w:val="000000"/>
          <w:sz w:val="13"/>
        </w:rPr>
        <w:t>SM</w:t>
      </w:r>
      <w:r>
        <w:rPr>
          <w:color w:val="000000"/>
        </w:rPr>
        <w:t xml:space="preserve"> </w:t>
      </w:r>
      <w:r>
        <w:rPr>
          <w:rFonts w:ascii="Calibri;sans-serif" w:hAnsi="Calibri;sans-serif"/>
          <w:b w:val="false"/>
          <w:color w:val="000000"/>
          <w:sz w:val="20"/>
        </w:rPr>
        <w:t>revenues decreased $35.3 million, or 34.0%, primarily due to higher card activity in the prior year, which is the result of the IRS loading Child Tax Credits monthly to Emerald Cards®.</w:t>
      </w:r>
    </w:p>
    <w:p>
      <w:pPr>
        <w:pStyle w:val="TextBody"/>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Wave revenues increased $7.9 million, or 13.5%, due to higher small business payments processing volumes.</w:t>
      </w:r>
    </w:p>
    <w:p>
      <w:pPr>
        <w:pStyle w:val="TextBody"/>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Total operating expenses increased $87.9 million, or 4.4%, from the prior year period. Field wages increased $57.2 million, or 10.2%, primarily due to higher wages in the current year. Other wages increased $7.1 million, or 3.5%, due to higher corporate wages in the current year. Benefits and other compensation increased $22.8 million, or 15.5%, due to higher payroll taxes, employee insurance and stock-based compensation. Occupancy expense increased $10.4 million, or 3.4%, primarily due to higher rent and office repairs. Marketing and advertising expense increased $12.5 million, or 5.6%, due to higher television advertising. Depreciation and amortization expense decreased $8.8 million, or 8.2%, due primarily to lower amortization of acquired intangibles.</w:t>
      </w:r>
    </w:p>
    <w:p>
      <w:pPr>
        <w:pStyle w:val="TextBody"/>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Other operating expenses decreased $10.4 million, or 2.8%. The components of other expenses are as follows:</w:t>
      </w:r>
    </w:p>
    <w:tbl>
      <w:tblPr>
        <w:tblW w:w="8076" w:type="dxa"/>
        <w:jc w:val="center"/>
        <w:tblInd w:w="0" w:type="dxa"/>
        <w:tblCellMar>
          <w:top w:w="28" w:type="dxa"/>
          <w:left w:w="28" w:type="dxa"/>
          <w:bottom w:w="28" w:type="dxa"/>
          <w:right w:w="28" w:type="dxa"/>
        </w:tblCellMar>
      </w:tblPr>
      <w:tblGrid>
        <w:gridCol w:w="973"/>
        <w:gridCol w:w="854"/>
        <w:gridCol w:w="858"/>
        <w:gridCol w:w="109"/>
        <w:gridCol w:w="109"/>
        <w:gridCol w:w="109"/>
        <w:gridCol w:w="196"/>
        <w:gridCol w:w="751"/>
        <w:gridCol w:w="109"/>
        <w:gridCol w:w="109"/>
        <w:gridCol w:w="109"/>
        <w:gridCol w:w="109"/>
        <w:gridCol w:w="196"/>
        <w:gridCol w:w="736"/>
        <w:gridCol w:w="109"/>
        <w:gridCol w:w="109"/>
        <w:gridCol w:w="109"/>
        <w:gridCol w:w="109"/>
        <w:gridCol w:w="196"/>
        <w:gridCol w:w="646"/>
        <w:gridCol w:w="109"/>
        <w:gridCol w:w="109"/>
        <w:gridCol w:w="109"/>
        <w:gridCol w:w="109"/>
        <w:gridCol w:w="269"/>
        <w:gridCol w:w="271"/>
        <w:gridCol w:w="495"/>
      </w:tblGrid>
      <w:tr>
        <w:trPr/>
        <w:tc>
          <w:tcPr>
            <w:tcW w:w="973"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w:t>
            </w:r>
          </w:p>
        </w:tc>
      </w:tr>
      <w:tr>
        <w:trPr/>
        <w:tc>
          <w:tcPr>
            <w:tcW w:w="26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Nine months ended 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 Change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 Change</w:t>
            </w:r>
          </w:p>
        </w:tc>
      </w:tr>
      <w:tr>
        <w:trPr/>
        <w:tc>
          <w:tcPr>
            <w:tcW w:w="26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Consulting and outsourced services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82,635</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99,870 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17,235 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17.3 </w:t>
            </w:r>
          </w:p>
        </w:tc>
        <w:tc>
          <w:tcPr>
            <w:tcW w:w="49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Bank partner fees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23,981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26,344 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9.0 </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Client claims and refunds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21,002</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22,945 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8.5 </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Employee and travel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30,675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23,222 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(7,453)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(32.1)</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Technology-related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76,789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69,998 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(6,791)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(9.7)</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Credit card/bank charges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67,682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63,441 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(4,241)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(6.7)</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Insurance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6,260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11,780 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5,520 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46.9 </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Legal fees and settlements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7,155</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14,227 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7,072 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49.7 </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6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Supplies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23,291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22,161 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(1,130)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(5.1)</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6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23,611</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19,470 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(4,141)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(21.3)</w:t>
            </w:r>
          </w:p>
        </w:tc>
        <w:tc>
          <w:tcPr>
            <w:tcW w:w="49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6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363,081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373,458 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2.8 </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w:t>
            </w:r>
          </w:p>
        </w:tc>
      </w:tr>
      <w:tr>
        <w:trPr/>
        <w:tc>
          <w:tcPr>
            <w:tcW w:w="2685"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035"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Consulting and outsourced services expense decreased $17.2 million, or 17.3%, due to higher spend in the prior year related to our strategic imperatives, and lower call center volumes and Emerald Card® data processing in the current year. Employee and travel expenses increased $7.5 million, or 32.1%, due to more travel in the current year. Technology-related expenses increased $6.8 million, or 9.7%, due to increased investments in information technology. Legal fees and settlements expense decreased $7.1 million, or 49.7%, due to lower fees in the current year.</w:t>
      </w:r>
    </w:p>
    <w:p>
      <w:pPr>
        <w:pStyle w:val="TextBody"/>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Other income (expense), net increased $19.0 million due to higher interest and income from a legal settlement in the current year. Interest expense on borrowings decreased $12.6 million, or 18.0%, due to the repayment of our $500 million 5.500% Senior Notes in May 2022, partially offset by higher interest expense on our CLOC borrowings in the current year.</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692265" cy="543560"/>
                <wp:effectExtent l="0" t="0" r="0" b="0"/>
                <wp:wrapNone/>
                <wp:docPr id="22" name="Frame22"/>
                <a:graphic xmlns:a="http://schemas.openxmlformats.org/drawingml/2006/main">
                  <a:graphicData uri="http://schemas.microsoft.com/office/word/2010/wordprocessingShape">
                    <wps:wsp>
                      <wps:cNvSpPr txBox="1"/>
                      <wps:spPr>
                        <a:xfrm>
                          <a:off x="0" y="0"/>
                          <a:ext cx="6692265" cy="543560"/>
                        </a:xfrm>
                        <a:prstGeom prst="rect"/>
                      </wps:spPr>
                      <wps:txbx>
                        <w:txbxContent>
                          <w:tbl>
                            <w:tblPr>
                              <w:tblW w:w="3131" w:type="dxa"/>
                              <w:jc w:val="left"/>
                              <w:tblInd w:w="0" w:type="dxa"/>
                              <w:tblCellMar>
                                <w:top w:w="28" w:type="dxa"/>
                                <w:left w:w="28" w:type="dxa"/>
                                <w:bottom w:w="28" w:type="dxa"/>
                                <w:right w:w="28" w:type="dxa"/>
                              </w:tblCellMar>
                            </w:tblPr>
                            <w:tblGrid>
                              <w:gridCol w:w="124"/>
                              <w:gridCol w:w="109"/>
                              <w:gridCol w:w="109"/>
                              <w:gridCol w:w="814"/>
                              <w:gridCol w:w="814"/>
                              <w:gridCol w:w="116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20</w:t>
                                  </w:r>
                                </w:p>
                              </w:tc>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Calibri;sans-serif" w:hAnsi="Calibri;sans-serif"/>
                                      <w:b w:val="false"/>
                                      <w:color w:val="000000"/>
                                      <w:sz w:val="16"/>
                                    </w:rPr>
                                    <w:t xml:space="preserve">Q3 FY2023 Form 10-Q| </w:t>
                                  </w:r>
                                  <w:r>
                                    <w:rPr>
                                      <w:rFonts w:ascii="Calibri;sans-serif" w:hAnsi="Calibri;sans-serif"/>
                                      <w:b/>
                                      <w:color w:val="000000"/>
                                      <w:sz w:val="16"/>
                                    </w:rPr>
                                    <w:t>H&amp;R Block, Inc.</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3131" w:type="dxa"/>
                        <w:jc w:val="left"/>
                        <w:tblInd w:w="0" w:type="dxa"/>
                        <w:tblCellMar>
                          <w:top w:w="28" w:type="dxa"/>
                          <w:left w:w="28" w:type="dxa"/>
                          <w:bottom w:w="28" w:type="dxa"/>
                          <w:right w:w="28" w:type="dxa"/>
                        </w:tblCellMar>
                      </w:tblPr>
                      <w:tblGrid>
                        <w:gridCol w:w="124"/>
                        <w:gridCol w:w="109"/>
                        <w:gridCol w:w="109"/>
                        <w:gridCol w:w="814"/>
                        <w:gridCol w:w="814"/>
                        <w:gridCol w:w="116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20</w:t>
                            </w:r>
                          </w:p>
                        </w:tc>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Calibri;sans-serif" w:hAnsi="Calibri;sans-serif"/>
                                <w:b w:val="false"/>
                                <w:color w:val="000000"/>
                                <w:sz w:val="16"/>
                              </w:rPr>
                              <w:t xml:space="preserve">Q3 FY2023 Form 10-Q| </w:t>
                            </w:r>
                            <w:r>
                              <w:rPr>
                                <w:rFonts w:ascii="Calibri;sans-serif" w:hAnsi="Calibri;sans-serif"/>
                                <w:b/>
                                <w:color w:val="000000"/>
                                <w:sz w:val="16"/>
                              </w:rPr>
                              <w:t>H&amp;R Block, Inc.</w:t>
                            </w:r>
                          </w:p>
                        </w:tc>
                      </w:tr>
                    </w:tbl>
                    <w:p>
                      <w:pPr>
                        <w:pStyle w:val="TextBody"/>
                        <w:spacing w:before="0" w:after="283"/>
                        <w:rPr/>
                      </w:pPr>
                      <w:r>
                        <w:rPr/>
                      </w:r>
                    </w:p>
                  </w:txbxContent>
                </v:textbox>
              </v:rect>
            </w:pict>
          </mc:Fallback>
        </mc:AlternateContent>
      </w:r>
    </w:p>
    <w:p>
      <w:pPr>
        <w:pStyle w:val="TextBody"/>
        <w:spacing w:lineRule="auto" w:line="288" w:before="120" w:after="283"/>
        <w:rPr/>
      </w:pPr>
      <w:hyperlink w:anchor="ica06acc7160d4977b3f034161052416e_7">
        <w:r>
          <w:rPr>
            <w:rStyle w:val="InternetLink"/>
            <w:rFonts w:ascii="Calibri;sans-serif" w:hAnsi="Calibri;sans-serif"/>
            <w:b w:val="false"/>
            <w:color w:val="0000FF"/>
            <w:sz w:val="18"/>
            <w:u w:val="single"/>
          </w:rPr>
          <w:t>Table of Contents</w:t>
        </w:r>
      </w:hyperlink>
    </w:p>
    <w:p>
      <w:pPr>
        <w:pStyle w:val="TextBody"/>
        <w:spacing w:lineRule="auto" w:line="288" w:before="120" w:after="283"/>
        <w:ind w:left="0" w:right="0" w:firstLine="270"/>
        <w:jc w:val="both"/>
        <w:rPr/>
      </w:pPr>
      <w:r>
        <w:rPr>
          <w:rFonts w:ascii="Calibri;sans-serif" w:hAnsi="Calibri;sans-serif"/>
          <w:b w:val="false"/>
          <w:color w:val="000000"/>
          <w:sz w:val="20"/>
        </w:rPr>
        <w:t xml:space="preserve">We recorded income tax expense of $78.3 million in the current year compared to $29.7 million in the prior year. The effective tax rate for the nine months ended March 31, 2023, and 2022 was 23.3% and 8.1%, respectively. See </w:t>
      </w:r>
      <w:hyperlink w:anchor="ica06acc7160d4977b3f034161052416e_52">
        <w:r>
          <w:rPr>
            <w:rStyle w:val="InternetLink"/>
            <w:rFonts w:ascii="Calibri;sans-serif" w:hAnsi="Calibri;sans-serif"/>
            <w:b w:val="false"/>
            <w:color w:val="0000FF"/>
            <w:sz w:val="20"/>
            <w:u w:val="single"/>
          </w:rPr>
          <w:t>Item 1, note 7</w:t>
        </w:r>
      </w:hyperlink>
      <w:r>
        <w:rPr>
          <w:color w:val="000000"/>
        </w:rPr>
        <w:t xml:space="preserve"> </w:t>
      </w:r>
      <w:r>
        <w:rPr>
          <w:rFonts w:ascii="Calibri;sans-serif" w:hAnsi="Calibri;sans-serif"/>
          <w:b w:val="false"/>
          <w:color w:val="000000"/>
          <w:sz w:val="20"/>
        </w:rPr>
        <w:t>to the consolidated financial statements for additional discussion.</w:t>
      </w:r>
    </w:p>
    <w:p>
      <w:pPr>
        <w:pStyle w:val="TextBody"/>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Total U.S. return volume, which includes our assisted and DIY operations, from July 1, 2022 through April 30, 2023 decreased 1.3% compared to the prior year period. Our business is highly seasonal and results for the nine months ended March 31, as well as results for the period ended April 30, may not be indicative of results for the fiscal year ended June 30, 2023.</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Calibri;sans-serif" w:hAnsi="Calibri;sans-serif"/>
          <w:b/>
          <w:color w:val="000000"/>
          <w:sz w:val="20"/>
        </w:rPr>
      </w:pPr>
      <w:r>
        <w:rPr>
          <w:rFonts w:ascii="Calibri;sans-serif" w:hAnsi="Calibri;sans-serif"/>
          <w:b/>
          <w:color w:val="000000"/>
          <w:sz w:val="20"/>
        </w:rPr>
        <w:t>FINANCIAL CONDITION</w:t>
      </w:r>
    </w:p>
    <w:p>
      <w:pPr>
        <w:pStyle w:val="TextBody"/>
        <w:spacing w:lineRule="auto" w:line="288" w:before="120" w:after="283"/>
        <w:jc w:val="both"/>
        <w:rPr/>
      </w:pPr>
      <w:r>
        <w:rPr>
          <w:rFonts w:ascii="Calibri;sans-serif" w:hAnsi="Calibri;sans-serif"/>
          <w:b w:val="false"/>
          <w:color w:val="000000"/>
          <w:sz w:val="20"/>
        </w:rPr>
        <w:t xml:space="preserve">These comments should be read in conjunction with the consolidated balance sheets and consolidated statements of cash flows included in </w:t>
      </w:r>
      <w:hyperlink w:anchor="ica06acc7160d4977b3f034161052416e_25">
        <w:r>
          <w:rPr>
            <w:rStyle w:val="InternetLink"/>
            <w:rFonts w:ascii="Calibri;sans-serif" w:hAnsi="Calibri;sans-serif"/>
            <w:b w:val="false"/>
            <w:color w:val="0000FF"/>
            <w:sz w:val="20"/>
            <w:u w:val="single"/>
          </w:rPr>
          <w:t>Part 1, Item 1</w:t>
        </w:r>
      </w:hyperlink>
      <w:r>
        <w:rPr>
          <w:rFonts w:ascii="Calibri;sans-serif" w:hAnsi="Calibri;sans-serif"/>
          <w:b w:val="false"/>
          <w:color w:val="000000"/>
          <w:sz w:val="20"/>
        </w:rPr>
        <w:t>.</w:t>
      </w:r>
    </w:p>
    <w:p>
      <w:pPr>
        <w:pStyle w:val="TextBody"/>
        <w:spacing w:lineRule="auto" w:line="288" w:before="120" w:after="283"/>
        <w:jc w:val="both"/>
        <w:rPr/>
      </w:pPr>
      <w:r>
        <w:rPr>
          <w:rFonts w:ascii="Calibri;sans-serif" w:hAnsi="Calibri;sans-serif"/>
          <w:b/>
          <w:color w:val="000000"/>
          <w:sz w:val="20"/>
        </w:rPr>
        <w:t>CAPITAL RESOURCES AND LIQUIDITY</w:t>
      </w:r>
      <w:r>
        <w:rPr>
          <w:color w:val="000000"/>
        </w:rPr>
        <w:t xml:space="preserve"> – </w:t>
      </w:r>
    </w:p>
    <w:p>
      <w:pPr>
        <w:pStyle w:val="TextBody"/>
        <w:spacing w:lineRule="auto" w:line="288" w:before="120" w:after="283"/>
        <w:ind w:left="0" w:right="0" w:firstLine="270"/>
        <w:jc w:val="both"/>
        <w:rPr/>
      </w:pPr>
      <w:r>
        <w:rPr>
          <w:rFonts w:ascii="Calibri;sans-serif" w:hAnsi="Calibri;sans-serif"/>
          <w:b/>
          <w:color w:val="000000"/>
          <w:sz w:val="20"/>
        </w:rPr>
        <w:t xml:space="preserve">OVERVIEW </w:t>
      </w:r>
      <w:r>
        <w:rPr>
          <w:color w:val="000000"/>
        </w:rPr>
        <w:t xml:space="preserve">– </w:t>
      </w:r>
      <w:r>
        <w:rPr>
          <w:rFonts w:ascii="Calibri;sans-serif" w:hAnsi="Calibri;sans-serif"/>
          <w:b w:val="false"/>
          <w:color w:val="000000"/>
          <w:sz w:val="20"/>
        </w:rPr>
        <w:t xml:space="preserve">Our primary sources of capital and liquidity include cash from operations (including changes in working capital), draws on our CLOC, and issuances of debt. We use our sources of liquidity primarily to fund working capital, service and repay debt, pay dividends, repurchase shares of our common stock, and acquire businesses. </w:t>
      </w:r>
    </w:p>
    <w:p>
      <w:pPr>
        <w:pStyle w:val="TextBody"/>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Our operations are highly seasonal and substantially all of our revenues and cash flow are generated during the period from February through April in a typical year. Therefore, we normally require the use of cash to fund losses and working capital needs, periodically resulting in a working capital deficit, during the months of May through January. We typically have relied on available cash balances from the prior tax season and borrowings to meet liquidity needs.</w:t>
      </w:r>
    </w:p>
    <w:p>
      <w:pPr>
        <w:pStyle w:val="TextBody"/>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Given the likely availability of a number of liquidity options discussed herein, we believe that, in the absence of any unexpected developments, our existing sources of capital as of March 31, 2023 are sufficient to meet our operating, investing and financing needs.</w:t>
      </w:r>
    </w:p>
    <w:p>
      <w:pPr>
        <w:pStyle w:val="TextBody"/>
        <w:spacing w:lineRule="auto" w:line="288" w:before="120" w:after="283"/>
        <w:ind w:left="0" w:right="0" w:firstLine="270"/>
        <w:jc w:val="both"/>
        <w:rPr/>
      </w:pPr>
      <w:r>
        <w:rPr>
          <w:rFonts w:ascii="Calibri;sans-serif" w:hAnsi="Calibri;sans-serif"/>
          <w:b/>
          <w:color w:val="000000"/>
          <w:sz w:val="20"/>
        </w:rPr>
        <w:t xml:space="preserve">DISCUSSION OF CONSOLIDATED STATEMENTS OF CASH FLOWS </w:t>
      </w:r>
      <w:r>
        <w:rPr>
          <w:color w:val="000000"/>
        </w:rPr>
        <w:t xml:space="preserve">– </w:t>
      </w:r>
      <w:r>
        <w:rPr>
          <w:rFonts w:ascii="Calibri;sans-serif" w:hAnsi="Calibri;sans-serif"/>
          <w:b w:val="false"/>
          <w:color w:val="000000"/>
          <w:sz w:val="20"/>
        </w:rPr>
        <w:t xml:space="preserve">The following table summarizes our statements of cash flows for the nine months ended March 31, 2023 and 2022. See </w:t>
      </w:r>
      <w:hyperlink w:anchor="ica06acc7160d4977b3f034161052416e_25">
        <w:r>
          <w:rPr>
            <w:rStyle w:val="InternetLink"/>
            <w:rFonts w:ascii="Calibri;sans-serif" w:hAnsi="Calibri;sans-serif"/>
            <w:b w:val="false"/>
            <w:color w:val="0000FF"/>
            <w:sz w:val="20"/>
            <w:u w:val="single"/>
          </w:rPr>
          <w:t>Item 1</w:t>
        </w:r>
      </w:hyperlink>
      <w:r>
        <w:rPr>
          <w:color w:val="000000"/>
        </w:rPr>
        <w:t xml:space="preserve"> </w:t>
      </w:r>
      <w:r>
        <w:rPr>
          <w:rFonts w:ascii="Calibri;sans-serif" w:hAnsi="Calibri;sans-serif"/>
          <w:b w:val="false"/>
          <w:color w:val="000000"/>
          <w:sz w:val="20"/>
        </w:rPr>
        <w:t>for the complete consolidated statements of cash flows for these periods.</w:t>
      </w:r>
    </w:p>
    <w:tbl>
      <w:tblPr>
        <w:tblW w:w="8564" w:type="dxa"/>
        <w:jc w:val="left"/>
        <w:tblInd w:w="0" w:type="dxa"/>
        <w:tblCellMar>
          <w:top w:w="28" w:type="dxa"/>
          <w:left w:w="28" w:type="dxa"/>
          <w:bottom w:w="28" w:type="dxa"/>
          <w:right w:w="28" w:type="dxa"/>
        </w:tblCellMar>
      </w:tblPr>
      <w:tblGrid>
        <w:gridCol w:w="1962"/>
        <w:gridCol w:w="1721"/>
        <w:gridCol w:w="1732"/>
        <w:gridCol w:w="109"/>
        <w:gridCol w:w="109"/>
        <w:gridCol w:w="109"/>
        <w:gridCol w:w="196"/>
        <w:gridCol w:w="811"/>
        <w:gridCol w:w="109"/>
        <w:gridCol w:w="109"/>
        <w:gridCol w:w="109"/>
        <w:gridCol w:w="109"/>
        <w:gridCol w:w="196"/>
        <w:gridCol w:w="811"/>
        <w:gridCol w:w="109"/>
        <w:gridCol w:w="109"/>
        <w:gridCol w:w="154"/>
      </w:tblGrid>
      <w:tr>
        <w:trPr/>
        <w:tc>
          <w:tcPr>
            <w:tcW w:w="1962" w:type="dxa"/>
            <w:tcBorders/>
            <w:shd w:fill="auto" w:val="clear"/>
            <w:vAlign w:val="center"/>
          </w:tcPr>
          <w:p>
            <w:pPr>
              <w:pStyle w:val="TableContents"/>
              <w:spacing w:before="0" w:after="283"/>
              <w:rPr>
                <w:sz w:val="4"/>
                <w:szCs w:val="4"/>
              </w:rPr>
            </w:pPr>
            <w:r>
              <w:rPr>
                <w:sz w:val="4"/>
                <w:szCs w:val="4"/>
              </w:rPr>
            </w:r>
          </w:p>
        </w:tc>
        <w:tc>
          <w:tcPr>
            <w:tcW w:w="1721" w:type="dxa"/>
            <w:tcBorders/>
            <w:shd w:fill="auto" w:val="clear"/>
            <w:vAlign w:val="center"/>
          </w:tcPr>
          <w:p>
            <w:pPr>
              <w:pStyle w:val="TableContents"/>
              <w:spacing w:before="0" w:after="283"/>
              <w:rPr>
                <w:sz w:val="4"/>
                <w:szCs w:val="4"/>
              </w:rPr>
            </w:pPr>
            <w:r>
              <w:rPr>
                <w:sz w:val="4"/>
                <w:szCs w:val="4"/>
              </w:rPr>
            </w:r>
          </w:p>
        </w:tc>
        <w:tc>
          <w:tcPr>
            <w:tcW w:w="17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9" w:type="dxa"/>
            <w:gridSpan w:val="9"/>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Nine months ended 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cash provided by (used 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498,386</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373,128 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(101,287)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(71,106)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(505,587)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(707,466)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Effects of exchange rates on cash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(7,880)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(1,666)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decrease in cash and cash equivalents, including restricted balances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(116,368)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8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(407,110)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5"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270"/>
        <w:jc w:val="both"/>
        <w:rPr/>
      </w:pPr>
      <w:r>
        <w:rPr>
          <w:rFonts w:ascii="Calibri;sans-serif" w:hAnsi="Calibri;sans-serif"/>
          <w:b/>
          <w:color w:val="000000"/>
          <w:sz w:val="20"/>
        </w:rPr>
        <w:t>Operating Activities.</w:t>
      </w:r>
      <w:r>
        <w:rPr>
          <w:color w:val="000000"/>
        </w:rPr>
        <w:t xml:space="preserve"> </w:t>
      </w:r>
      <w:r>
        <w:rPr>
          <w:rFonts w:ascii="Calibri;sans-serif" w:hAnsi="Calibri;sans-serif"/>
          <w:b w:val="false"/>
          <w:color w:val="000000"/>
          <w:sz w:val="20"/>
        </w:rPr>
        <w:t>Cash provided by operations totaled $498.4 million for the nine months ended March 31, 2023 compared to $373.1 million in the prior year period. The change is primarily due to the receipt of income tax receivables in the current year, partially offset by a decrease in our net income in the current year.</w:t>
      </w:r>
    </w:p>
    <w:p>
      <w:pPr>
        <w:pStyle w:val="TextBody"/>
        <w:spacing w:lineRule="auto" w:line="288" w:before="120" w:after="283"/>
        <w:ind w:left="0" w:right="0" w:firstLine="270"/>
        <w:jc w:val="both"/>
        <w:rPr/>
      </w:pPr>
      <w:r>
        <w:rPr>
          <w:rFonts w:ascii="Calibri;sans-serif" w:hAnsi="Calibri;sans-serif"/>
          <w:b/>
          <w:color w:val="000000"/>
          <w:sz w:val="20"/>
        </w:rPr>
        <w:t xml:space="preserve">Investing Activities. </w:t>
      </w:r>
      <w:r>
        <w:rPr>
          <w:rFonts w:ascii="Calibri;sans-serif" w:hAnsi="Calibri;sans-serif"/>
          <w:b w:val="false"/>
          <w:color w:val="000000"/>
          <w:sz w:val="20"/>
        </w:rPr>
        <w:t>Cash used in investing activities totaled $101.3 million for the nine months ended March 31, 2023 compared to $71.1 million in the prior year period. The change is primarily due to higher payments to acquire businesses in the current year.</w:t>
      </w:r>
    </w:p>
    <w:p>
      <w:pPr>
        <w:pStyle w:val="TextBody"/>
        <w:spacing w:lineRule="auto" w:line="288" w:before="120" w:after="283"/>
        <w:ind w:left="0" w:right="0" w:firstLine="270"/>
        <w:jc w:val="both"/>
        <w:rPr/>
      </w:pPr>
      <w:r>
        <w:rPr>
          <w:rFonts w:ascii="Calibri;sans-serif" w:hAnsi="Calibri;sans-serif"/>
          <w:b/>
          <w:color w:val="000000"/>
          <w:sz w:val="20"/>
        </w:rPr>
        <w:t xml:space="preserve">Financing Activities. </w:t>
      </w:r>
      <w:r>
        <w:rPr>
          <w:rFonts w:ascii="Calibri;sans-serif" w:hAnsi="Calibri;sans-serif"/>
          <w:b w:val="false"/>
          <w:color w:val="000000"/>
          <w:sz w:val="20"/>
        </w:rPr>
        <w:t>Cash used in financing activities totaled $505.6 million for the nine months ended March 31, 2023 compared to $707.5 million in the prior year period. The change is primarily due to higher repurchases of common stock in the prior year.</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692265" cy="594995"/>
                <wp:effectExtent l="0" t="0" r="0" b="0"/>
                <wp:wrapNone/>
                <wp:docPr id="23" name="Frame23"/>
                <a:graphic xmlns:a="http://schemas.openxmlformats.org/drawingml/2006/main">
                  <a:graphicData uri="http://schemas.microsoft.com/office/word/2010/wordprocessingShape">
                    <wps:wsp>
                      <wps:cNvSpPr txBox="1"/>
                      <wps:spPr>
                        <a:xfrm>
                          <a:off x="0" y="0"/>
                          <a:ext cx="6692265" cy="594995"/>
                        </a:xfrm>
                        <a:prstGeom prst="rect"/>
                      </wps:spPr>
                      <wps:txbx>
                        <w:txbxContent>
                          <w:tbl>
                            <w:tblPr>
                              <w:tblW w:w="3162" w:type="dxa"/>
                              <w:jc w:val="right"/>
                              <w:tblInd w:w="0" w:type="dxa"/>
                              <w:tblCellMar>
                                <w:top w:w="28" w:type="dxa"/>
                                <w:left w:w="28" w:type="dxa"/>
                                <w:bottom w:w="28" w:type="dxa"/>
                                <w:right w:w="28" w:type="dxa"/>
                              </w:tblCellMar>
                            </w:tblPr>
                            <w:tblGrid>
                              <w:gridCol w:w="1008"/>
                              <w:gridCol w:w="889"/>
                              <w:gridCol w:w="893"/>
                              <w:gridCol w:w="109"/>
                              <w:gridCol w:w="109"/>
                              <w:gridCol w:w="154"/>
                            </w:tblGrid>
                            <w:tr>
                              <w:trPr/>
                              <w:tc>
                                <w:tcPr>
                                  <w:tcW w:w="1008"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|Q3 FY2023 Form 10-Q</w:t>
                                  </w:r>
                                </w:p>
                              </w:tc>
                              <w:tc>
                                <w:tcPr>
                                  <w:tcW w:w="37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21</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162" w:type="dxa"/>
                        <w:jc w:val="right"/>
                        <w:tblInd w:w="0" w:type="dxa"/>
                        <w:tblCellMar>
                          <w:top w:w="28" w:type="dxa"/>
                          <w:left w:w="28" w:type="dxa"/>
                          <w:bottom w:w="28" w:type="dxa"/>
                          <w:right w:w="28" w:type="dxa"/>
                        </w:tblCellMar>
                      </w:tblPr>
                      <w:tblGrid>
                        <w:gridCol w:w="1008"/>
                        <w:gridCol w:w="889"/>
                        <w:gridCol w:w="893"/>
                        <w:gridCol w:w="109"/>
                        <w:gridCol w:w="109"/>
                        <w:gridCol w:w="154"/>
                      </w:tblGrid>
                      <w:tr>
                        <w:trPr/>
                        <w:tc>
                          <w:tcPr>
                            <w:tcW w:w="1008"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|Q3 FY2023 Form 10-Q</w:t>
                            </w:r>
                          </w:p>
                        </w:tc>
                        <w:tc>
                          <w:tcPr>
                            <w:tcW w:w="37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21</w:t>
                            </w:r>
                          </w:p>
                        </w:tc>
                      </w:tr>
                    </w:tbl>
                    <w:p>
                      <w:pPr>
                        <w:pStyle w:val="TextBody"/>
                        <w:spacing w:before="0" w:after="283"/>
                        <w:rPr/>
                      </w:pPr>
                      <w:r>
                        <w:rPr/>
                      </w:r>
                    </w:p>
                  </w:txbxContent>
                </v:textbox>
              </v:rect>
            </w:pict>
          </mc:Fallback>
        </mc:AlternateContent>
      </w:r>
    </w:p>
    <w:p>
      <w:pPr>
        <w:pStyle w:val="TextBody"/>
        <w:spacing w:lineRule="auto" w:line="288" w:before="120" w:after="283"/>
        <w:rPr/>
      </w:pPr>
      <w:hyperlink w:anchor="ica06acc7160d4977b3f034161052416e_7">
        <w:r>
          <w:rPr>
            <w:rStyle w:val="InternetLink"/>
            <w:rFonts w:ascii="Calibri;sans-serif" w:hAnsi="Calibri;sans-serif"/>
            <w:b w:val="false"/>
            <w:color w:val="0000FF"/>
            <w:sz w:val="18"/>
            <w:u w:val="single"/>
          </w:rPr>
          <w:t>Table of Contents</w:t>
        </w:r>
      </w:hyperlink>
    </w:p>
    <w:p>
      <w:pPr>
        <w:pStyle w:val="TextBody"/>
        <w:spacing w:lineRule="auto" w:line="288" w:before="120" w:after="283"/>
        <w:ind w:left="0" w:right="0" w:firstLine="270"/>
        <w:jc w:val="both"/>
        <w:rPr/>
      </w:pPr>
      <w:r>
        <w:rPr>
          <w:rFonts w:ascii="Calibri;sans-serif" w:hAnsi="Calibri;sans-serif"/>
          <w:b/>
          <w:color w:val="000000"/>
          <w:sz w:val="20"/>
        </w:rPr>
        <w:t>CASH REQUIREMENTS</w:t>
      </w:r>
      <w:r>
        <w:rPr>
          <w:color w:val="000000"/>
        </w:rPr>
        <w:t xml:space="preserve"> –</w:t>
      </w:r>
    </w:p>
    <w:p>
      <w:pPr>
        <w:pStyle w:val="TextBody"/>
        <w:spacing w:lineRule="auto" w:line="288" w:before="120" w:after="283"/>
        <w:ind w:left="0" w:right="0" w:firstLine="270"/>
        <w:jc w:val="both"/>
        <w:rPr/>
      </w:pPr>
      <w:r>
        <w:rPr>
          <w:rFonts w:ascii="Calibri;sans-serif" w:hAnsi="Calibri;sans-serif"/>
          <w:b/>
          <w:color w:val="000000"/>
          <w:sz w:val="20"/>
        </w:rPr>
        <w:t>Dividends and Share Repurchases.</w:t>
      </w:r>
      <w:r>
        <w:rPr>
          <w:color w:val="000000"/>
        </w:rPr>
        <w:t xml:space="preserve"> </w:t>
      </w:r>
      <w:r>
        <w:rPr>
          <w:rFonts w:ascii="Calibri;sans-serif" w:hAnsi="Calibri;sans-serif"/>
          <w:b w:val="false"/>
          <w:color w:val="000000"/>
          <w:sz w:val="20"/>
        </w:rPr>
        <w:t>Returning capital to shareholders in the form of dividends and the repurchase of outstanding shares is, and has historically been, a significant component of our capital allocation plan.</w:t>
      </w:r>
    </w:p>
    <w:p>
      <w:pPr>
        <w:pStyle w:val="TextBody"/>
        <w:spacing w:lineRule="auto" w:line="288" w:before="120" w:after="283"/>
        <w:ind w:left="0" w:right="0" w:firstLine="270"/>
        <w:jc w:val="both"/>
        <w:rPr/>
      </w:pPr>
      <w:r>
        <w:rPr>
          <w:rFonts w:ascii="Calibri;sans-serif" w:hAnsi="Calibri;sans-serif"/>
          <w:b w:val="false"/>
          <w:color w:val="000000"/>
          <w:sz w:val="20"/>
        </w:rPr>
        <w:t xml:space="preserve">We have consistently paid quarterly dividends. Dividends paid totaled </w:t>
      </w:r>
      <w:r>
        <w:rPr>
          <w:rFonts w:ascii="Calibri;sans-serif" w:hAnsi="Calibri;sans-serif"/>
          <w:b w:val="false"/>
          <w:color w:val="000000"/>
          <w:sz w:val="20"/>
          <w:highlight w:val="white"/>
        </w:rPr>
        <w:t>$133.8 million</w:t>
      </w:r>
      <w:r>
        <w:rPr>
          <w:color w:val="000000"/>
        </w:rPr>
        <w:t xml:space="preserve"> </w:t>
      </w:r>
      <w:r>
        <w:rPr>
          <w:rFonts w:ascii="Calibri;sans-serif" w:hAnsi="Calibri;sans-serif"/>
          <w:b w:val="false"/>
          <w:color w:val="000000"/>
          <w:sz w:val="20"/>
        </w:rPr>
        <w:t xml:space="preserve">and </w:t>
      </w:r>
      <w:r>
        <w:rPr>
          <w:rFonts w:ascii="Calibri;sans-serif" w:hAnsi="Calibri;sans-serif"/>
          <w:b w:val="false"/>
          <w:color w:val="000000"/>
          <w:sz w:val="20"/>
          <w:highlight w:val="white"/>
        </w:rPr>
        <w:t>$143.4 million</w:t>
      </w:r>
      <w:r>
        <w:rPr>
          <w:color w:val="000000"/>
        </w:rPr>
        <w:t xml:space="preserve"> </w:t>
      </w:r>
      <w:r>
        <w:rPr>
          <w:rFonts w:ascii="Calibri;sans-serif" w:hAnsi="Calibri;sans-serif"/>
          <w:b w:val="false"/>
          <w:color w:val="000000"/>
          <w:sz w:val="20"/>
        </w:rPr>
        <w:t>for the nine months ended March 31, 2023 and 2022, respectively. Although we have historically paid dividends and plan to continue to do so, there can be no assurances that circumstances will not change in the future that could affect our ability or decisions to pay dividends.</w:t>
      </w:r>
    </w:p>
    <w:p>
      <w:pPr>
        <w:pStyle w:val="TextBody"/>
        <w:spacing w:lineRule="auto" w:line="288" w:before="120" w:after="283"/>
        <w:ind w:left="0" w:right="0" w:firstLine="225"/>
        <w:jc w:val="both"/>
        <w:rPr>
          <w:rFonts w:ascii="Calibri;sans-serif" w:hAnsi="Calibri;sans-serif"/>
          <w:b w:val="false"/>
          <w:color w:val="000000"/>
          <w:sz w:val="20"/>
        </w:rPr>
      </w:pPr>
      <w:r>
        <w:rPr>
          <w:rFonts w:ascii="Calibri;sans-serif" w:hAnsi="Calibri;sans-serif"/>
          <w:b w:val="false"/>
          <w:color w:val="000000"/>
          <w:sz w:val="20"/>
        </w:rPr>
        <w:t>In August 2022, the Board of Directors approved a $1.25 billion share repurchase program, effective through fiscal year 2025. During the nine months ended March 31, 2023, we repurchased $350.1 million of our common stock at an average price of $42.86 per share. In the prior year period, we repurchased $550.3 million of our common stock at an average price of $23.84 per share. Our current share repurchase program has remaining authorization of $900.0 million, which is effective through June 2025.</w:t>
      </w:r>
    </w:p>
    <w:p>
      <w:pPr>
        <w:pStyle w:val="TextBody"/>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Share repurchases may be effectuated through open market transactions, some of which may be effectuated under SEC Rule 10b5-1. The Company may cancel, suspend, or extend the period for the purchase of shares at any time. Any repurchases will be funded primarily through available cash and cash from operations. Although we may continue to repurchase shares, there is no assurance that we will purchase up to the full Board authorization.</w:t>
      </w:r>
    </w:p>
    <w:p>
      <w:pPr>
        <w:pStyle w:val="TextBody"/>
        <w:spacing w:lineRule="auto" w:line="288" w:before="120" w:after="283"/>
        <w:jc w:val="both"/>
        <w:rPr/>
      </w:pPr>
      <w:r>
        <w:rPr>
          <w:color w:val="000000"/>
        </w:rPr>
        <w:t>    </w:t>
      </w:r>
      <w:r>
        <w:rPr>
          <w:rFonts w:ascii="Calibri;sans-serif" w:hAnsi="Calibri;sans-serif"/>
          <w:b/>
          <w:color w:val="000000"/>
          <w:sz w:val="20"/>
        </w:rPr>
        <w:t xml:space="preserve">Capital Investment. </w:t>
      </w:r>
      <w:r>
        <w:rPr>
          <w:rFonts w:ascii="Calibri;sans-serif" w:hAnsi="Calibri;sans-serif"/>
          <w:b w:val="false"/>
          <w:color w:val="000000"/>
          <w:sz w:val="20"/>
        </w:rPr>
        <w:t xml:space="preserve">Capital expenditures totaled $56.7 million and $52.7 million for the nine months ended March 31, 2023 and 2022, respectively. Our capital expenditures relate primarily to recurring improvements to retail offices, as well as investments in computers, software and related assets. In addition to our capital expenditures, we also made payments to acquire businesses. We acquired franchisee and competitor businesses totaling $47.7 million and $25.5 million during the nine months ended March 31, 2023 and 2022, respectively. See </w:t>
      </w:r>
      <w:hyperlink w:anchor="ica06acc7160d4977b3f034161052416e_46">
        <w:r>
          <w:rPr>
            <w:rStyle w:val="InternetLink"/>
            <w:rFonts w:ascii="Calibri;sans-serif" w:hAnsi="Calibri;sans-serif"/>
            <w:b w:val="false"/>
            <w:color w:val="0000FF"/>
            <w:sz w:val="20"/>
            <w:u w:val="single"/>
          </w:rPr>
          <w:t>Item 1, note 5</w:t>
        </w:r>
      </w:hyperlink>
      <w:r>
        <w:rPr>
          <w:color w:val="000000"/>
        </w:rPr>
        <w:t xml:space="preserve"> </w:t>
      </w:r>
      <w:r>
        <w:rPr>
          <w:rFonts w:ascii="Calibri;sans-serif" w:hAnsi="Calibri;sans-serif"/>
          <w:b w:val="false"/>
          <w:color w:val="000000"/>
          <w:sz w:val="20"/>
        </w:rPr>
        <w:t xml:space="preserve">for additional information on our acquisitions. </w:t>
      </w:r>
    </w:p>
    <w:p>
      <w:pPr>
        <w:pStyle w:val="TextBody"/>
        <w:spacing w:lineRule="auto" w:line="288" w:before="120" w:after="283"/>
        <w:ind w:left="0" w:right="0" w:firstLine="270"/>
        <w:jc w:val="both"/>
        <w:rPr/>
      </w:pPr>
      <w:r>
        <w:rPr>
          <w:rFonts w:ascii="Calibri;sans-serif" w:hAnsi="Calibri;sans-serif"/>
          <w:b/>
          <w:color w:val="000000"/>
          <w:sz w:val="20"/>
        </w:rPr>
        <w:t xml:space="preserve">FINANCING RESOURCES </w:t>
      </w:r>
      <w:r>
        <w:rPr>
          <w:color w:val="000000"/>
        </w:rPr>
        <w:t xml:space="preserve">– </w:t>
      </w:r>
      <w:r>
        <w:rPr>
          <w:rFonts w:ascii="Calibri;sans-serif" w:hAnsi="Calibri;sans-serif"/>
          <w:b w:val="false"/>
          <w:color w:val="000000"/>
          <w:sz w:val="20"/>
        </w:rPr>
        <w:t xml:space="preserve">The CLOC has capacity up to $1.5 billion and is scheduled to expire in June 2026. Proceeds under the CLOC may be used for working capital needs or for other general corporate purposes. We had no outstanding balance under our CLOC and amounts available to borrow were limited by the debt-to-EBITDA covenant to approximately $1.4 billion as of March 31, 2023. </w:t>
      </w:r>
    </w:p>
    <w:p>
      <w:pPr>
        <w:pStyle w:val="TextBody"/>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The following table provides ratings for debt issued by Block Financial LLC (Block Financial) as of March 31, 2023 and June 30, 2022:</w:t>
      </w:r>
    </w:p>
    <w:tbl>
      <w:tblPr>
        <w:tblW w:w="7684" w:type="dxa"/>
        <w:jc w:val="left"/>
        <w:tblInd w:w="0" w:type="dxa"/>
        <w:tblCellMar>
          <w:top w:w="28" w:type="dxa"/>
          <w:left w:w="28" w:type="dxa"/>
          <w:bottom w:w="28" w:type="dxa"/>
          <w:right w:w="28" w:type="dxa"/>
        </w:tblCellMar>
      </w:tblPr>
      <w:tblGrid>
        <w:gridCol w:w="266"/>
        <w:gridCol w:w="234"/>
        <w:gridCol w:w="236"/>
        <w:gridCol w:w="109"/>
        <w:gridCol w:w="109"/>
        <w:gridCol w:w="109"/>
        <w:gridCol w:w="305"/>
        <w:gridCol w:w="305"/>
        <w:gridCol w:w="306"/>
        <w:gridCol w:w="109"/>
        <w:gridCol w:w="109"/>
        <w:gridCol w:w="109"/>
        <w:gridCol w:w="290"/>
        <w:gridCol w:w="290"/>
        <w:gridCol w:w="291"/>
        <w:gridCol w:w="109"/>
        <w:gridCol w:w="109"/>
        <w:gridCol w:w="109"/>
        <w:gridCol w:w="229"/>
        <w:gridCol w:w="229"/>
        <w:gridCol w:w="233"/>
        <w:gridCol w:w="109"/>
        <w:gridCol w:w="109"/>
        <w:gridCol w:w="109"/>
        <w:gridCol w:w="305"/>
        <w:gridCol w:w="305"/>
        <w:gridCol w:w="306"/>
        <w:gridCol w:w="109"/>
        <w:gridCol w:w="109"/>
        <w:gridCol w:w="109"/>
        <w:gridCol w:w="290"/>
        <w:gridCol w:w="290"/>
        <w:gridCol w:w="291"/>
        <w:gridCol w:w="109"/>
        <w:gridCol w:w="109"/>
        <w:gridCol w:w="109"/>
        <w:gridCol w:w="211"/>
        <w:gridCol w:w="211"/>
        <w:gridCol w:w="299"/>
      </w:tblGrid>
      <w:tr>
        <w:trPr/>
        <w:tc>
          <w:tcPr>
            <w:tcW w:w="26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r>
      <w:tr>
        <w:trPr/>
        <w:tc>
          <w:tcPr>
            <w:tcW w:w="7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As of</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13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color w:val="000000"/>
                <w:sz w:val="18"/>
              </w:rPr>
            </w:pPr>
            <w:r>
              <w:rPr>
                <w:rFonts w:ascii="Calibri;sans-serif" w:hAnsi="Calibri;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162"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June 30, 2022</w:t>
            </w:r>
          </w:p>
        </w:tc>
      </w:tr>
      <w:tr>
        <w:trPr/>
        <w:tc>
          <w:tcPr>
            <w:tcW w:w="7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Short-term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Long-term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Outlook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Short-term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Long-term</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Outlook</w:t>
            </w:r>
          </w:p>
        </w:tc>
      </w:tr>
      <w:tr>
        <w:trPr/>
        <w:tc>
          <w:tcPr>
            <w:tcW w:w="7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Moody's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P-3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Baa3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Positive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P-3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Baa3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Stable</w:t>
            </w:r>
          </w:p>
        </w:tc>
      </w:tr>
      <w:tr>
        <w:trPr/>
        <w:tc>
          <w:tcPr>
            <w:tcW w:w="736"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S&amp;P</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916"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A-2</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871"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BBB</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691"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Stable</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916"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A-2</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871"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BBB</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721" w:type="dxa"/>
            <w:gridSpan w:val="3"/>
            <w:tcBorders>
              <w:bottom w:val="sing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Stable</w:t>
            </w:r>
          </w:p>
        </w:tc>
      </w:tr>
      <w:tr>
        <w:trPr/>
        <w:tc>
          <w:tcPr>
            <w:tcW w:w="7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Other than described above, there have been no material changes in our borrowings from those reported as of June 30, 2022 in our Annual Report to Shareholders on Form 10-K.</w:t>
      </w:r>
    </w:p>
    <w:p>
      <w:pPr>
        <w:pStyle w:val="TextBody"/>
        <w:spacing w:lineRule="auto" w:line="288" w:before="120" w:after="283"/>
        <w:ind w:left="0" w:right="0" w:firstLine="270"/>
        <w:jc w:val="both"/>
        <w:rPr/>
      </w:pPr>
      <w:r>
        <w:rPr>
          <w:rFonts w:ascii="Calibri;sans-serif" w:hAnsi="Calibri;sans-serif"/>
          <w:b/>
          <w:color w:val="000000"/>
          <w:sz w:val="20"/>
        </w:rPr>
        <w:t xml:space="preserve">CASH AND OTHER ASSETS </w:t>
      </w:r>
      <w:r>
        <w:rPr>
          <w:color w:val="000000"/>
        </w:rPr>
        <w:t xml:space="preserve">– </w:t>
      </w:r>
      <w:r>
        <w:rPr>
          <w:rFonts w:ascii="Calibri;sans-serif" w:hAnsi="Calibri;sans-serif"/>
          <w:b w:val="false"/>
          <w:color w:val="000000"/>
          <w:sz w:val="20"/>
        </w:rPr>
        <w:t>As of March 31, 2023, we held cash and cash equivalents, excluding restricted amounts, of $909.1 million, including $82.8 million held by our foreign subsidiaries.</w:t>
      </w:r>
    </w:p>
    <w:p>
      <w:pPr>
        <w:pStyle w:val="TextBody"/>
        <w:spacing w:lineRule="auto" w:line="288" w:before="120" w:after="283"/>
        <w:ind w:left="0" w:right="0" w:firstLine="270"/>
        <w:jc w:val="both"/>
        <w:rPr/>
      </w:pPr>
      <w:r>
        <w:rPr>
          <w:rFonts w:ascii="Calibri;sans-serif" w:hAnsi="Calibri;sans-serif"/>
          <w:b/>
          <w:color w:val="000000"/>
          <w:sz w:val="20"/>
        </w:rPr>
        <w:t>Foreign Operations.</w:t>
      </w:r>
      <w:r>
        <w:rPr>
          <w:color w:val="000000"/>
        </w:rPr>
        <w:t xml:space="preserve"> </w:t>
      </w:r>
      <w:r>
        <w:rPr>
          <w:rFonts w:ascii="Calibri;sans-serif" w:hAnsi="Calibri;sans-serif"/>
          <w:b w:val="false"/>
          <w:color w:val="000000"/>
          <w:sz w:val="20"/>
        </w:rPr>
        <w:t xml:space="preserve">Seasonal borrowing needs of our Canadian operations are typically funded by our U.S. operations. To mitigate foreign currency risk, we sometimes enter into foreign exchange forward contracts. There were no forward contracts outstanding as of March 31, 2023. </w:t>
      </w:r>
    </w:p>
    <w:p>
      <w:pPr>
        <w:pStyle w:val="TextBody"/>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We do not currently intend to repatriate non-borrowed funds held by our foreign subsidiaries in a manner that would trigger a material tax liability.</w:t>
      </w:r>
    </w:p>
    <w:p>
      <w:pPr>
        <w:pStyle w:val="TextBody"/>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The impact of changes in foreign exchange rates during the period on our international cash balances resulted in a decrease of $7.9 million and $1.7 million during the nine months ended March 31, 2023 and 2022, respectively.</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692265" cy="543560"/>
                <wp:effectExtent l="0" t="0" r="0" b="0"/>
                <wp:wrapNone/>
                <wp:docPr id="24" name="Frame24"/>
                <a:graphic xmlns:a="http://schemas.openxmlformats.org/drawingml/2006/main">
                  <a:graphicData uri="http://schemas.microsoft.com/office/word/2010/wordprocessingShape">
                    <wps:wsp>
                      <wps:cNvSpPr txBox="1"/>
                      <wps:spPr>
                        <a:xfrm>
                          <a:off x="0" y="0"/>
                          <a:ext cx="6692265" cy="543560"/>
                        </a:xfrm>
                        <a:prstGeom prst="rect"/>
                      </wps:spPr>
                      <wps:txbx>
                        <w:txbxContent>
                          <w:tbl>
                            <w:tblPr>
                              <w:tblW w:w="3131" w:type="dxa"/>
                              <w:jc w:val="left"/>
                              <w:tblInd w:w="0" w:type="dxa"/>
                              <w:tblCellMar>
                                <w:top w:w="28" w:type="dxa"/>
                                <w:left w:w="28" w:type="dxa"/>
                                <w:bottom w:w="28" w:type="dxa"/>
                                <w:right w:w="28" w:type="dxa"/>
                              </w:tblCellMar>
                            </w:tblPr>
                            <w:tblGrid>
                              <w:gridCol w:w="124"/>
                              <w:gridCol w:w="109"/>
                              <w:gridCol w:w="109"/>
                              <w:gridCol w:w="814"/>
                              <w:gridCol w:w="814"/>
                              <w:gridCol w:w="116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22</w:t>
                                  </w:r>
                                </w:p>
                              </w:tc>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Calibri;sans-serif" w:hAnsi="Calibri;sans-serif"/>
                                      <w:b w:val="false"/>
                                      <w:color w:val="000000"/>
                                      <w:sz w:val="16"/>
                                    </w:rPr>
                                    <w:t xml:space="preserve">Q3 FY2023 Form 10-Q| </w:t>
                                  </w:r>
                                  <w:r>
                                    <w:rPr>
                                      <w:rFonts w:ascii="Calibri;sans-serif" w:hAnsi="Calibri;sans-serif"/>
                                      <w:b/>
                                      <w:color w:val="000000"/>
                                      <w:sz w:val="16"/>
                                    </w:rPr>
                                    <w:t>H&amp;R Block, Inc.</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3131" w:type="dxa"/>
                        <w:jc w:val="left"/>
                        <w:tblInd w:w="0" w:type="dxa"/>
                        <w:tblCellMar>
                          <w:top w:w="28" w:type="dxa"/>
                          <w:left w:w="28" w:type="dxa"/>
                          <w:bottom w:w="28" w:type="dxa"/>
                          <w:right w:w="28" w:type="dxa"/>
                        </w:tblCellMar>
                      </w:tblPr>
                      <w:tblGrid>
                        <w:gridCol w:w="124"/>
                        <w:gridCol w:w="109"/>
                        <w:gridCol w:w="109"/>
                        <w:gridCol w:w="814"/>
                        <w:gridCol w:w="814"/>
                        <w:gridCol w:w="116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22</w:t>
                            </w:r>
                          </w:p>
                        </w:tc>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Calibri;sans-serif" w:hAnsi="Calibri;sans-serif"/>
                                <w:b w:val="false"/>
                                <w:color w:val="000000"/>
                                <w:sz w:val="16"/>
                              </w:rPr>
                              <w:t xml:space="preserve">Q3 FY2023 Form 10-Q| </w:t>
                            </w:r>
                            <w:r>
                              <w:rPr>
                                <w:rFonts w:ascii="Calibri;sans-serif" w:hAnsi="Calibri;sans-serif"/>
                                <w:b/>
                                <w:color w:val="000000"/>
                                <w:sz w:val="16"/>
                              </w:rPr>
                              <w:t>H&amp;R Block, Inc.</w:t>
                            </w:r>
                          </w:p>
                        </w:tc>
                      </w:tr>
                    </w:tbl>
                    <w:p>
                      <w:pPr>
                        <w:pStyle w:val="TextBody"/>
                        <w:spacing w:before="0" w:after="283"/>
                        <w:rPr/>
                      </w:pPr>
                      <w:r>
                        <w:rPr/>
                      </w:r>
                    </w:p>
                  </w:txbxContent>
                </v:textbox>
              </v:rect>
            </w:pict>
          </mc:Fallback>
        </mc:AlternateContent>
      </w:r>
    </w:p>
    <w:p>
      <w:pPr>
        <w:pStyle w:val="TextBody"/>
        <w:spacing w:lineRule="auto" w:line="288" w:before="120" w:after="283"/>
        <w:rPr/>
      </w:pPr>
      <w:hyperlink w:anchor="ica06acc7160d4977b3f034161052416e_7">
        <w:r>
          <w:rPr>
            <w:rStyle w:val="InternetLink"/>
            <w:rFonts w:ascii="Calibri;sans-serif" w:hAnsi="Calibri;sans-serif"/>
            <w:b w:val="false"/>
            <w:color w:val="0000FF"/>
            <w:sz w:val="18"/>
            <w:u w:val="single"/>
          </w:rPr>
          <w:t>Table of Contents</w:t>
        </w:r>
      </w:hyperlink>
    </w:p>
    <w:p>
      <w:pPr>
        <w:pStyle w:val="TextBody"/>
        <w:spacing w:lineRule="auto" w:line="288" w:before="120" w:after="283"/>
        <w:ind w:left="0" w:right="0" w:firstLine="270"/>
        <w:jc w:val="both"/>
        <w:rPr/>
      </w:pPr>
      <w:r>
        <w:rPr>
          <w:rFonts w:ascii="Calibri;sans-serif" w:hAnsi="Calibri;sans-serif"/>
          <w:b/>
          <w:color w:val="000000"/>
          <w:sz w:val="20"/>
        </w:rPr>
        <w:t>CONTRACTUAL OBLIGATIONS AND COMMERCIAL COMMITMENTS</w:t>
      </w:r>
      <w:r>
        <w:rPr>
          <w:color w:val="000000"/>
        </w:rPr>
        <w:t xml:space="preserve"> – </w:t>
      </w:r>
      <w:r>
        <w:rPr>
          <w:rFonts w:ascii="Calibri;sans-serif" w:hAnsi="Calibri;sans-serif"/>
          <w:b w:val="false"/>
          <w:color w:val="000000"/>
          <w:sz w:val="20"/>
        </w:rPr>
        <w:t>Emerald Advance</w:t>
      </w:r>
      <w:r>
        <w:rPr>
          <w:rFonts w:ascii="Calibri;sans-serif" w:hAnsi="Calibri;sans-serif"/>
          <w:b w:val="false"/>
          <w:color w:val="000000"/>
          <w:sz w:val="13"/>
        </w:rPr>
        <w:t>SM</w:t>
      </w:r>
      <w:r>
        <w:rPr>
          <w:color w:val="000000"/>
        </w:rPr>
        <w:t xml:space="preserve"> </w:t>
      </w:r>
      <w:r>
        <w:rPr>
          <w:rFonts w:ascii="Calibri;sans-serif" w:hAnsi="Calibri;sans-serif"/>
          <w:b w:val="false"/>
          <w:color w:val="000000"/>
          <w:sz w:val="20"/>
        </w:rPr>
        <w:t>lines of credit (EAs) are originated by Pathward</w:t>
      </w:r>
      <w:r>
        <w:rPr>
          <w:rFonts w:ascii="Calibri;sans-serif" w:hAnsi="Calibri;sans-serif"/>
          <w:b w:val="false"/>
          <w:color w:val="000000"/>
          <w:sz w:val="13"/>
        </w:rPr>
        <w:t xml:space="preserve">TM </w:t>
      </w:r>
      <w:r>
        <w:rPr>
          <w:rFonts w:ascii="Calibri;sans-serif" w:hAnsi="Calibri;sans-serif"/>
          <w:b w:val="false"/>
          <w:color w:val="000000"/>
          <w:sz w:val="20"/>
        </w:rPr>
        <w:t xml:space="preserve">N.A. (Pathward). We purchase a 90% participation interest, at par, in all EAs originated by Pathward in accordance with our participation agreement. See </w:t>
      </w:r>
      <w:hyperlink w:anchor="ica06acc7160d4977b3f034161052416e_43">
        <w:r>
          <w:rPr>
            <w:rStyle w:val="InternetLink"/>
            <w:rFonts w:ascii="Calibri;sans-serif" w:hAnsi="Calibri;sans-serif"/>
            <w:b w:val="false"/>
            <w:color w:val="0000FF"/>
            <w:sz w:val="20"/>
            <w:u w:val="single"/>
          </w:rPr>
          <w:t>Item 1, note 4</w:t>
        </w:r>
      </w:hyperlink>
      <w:r>
        <w:rPr>
          <w:color w:val="000000"/>
        </w:rPr>
        <w:t xml:space="preserve"> </w:t>
      </w:r>
      <w:r>
        <w:rPr>
          <w:rFonts w:ascii="Calibri;sans-serif" w:hAnsi="Calibri;sans-serif"/>
          <w:b w:val="false"/>
          <w:color w:val="000000"/>
          <w:sz w:val="20"/>
        </w:rPr>
        <w:t>to the consolidated financial statements for additional information about these balances.</w:t>
      </w:r>
    </w:p>
    <w:p>
      <w:pPr>
        <w:pStyle w:val="TextBody"/>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There have been no other material changes in our contractual obligations and commercial commitments from those reported in our June 30, 2022 Annual Report to Shareholders on Form 10-K.</w:t>
      </w:r>
    </w:p>
    <w:p>
      <w:pPr>
        <w:pStyle w:val="TextBody"/>
        <w:spacing w:lineRule="auto" w:line="288" w:before="120" w:after="283"/>
        <w:ind w:left="0" w:right="0" w:firstLine="270"/>
        <w:jc w:val="both"/>
        <w:rPr/>
      </w:pPr>
      <w:r>
        <w:rPr>
          <w:rFonts w:ascii="Calibri;sans-serif" w:hAnsi="Calibri;sans-serif"/>
          <w:b/>
          <w:color w:val="000000"/>
          <w:sz w:val="20"/>
        </w:rPr>
        <w:t>SUMMARIZED GUARANTOR FINANCIAL STATEMENTS</w:t>
      </w:r>
      <w:r>
        <w:rPr>
          <w:color w:val="000000"/>
        </w:rPr>
        <w:t xml:space="preserve"> – </w:t>
      </w:r>
      <w:r>
        <w:rPr>
          <w:rFonts w:ascii="Calibri;sans-serif" w:hAnsi="Calibri;sans-serif"/>
          <w:b w:val="false"/>
          <w:color w:val="000000"/>
          <w:sz w:val="20"/>
        </w:rPr>
        <w:t xml:space="preserve">Block Financial is a 100% owned subsidiary of H&amp;R Block, Inc. Block Financial is the Issuer and H&amp;R Block, Inc. is the full and unconditional Guarantor of our Senior Notes, CLOC and other indebtedness issued from time to time. </w:t>
      </w:r>
    </w:p>
    <w:p>
      <w:pPr>
        <w:pStyle w:val="TextBody"/>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The following table presents summarized financial information for H&amp;R Block, Inc. (Guarantor) and Block Financial (Issuer) on a combined basis after intercompany eliminations and excludes investments in and equity earnings in non-guarantor subsidiaries.</w:t>
      </w:r>
    </w:p>
    <w:tbl>
      <w:tblPr>
        <w:tblW w:w="7612" w:type="dxa"/>
        <w:jc w:val="left"/>
        <w:tblInd w:w="0" w:type="dxa"/>
        <w:tblCellMar>
          <w:top w:w="28" w:type="dxa"/>
          <w:left w:w="28" w:type="dxa"/>
          <w:bottom w:w="28" w:type="dxa"/>
          <w:right w:w="28" w:type="dxa"/>
        </w:tblCellMar>
      </w:tblPr>
      <w:tblGrid>
        <w:gridCol w:w="1650"/>
        <w:gridCol w:w="1451"/>
        <w:gridCol w:w="1459"/>
        <w:gridCol w:w="109"/>
        <w:gridCol w:w="109"/>
        <w:gridCol w:w="109"/>
        <w:gridCol w:w="252"/>
        <w:gridCol w:w="852"/>
        <w:gridCol w:w="140"/>
        <w:gridCol w:w="109"/>
        <w:gridCol w:w="109"/>
        <w:gridCol w:w="109"/>
        <w:gridCol w:w="227"/>
        <w:gridCol w:w="749"/>
        <w:gridCol w:w="178"/>
      </w:tblGrid>
      <w:tr>
        <w:trPr/>
        <w:tc>
          <w:tcPr>
            <w:tcW w:w="1650" w:type="dxa"/>
            <w:tcBorders/>
            <w:shd w:fill="auto" w:val="clear"/>
            <w:vAlign w:val="center"/>
          </w:tcPr>
          <w:p>
            <w:pPr>
              <w:pStyle w:val="TableContents"/>
              <w:spacing w:before="0" w:after="283"/>
              <w:rPr>
                <w:sz w:val="4"/>
                <w:szCs w:val="4"/>
              </w:rPr>
            </w:pPr>
            <w:r>
              <w:rPr>
                <w:sz w:val="4"/>
                <w:szCs w:val="4"/>
              </w:rPr>
            </w:r>
          </w:p>
        </w:tc>
        <w:tc>
          <w:tcPr>
            <w:tcW w:w="1451" w:type="dxa"/>
            <w:tcBorders/>
            <w:shd w:fill="auto" w:val="clear"/>
            <w:vAlign w:val="center"/>
          </w:tcPr>
          <w:p>
            <w:pPr>
              <w:pStyle w:val="TableContents"/>
              <w:spacing w:before="0" w:after="283"/>
              <w:rPr>
                <w:sz w:val="4"/>
                <w:szCs w:val="4"/>
              </w:rPr>
            </w:pPr>
            <w:r>
              <w:rPr>
                <w:sz w:val="4"/>
                <w:szCs w:val="4"/>
              </w:rPr>
            </w:r>
          </w:p>
        </w:tc>
        <w:tc>
          <w:tcPr>
            <w:tcW w:w="14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r>
      <w:tr>
        <w:trPr/>
        <w:tc>
          <w:tcPr>
            <w:tcW w:w="456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SUMMARIZED BALANCE SHEET - GUARANTOR AND ISSUER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w:t>
            </w:r>
          </w:p>
        </w:tc>
      </w:tr>
      <w:tr>
        <w:trPr/>
        <w:tc>
          <w:tcPr>
            <w:tcW w:w="45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As of</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June 30, 2022</w:t>
            </w:r>
          </w:p>
        </w:tc>
      </w:tr>
      <w:tr>
        <w:trPr/>
        <w:tc>
          <w:tcPr>
            <w:tcW w:w="45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Current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85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43,069</w:t>
            </w:r>
            <w:r>
              <w:rPr>
                <w:color w:val="000000"/>
              </w:rPr>
              <w:t> </w:t>
            </w:r>
          </w:p>
        </w:tc>
        <w:tc>
          <w:tcPr>
            <w:tcW w:w="14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4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38,922 </w:t>
            </w:r>
          </w:p>
        </w:tc>
        <w:tc>
          <w:tcPr>
            <w:tcW w:w="178"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Noncurrent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1,718,492</w:t>
            </w: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1,698,242 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81,271</w:t>
            </w: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75,855 </w:t>
            </w:r>
          </w:p>
        </w:tc>
        <w:tc>
          <w:tcPr>
            <w:tcW w:w="17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Noncurrent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1,493,576</w:t>
            </w: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1,495,732 </w:t>
            </w:r>
          </w:p>
        </w:tc>
        <w:tc>
          <w:tcPr>
            <w:tcW w:w="17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60"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244"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154"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10539" w:type="dxa"/>
        <w:jc w:val="left"/>
        <w:tblInd w:w="0" w:type="dxa"/>
        <w:tblCellMar>
          <w:top w:w="28" w:type="dxa"/>
          <w:left w:w="28" w:type="dxa"/>
          <w:bottom w:w="28" w:type="dxa"/>
          <w:right w:w="28" w:type="dxa"/>
        </w:tblCellMar>
      </w:tblPr>
      <w:tblGrid>
        <w:gridCol w:w="1356"/>
        <w:gridCol w:w="1187"/>
        <w:gridCol w:w="1145"/>
        <w:gridCol w:w="314"/>
        <w:gridCol w:w="314"/>
        <w:gridCol w:w="314"/>
        <w:gridCol w:w="565"/>
        <w:gridCol w:w="2167"/>
        <w:gridCol w:w="314"/>
        <w:gridCol w:w="109"/>
        <w:gridCol w:w="109"/>
        <w:gridCol w:w="109"/>
        <w:gridCol w:w="457"/>
        <w:gridCol w:w="1716"/>
        <w:gridCol w:w="363"/>
      </w:tblGrid>
      <w:tr>
        <w:trPr/>
        <w:tc>
          <w:tcPr>
            <w:tcW w:w="1356" w:type="dxa"/>
            <w:tcBorders/>
            <w:shd w:fill="auto" w:val="clear"/>
            <w:vAlign w:val="center"/>
          </w:tcPr>
          <w:p>
            <w:pPr>
              <w:pStyle w:val="TableContents"/>
              <w:spacing w:before="0" w:after="283"/>
              <w:rPr>
                <w:sz w:val="4"/>
                <w:szCs w:val="4"/>
              </w:rPr>
            </w:pPr>
            <w:r>
              <w:rPr>
                <w:sz w:val="4"/>
                <w:szCs w:val="4"/>
              </w:rPr>
            </w:r>
          </w:p>
        </w:tc>
        <w:tc>
          <w:tcPr>
            <w:tcW w:w="1187"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2167"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1716"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r>
      <w:tr>
        <w:trPr/>
        <w:tc>
          <w:tcPr>
            <w:tcW w:w="7676"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SUMMARIZED STATEMENTS OF OPERATIONS - GUARANTOR AND ISSUER</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w:t>
            </w:r>
          </w:p>
        </w:tc>
      </w:tr>
      <w:tr>
        <w:trPr/>
        <w:tc>
          <w:tcPr>
            <w:tcW w:w="368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0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Nine months ended 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5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Twelve months ended June 30, 2022</w:t>
            </w:r>
          </w:p>
        </w:tc>
      </w:tr>
      <w:tr>
        <w:trPr/>
        <w:tc>
          <w:tcPr>
            <w:tcW w:w="36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Total revenues</w:t>
            </w:r>
          </w:p>
        </w:tc>
        <w:tc>
          <w:tcPr>
            <w:tcW w:w="9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216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137,676</w:t>
            </w:r>
            <w:r>
              <w:rPr>
                <w:color w:val="000000"/>
              </w:rPr>
              <w:t> </w:t>
            </w:r>
          </w:p>
        </w:tc>
        <w:tc>
          <w:tcPr>
            <w:tcW w:w="31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7"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171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199,683 </w:t>
            </w:r>
          </w:p>
        </w:tc>
        <w:tc>
          <w:tcPr>
            <w:tcW w:w="36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Income from continuing operations before income taxes</w:t>
            </w:r>
          </w:p>
        </w:tc>
        <w:tc>
          <w:tcPr>
            <w:tcW w:w="9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23,904</w:t>
            </w:r>
            <w:r>
              <w:rPr>
                <w:color w:val="000000"/>
              </w:rPr>
              <w:t> </w:t>
            </w:r>
          </w:p>
        </w:tc>
        <w:tc>
          <w:tcPr>
            <w:tcW w:w="3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44,404 </w:t>
            </w:r>
          </w:p>
        </w:tc>
        <w:tc>
          <w:tcPr>
            <w:tcW w:w="3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income from continuing operations</w:t>
            </w:r>
          </w:p>
        </w:tc>
        <w:tc>
          <w:tcPr>
            <w:tcW w:w="9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21,027</w:t>
            </w:r>
            <w:r>
              <w:rPr>
                <w:color w:val="000000"/>
              </w:rPr>
              <w:t> </w:t>
            </w:r>
          </w:p>
        </w:tc>
        <w:tc>
          <w:tcPr>
            <w:tcW w:w="3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41,979 </w:t>
            </w:r>
          </w:p>
        </w:tc>
        <w:tc>
          <w:tcPr>
            <w:tcW w:w="363"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6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income</w:t>
            </w:r>
          </w:p>
        </w:tc>
        <w:tc>
          <w:tcPr>
            <w:tcW w:w="9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14,609</w:t>
            </w:r>
            <w:r>
              <w:rPr>
                <w:color w:val="000000"/>
              </w:rPr>
              <w:t> </w:t>
            </w:r>
          </w:p>
        </w:tc>
        <w:tc>
          <w:tcPr>
            <w:tcW w:w="3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35,007 </w:t>
            </w:r>
          </w:p>
        </w:tc>
        <w:tc>
          <w:tcPr>
            <w:tcW w:w="3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88"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942"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046"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536"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 xml:space="preserve">The table above reflects $1.7 billion and $1.6 billion of non-current intercompany receivables due to the Issuer from non-guarantor subsidiaries as of March 31, 2023 and June 30, 2022, respectively. </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283"/>
        <w:jc w:val="both"/>
        <w:rPr>
          <w:rFonts w:ascii="Calibri;sans-serif" w:hAnsi="Calibri;sans-serif"/>
          <w:b/>
          <w:color w:val="000000"/>
          <w:sz w:val="20"/>
        </w:rPr>
      </w:pPr>
      <w:r>
        <w:rPr>
          <w:rFonts w:ascii="Calibri;sans-serif" w:hAnsi="Calibri;sans-serif"/>
          <w:b/>
          <w:color w:val="000000"/>
          <w:sz w:val="20"/>
        </w:rPr>
        <w:t>REGULATORY ENVIRONMENT</w:t>
      </w:r>
    </w:p>
    <w:p>
      <w:pPr>
        <w:pStyle w:val="TextBody"/>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As previously disclosed, in 2017 the Consumer Financial Protection Bureau (CFPB) published its final rule regulating certain consumer credit products (Payday Rule), which the CFPB later limited by removing the mandatory underwriting provisions. Certain limited provisions of the Payday Rule became effective in 2018, but most provisions were scheduled to go into effect in 2019. Litigation in a federal district court in Texas had stayed that effective date, but on August 31, 2021 the judge in that litigation ruled in favor of the CFPB. The plaintiffs appealed, and, on October 14, 2021, the United States Court of Appeals for the Fifth Circuit extended the compliance deadline until after the appeal is resolved. On October 19, 2022, the appellate court found that the funding mechanism for the CFPB was unconstitutional and vacated the Payday Rule. On November 14, 2022, the CFPB filed a petition for review with the United States Supreme Court, which the Supreme Court granted on February 27, 2023.</w:t>
      </w:r>
    </w:p>
    <w:p>
      <w:pPr>
        <w:pStyle w:val="TextBody"/>
        <w:spacing w:lineRule="auto" w:line="288" w:before="120" w:after="283"/>
        <w:ind w:left="0" w:right="0" w:firstLine="270"/>
        <w:jc w:val="both"/>
        <w:rPr/>
      </w:pPr>
      <w:r>
        <w:rPr>
          <w:rFonts w:ascii="Calibri;sans-serif" w:hAnsi="Calibri;sans-serif"/>
          <w:b w:val="false"/>
          <w:color w:val="000000"/>
          <w:sz w:val="20"/>
        </w:rPr>
        <w:t>We are unsure whether, when, or in what form the Payday Rule will go into effect. Though we do not currently expect the Payday Rule to have a material adverse impact on Emerald Advance</w:t>
      </w:r>
      <w:r>
        <w:rPr>
          <w:rFonts w:ascii="Calibri;sans-serif" w:hAnsi="Calibri;sans-serif"/>
          <w:b w:val="false"/>
          <w:color w:val="000000"/>
          <w:sz w:val="13"/>
        </w:rPr>
        <w:t>SM</w:t>
      </w:r>
      <w:r>
        <w:rPr>
          <w:rFonts w:ascii="Calibri;sans-serif" w:hAnsi="Calibri;sans-serif"/>
          <w:b w:val="false"/>
          <w:color w:val="000000"/>
          <w:sz w:val="20"/>
        </w:rPr>
        <w:t>, our business, or our consolidated financial position, results of operations, and cash flows, we will continue to monitor and analyze the potential impact of any further developments on the Company.</w:t>
      </w:r>
    </w:p>
    <w:p>
      <w:pPr>
        <w:pStyle w:val="TextBody"/>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There have been no other material changes in our regulatory environment from what was reported in our June 30, 2022 Annual Report to Shareholders on Form 10-K.</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692265" cy="594995"/>
                <wp:effectExtent l="0" t="0" r="0" b="0"/>
                <wp:wrapNone/>
                <wp:docPr id="25" name="Frame25"/>
                <a:graphic xmlns:a="http://schemas.openxmlformats.org/drawingml/2006/main">
                  <a:graphicData uri="http://schemas.microsoft.com/office/word/2010/wordprocessingShape">
                    <wps:wsp>
                      <wps:cNvSpPr txBox="1"/>
                      <wps:spPr>
                        <a:xfrm>
                          <a:off x="0" y="0"/>
                          <a:ext cx="6692265" cy="594995"/>
                        </a:xfrm>
                        <a:prstGeom prst="rect"/>
                      </wps:spPr>
                      <wps:txbx>
                        <w:txbxContent>
                          <w:tbl>
                            <w:tblPr>
                              <w:tblW w:w="3162" w:type="dxa"/>
                              <w:jc w:val="right"/>
                              <w:tblInd w:w="0" w:type="dxa"/>
                              <w:tblCellMar>
                                <w:top w:w="28" w:type="dxa"/>
                                <w:left w:w="28" w:type="dxa"/>
                                <w:bottom w:w="28" w:type="dxa"/>
                                <w:right w:w="28" w:type="dxa"/>
                              </w:tblCellMar>
                            </w:tblPr>
                            <w:tblGrid>
                              <w:gridCol w:w="1008"/>
                              <w:gridCol w:w="889"/>
                              <w:gridCol w:w="893"/>
                              <w:gridCol w:w="109"/>
                              <w:gridCol w:w="109"/>
                              <w:gridCol w:w="154"/>
                            </w:tblGrid>
                            <w:tr>
                              <w:trPr/>
                              <w:tc>
                                <w:tcPr>
                                  <w:tcW w:w="1008"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|Q3 FY2023 Form 10-Q</w:t>
                                  </w:r>
                                </w:p>
                              </w:tc>
                              <w:tc>
                                <w:tcPr>
                                  <w:tcW w:w="37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23</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162" w:type="dxa"/>
                        <w:jc w:val="right"/>
                        <w:tblInd w:w="0" w:type="dxa"/>
                        <w:tblCellMar>
                          <w:top w:w="28" w:type="dxa"/>
                          <w:left w:w="28" w:type="dxa"/>
                          <w:bottom w:w="28" w:type="dxa"/>
                          <w:right w:w="28" w:type="dxa"/>
                        </w:tblCellMar>
                      </w:tblPr>
                      <w:tblGrid>
                        <w:gridCol w:w="1008"/>
                        <w:gridCol w:w="889"/>
                        <w:gridCol w:w="893"/>
                        <w:gridCol w:w="109"/>
                        <w:gridCol w:w="109"/>
                        <w:gridCol w:w="154"/>
                      </w:tblGrid>
                      <w:tr>
                        <w:trPr/>
                        <w:tc>
                          <w:tcPr>
                            <w:tcW w:w="1008"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|Q3 FY2023 Form 10-Q</w:t>
                            </w:r>
                          </w:p>
                        </w:tc>
                        <w:tc>
                          <w:tcPr>
                            <w:tcW w:w="37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23</w:t>
                            </w:r>
                          </w:p>
                        </w:tc>
                      </w:tr>
                    </w:tbl>
                    <w:p>
                      <w:pPr>
                        <w:pStyle w:val="TextBody"/>
                        <w:spacing w:before="0" w:after="283"/>
                        <w:rPr/>
                      </w:pPr>
                      <w:r>
                        <w:rPr/>
                      </w:r>
                    </w:p>
                  </w:txbxContent>
                </v:textbox>
              </v:rect>
            </w:pict>
          </mc:Fallback>
        </mc:AlternateContent>
      </w:r>
    </w:p>
    <w:p>
      <w:pPr>
        <w:pStyle w:val="TextBody"/>
        <w:spacing w:lineRule="auto" w:line="288" w:before="120" w:after="283"/>
        <w:rPr/>
      </w:pPr>
      <w:hyperlink w:anchor="ica06acc7160d4977b3f034161052416e_7">
        <w:r>
          <w:rPr>
            <w:rStyle w:val="InternetLink"/>
            <w:rFonts w:ascii="Calibri;sans-serif" w:hAnsi="Calibri;sans-serif"/>
            <w:b w:val="false"/>
            <w:color w:val="0000FF"/>
            <w:sz w:val="18"/>
            <w:u w:val="single"/>
          </w:rPr>
          <w:t>Table of Contents</w:t>
        </w:r>
      </w:hyperlink>
    </w:p>
    <w:p>
      <w:pPr>
        <w:pStyle w:val="TextBody"/>
        <w:spacing w:lineRule="auto" w:line="288" w:before="120" w:after="283"/>
        <w:rPr>
          <w:rFonts w:ascii="Calibri;sans-serif" w:hAnsi="Calibri;sans-serif"/>
          <w:b/>
          <w:color w:val="000000"/>
          <w:sz w:val="20"/>
        </w:rPr>
      </w:pPr>
      <w:r>
        <w:rPr>
          <w:rFonts w:ascii="Calibri;sans-serif" w:hAnsi="Calibri;sans-serif"/>
          <w:b/>
          <w:color w:val="000000"/>
          <w:sz w:val="20"/>
        </w:rPr>
        <w:t>NON-GAAP FINANCIAL INFORMATION</w:t>
      </w:r>
    </w:p>
    <w:p>
      <w:pPr>
        <w:pStyle w:val="TextBody"/>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Non-GAAP financial measures should not be considered as a substitute for, or superior to, measures of financial performance prepared in accordance with GAAP. Because these measures are not measures of financial performance under GAAP and are susceptible to varying calculations, they may not be comparable to similarly titled measures for other companies.</w:t>
      </w:r>
    </w:p>
    <w:p>
      <w:pPr>
        <w:pStyle w:val="TextBody"/>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We consider our non-GAAP financial measures to be performance measures and a useful metric for management and investors to evaluate and compare the ongoing operating performance of our business. We make adjustments for certain non-GAAP financial measures related to amortization of intangibles from acquisitions and goodwill impairments. We may consider whether other significant items that arise in the future should be excluded from our non-GAAP financial measures.</w:t>
      </w:r>
    </w:p>
    <w:p>
      <w:pPr>
        <w:pStyle w:val="TextBody"/>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We measure the performance of our business using a variety of metrics, including earnings before interest, taxes, depreciation and amortization (EBITDA) from continuing operations, adjusted EBITDA from continuing operations, adjusted diluted earnings per share from continuing operations, free cash flow and free cash flow yield. We also use EBITDA from continuing operations and pretax income of continuing operations, each subject to permitted adjustments, as performance metrics in incentive compensation calculations for our employees.</w:t>
      </w:r>
    </w:p>
    <w:p>
      <w:pPr>
        <w:pStyle w:val="TextBody"/>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The following is a reconciliation of net income to EBITDA from continuing operations, which is a non-GAAP financial measure:</w:t>
      </w:r>
    </w:p>
    <w:tbl>
      <w:tblPr>
        <w:tblW w:w="9551" w:type="dxa"/>
        <w:jc w:val="center"/>
        <w:tblInd w:w="0" w:type="dxa"/>
        <w:tblCellMar>
          <w:top w:w="28" w:type="dxa"/>
          <w:left w:w="28" w:type="dxa"/>
          <w:bottom w:w="28" w:type="dxa"/>
          <w:right w:w="28" w:type="dxa"/>
        </w:tblCellMar>
      </w:tblPr>
      <w:tblGrid>
        <w:gridCol w:w="1451"/>
        <w:gridCol w:w="1274"/>
        <w:gridCol w:w="1279"/>
        <w:gridCol w:w="109"/>
        <w:gridCol w:w="109"/>
        <w:gridCol w:w="109"/>
        <w:gridCol w:w="196"/>
        <w:gridCol w:w="751"/>
        <w:gridCol w:w="109"/>
        <w:gridCol w:w="109"/>
        <w:gridCol w:w="109"/>
        <w:gridCol w:w="109"/>
        <w:gridCol w:w="196"/>
        <w:gridCol w:w="736"/>
        <w:gridCol w:w="109"/>
        <w:gridCol w:w="109"/>
        <w:gridCol w:w="109"/>
        <w:gridCol w:w="109"/>
        <w:gridCol w:w="196"/>
        <w:gridCol w:w="751"/>
        <w:gridCol w:w="109"/>
        <w:gridCol w:w="109"/>
        <w:gridCol w:w="109"/>
        <w:gridCol w:w="109"/>
        <w:gridCol w:w="196"/>
        <w:gridCol w:w="736"/>
        <w:gridCol w:w="154"/>
      </w:tblGrid>
      <w:tr>
        <w:trPr/>
        <w:tc>
          <w:tcPr>
            <w:tcW w:w="1451" w:type="dxa"/>
            <w:tcBorders/>
            <w:shd w:fill="auto" w:val="clear"/>
            <w:vAlign w:val="center"/>
          </w:tcPr>
          <w:p>
            <w:pPr>
              <w:pStyle w:val="TableContents"/>
              <w:spacing w:before="0" w:after="283"/>
              <w:rPr>
                <w:sz w:val="4"/>
                <w:szCs w:val="4"/>
              </w:rPr>
            </w:pPr>
            <w:r>
              <w:rPr>
                <w:sz w:val="4"/>
                <w:szCs w:val="4"/>
              </w:rPr>
            </w:r>
          </w:p>
        </w:tc>
        <w:tc>
          <w:tcPr>
            <w:tcW w:w="1274"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08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w:t>
            </w:r>
          </w:p>
        </w:tc>
      </w:tr>
      <w:tr>
        <w:trPr/>
        <w:tc>
          <w:tcPr>
            <w:tcW w:w="400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2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Three months ended 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6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Nine months ended March 31,</w:t>
            </w:r>
          </w:p>
        </w:tc>
      </w:tr>
      <w:tr>
        <w:trPr/>
        <w:tc>
          <w:tcPr>
            <w:tcW w:w="40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2022</w:t>
            </w:r>
          </w:p>
        </w:tc>
      </w:tr>
      <w:tr>
        <w:trPr/>
        <w:tc>
          <w:tcPr>
            <w:tcW w:w="40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income - as reported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643,429</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673,177 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251,429</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330,971 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Discontinued operations,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2,648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1,796 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6,418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4,984 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income from continuing operations - as reported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646,077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674,973 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257,847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335,955 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Add back: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Income taxes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209,351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186,884 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78,254</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29,666 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22,298</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23,746 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57,107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69,661 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32,313</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36,116 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98,660</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107,462 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263,962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246,746 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234,021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206,789 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EBITDA from continuing operations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910,039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921,719 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491,868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542,744 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CCEEFF" w:val="clear"/>
            <w:tcMar>
              <w:left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692265" cy="543560"/>
                <wp:effectExtent l="0" t="0" r="0" b="0"/>
                <wp:wrapNone/>
                <wp:docPr id="26" name="Frame26"/>
                <a:graphic xmlns:a="http://schemas.openxmlformats.org/drawingml/2006/main">
                  <a:graphicData uri="http://schemas.microsoft.com/office/word/2010/wordprocessingShape">
                    <wps:wsp>
                      <wps:cNvSpPr txBox="1"/>
                      <wps:spPr>
                        <a:xfrm>
                          <a:off x="0" y="0"/>
                          <a:ext cx="6692265" cy="543560"/>
                        </a:xfrm>
                        <a:prstGeom prst="rect"/>
                      </wps:spPr>
                      <wps:txbx>
                        <w:txbxContent>
                          <w:tbl>
                            <w:tblPr>
                              <w:tblW w:w="3131" w:type="dxa"/>
                              <w:jc w:val="left"/>
                              <w:tblInd w:w="0" w:type="dxa"/>
                              <w:tblCellMar>
                                <w:top w:w="28" w:type="dxa"/>
                                <w:left w:w="28" w:type="dxa"/>
                                <w:bottom w:w="28" w:type="dxa"/>
                                <w:right w:w="28" w:type="dxa"/>
                              </w:tblCellMar>
                            </w:tblPr>
                            <w:tblGrid>
                              <w:gridCol w:w="124"/>
                              <w:gridCol w:w="109"/>
                              <w:gridCol w:w="109"/>
                              <w:gridCol w:w="814"/>
                              <w:gridCol w:w="814"/>
                              <w:gridCol w:w="116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24</w:t>
                                  </w:r>
                                </w:p>
                              </w:tc>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Calibri;sans-serif" w:hAnsi="Calibri;sans-serif"/>
                                      <w:b w:val="false"/>
                                      <w:color w:val="000000"/>
                                      <w:sz w:val="16"/>
                                    </w:rPr>
                                    <w:t xml:space="preserve">Q3 FY2023 Form 10-Q| </w:t>
                                  </w:r>
                                  <w:r>
                                    <w:rPr>
                                      <w:rFonts w:ascii="Calibri;sans-serif" w:hAnsi="Calibri;sans-serif"/>
                                      <w:b/>
                                      <w:color w:val="000000"/>
                                      <w:sz w:val="16"/>
                                    </w:rPr>
                                    <w:t>H&amp;R Block, Inc.</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3131" w:type="dxa"/>
                        <w:jc w:val="left"/>
                        <w:tblInd w:w="0" w:type="dxa"/>
                        <w:tblCellMar>
                          <w:top w:w="28" w:type="dxa"/>
                          <w:left w:w="28" w:type="dxa"/>
                          <w:bottom w:w="28" w:type="dxa"/>
                          <w:right w:w="28" w:type="dxa"/>
                        </w:tblCellMar>
                      </w:tblPr>
                      <w:tblGrid>
                        <w:gridCol w:w="124"/>
                        <w:gridCol w:w="109"/>
                        <w:gridCol w:w="109"/>
                        <w:gridCol w:w="814"/>
                        <w:gridCol w:w="814"/>
                        <w:gridCol w:w="116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24</w:t>
                            </w:r>
                          </w:p>
                        </w:tc>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Calibri;sans-serif" w:hAnsi="Calibri;sans-serif"/>
                                <w:b w:val="false"/>
                                <w:color w:val="000000"/>
                                <w:sz w:val="16"/>
                              </w:rPr>
                              <w:t xml:space="preserve">Q3 FY2023 Form 10-Q| </w:t>
                            </w:r>
                            <w:r>
                              <w:rPr>
                                <w:rFonts w:ascii="Calibri;sans-serif" w:hAnsi="Calibri;sans-serif"/>
                                <w:b/>
                                <w:color w:val="000000"/>
                                <w:sz w:val="16"/>
                              </w:rPr>
                              <w:t>H&amp;R Block, Inc.</w:t>
                            </w:r>
                          </w:p>
                        </w:tc>
                      </w:tr>
                    </w:tbl>
                    <w:p>
                      <w:pPr>
                        <w:pStyle w:val="TextBody"/>
                        <w:spacing w:before="0" w:after="283"/>
                        <w:rPr/>
                      </w:pPr>
                      <w:r>
                        <w:rPr/>
                      </w:r>
                    </w:p>
                  </w:txbxContent>
                </v:textbox>
              </v:rect>
            </w:pict>
          </mc:Fallback>
        </mc:AlternateContent>
      </w:r>
    </w:p>
    <w:p>
      <w:pPr>
        <w:pStyle w:val="TextBody"/>
        <w:spacing w:lineRule="auto" w:line="288" w:before="120" w:after="283"/>
        <w:rPr/>
      </w:pPr>
      <w:hyperlink w:anchor="ica06acc7160d4977b3f034161052416e_7">
        <w:r>
          <w:rPr>
            <w:rStyle w:val="InternetLink"/>
            <w:rFonts w:ascii="Calibri;sans-serif" w:hAnsi="Calibri;sans-serif"/>
            <w:b w:val="false"/>
            <w:color w:val="0000FF"/>
            <w:sz w:val="18"/>
            <w:u w:val="single"/>
          </w:rPr>
          <w:t>Table of Contents</w:t>
        </w:r>
      </w:hyperlink>
    </w:p>
    <w:p>
      <w:pPr>
        <w:pStyle w:val="TextBody"/>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The following is a reconciliation of our results from continuing operations to our adjusted results from continuing operations, which is a non-GAAP financial measure:</w:t>
      </w:r>
    </w:p>
    <w:tbl>
      <w:tblPr>
        <w:tblW w:w="10539" w:type="dxa"/>
        <w:jc w:val="left"/>
        <w:tblInd w:w="0" w:type="dxa"/>
        <w:tblCellMar>
          <w:top w:w="28" w:type="dxa"/>
          <w:left w:w="28" w:type="dxa"/>
          <w:bottom w:w="28" w:type="dxa"/>
          <w:right w:w="28" w:type="dxa"/>
        </w:tblCellMar>
      </w:tblPr>
      <w:tblGrid>
        <w:gridCol w:w="1809"/>
        <w:gridCol w:w="1588"/>
        <w:gridCol w:w="1593"/>
        <w:gridCol w:w="109"/>
        <w:gridCol w:w="109"/>
        <w:gridCol w:w="109"/>
        <w:gridCol w:w="196"/>
        <w:gridCol w:w="751"/>
        <w:gridCol w:w="109"/>
        <w:gridCol w:w="109"/>
        <w:gridCol w:w="109"/>
        <w:gridCol w:w="109"/>
        <w:gridCol w:w="196"/>
        <w:gridCol w:w="736"/>
        <w:gridCol w:w="109"/>
        <w:gridCol w:w="109"/>
        <w:gridCol w:w="109"/>
        <w:gridCol w:w="109"/>
        <w:gridCol w:w="196"/>
        <w:gridCol w:w="751"/>
        <w:gridCol w:w="109"/>
        <w:gridCol w:w="109"/>
        <w:gridCol w:w="109"/>
        <w:gridCol w:w="109"/>
        <w:gridCol w:w="196"/>
        <w:gridCol w:w="736"/>
        <w:gridCol w:w="156"/>
      </w:tblGrid>
      <w:tr>
        <w:trPr/>
        <w:tc>
          <w:tcPr>
            <w:tcW w:w="1809" w:type="dxa"/>
            <w:tcBorders/>
            <w:shd w:fill="auto" w:val="clear"/>
            <w:vAlign w:val="center"/>
          </w:tcPr>
          <w:p>
            <w:pPr>
              <w:pStyle w:val="TableContents"/>
              <w:spacing w:before="0" w:after="283"/>
              <w:rPr>
                <w:sz w:val="4"/>
                <w:szCs w:val="4"/>
              </w:rPr>
            </w:pPr>
            <w:r>
              <w:rPr>
                <w:sz w:val="4"/>
                <w:szCs w:val="4"/>
              </w:rPr>
            </w:r>
          </w:p>
        </w:tc>
        <w:tc>
          <w:tcPr>
            <w:tcW w:w="1588" w:type="dxa"/>
            <w:tcBorders/>
            <w:shd w:fill="auto" w:val="clear"/>
            <w:vAlign w:val="center"/>
          </w:tcPr>
          <w:p>
            <w:pPr>
              <w:pStyle w:val="TableContents"/>
              <w:spacing w:before="0" w:after="283"/>
              <w:rPr>
                <w:sz w:val="4"/>
                <w:szCs w:val="4"/>
              </w:rPr>
            </w:pPr>
            <w:r>
              <w:rPr>
                <w:sz w:val="4"/>
                <w:szCs w:val="4"/>
              </w:rPr>
            </w:r>
          </w:p>
        </w:tc>
        <w:tc>
          <w:tcPr>
            <w:tcW w:w="15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3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0539" w:type="dxa"/>
            <w:gridSpan w:val="27"/>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 except per share amounts)</w:t>
            </w:r>
          </w:p>
        </w:tc>
      </w:tr>
      <w:tr>
        <w:trPr/>
        <w:tc>
          <w:tcPr>
            <w:tcW w:w="499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2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Three months ended March 31,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471"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Calibri;sans-serif" w:hAnsi="Calibri;sans-serif"/>
                <w:b w:val="false"/>
                <w:color w:val="000000"/>
                <w:sz w:val="18"/>
              </w:rPr>
            </w:pPr>
            <w:r>
              <w:rPr>
                <w:rFonts w:ascii="Calibri;sans-serif" w:hAnsi="Calibri;sans-serif"/>
                <w:b w:val="false"/>
                <w:color w:val="000000"/>
                <w:sz w:val="18"/>
              </w:rPr>
              <w:t>Nine months ended March 31,</w:t>
            </w:r>
          </w:p>
        </w:tc>
      </w:tr>
      <w:tr>
        <w:trPr/>
        <w:tc>
          <w:tcPr>
            <w:tcW w:w="49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ind w:left="0" w:right="0" w:hanging="90"/>
              <w:jc w:val="right"/>
              <w:rPr>
                <w:rFonts w:ascii="Calibri;sans-serif" w:hAnsi="Calibri;sans-serif"/>
                <w:b w:val="false"/>
                <w:color w:val="000000"/>
                <w:sz w:val="18"/>
              </w:rPr>
            </w:pPr>
            <w:r>
              <w:rPr>
                <w:rFonts w:ascii="Calibri;sans-serif" w:hAnsi="Calibri;sans-serif"/>
                <w:b w:val="false"/>
                <w:color w:val="000000"/>
                <w:sz w:val="18"/>
              </w:rPr>
              <w:t>2022</w:t>
            </w:r>
          </w:p>
        </w:tc>
      </w:tr>
      <w:tr>
        <w:trPr/>
        <w:tc>
          <w:tcPr>
            <w:tcW w:w="49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Net income from continuing operations - as reported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646,077</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674,973 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257,847</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335,955 </w:t>
            </w:r>
          </w:p>
        </w:tc>
        <w:tc>
          <w:tcPr>
            <w:tcW w:w="1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Adjustments: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Amortization of intangibles related to acquisitions (pretax)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13,011</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13,979 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38,546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43,141 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Calibri;sans-serif" w:hAnsi="Calibri;sans-serif"/>
                <w:b w:val="false"/>
                <w:color w:val="000000"/>
                <w:sz w:val="18"/>
              </w:rPr>
              <w:t xml:space="preserve">Tax effect of adjustments </w:t>
            </w:r>
            <w:r>
              <w:rPr>
                <w:rFonts w:ascii="Calibri;sans-serif" w:hAnsi="Calibri;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(3,190)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(4,545)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color w:val="000000"/>
                <w:sz w:val="18"/>
              </w:rPr>
            </w:pPr>
            <w:r>
              <w:rPr>
                <w:rFonts w:ascii="Calibri;sans-serif" w:hAnsi="Calibri;sans-serif"/>
                <w:b/>
                <w:color w:val="000000"/>
                <w:sz w:val="18"/>
              </w:rPr>
              <w:t>(9,198)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(10,102)</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Adjusted net income from continuing operations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655,898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684,407 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287,195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368,994 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Diluted earnings per share from continuing operations - as reported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4.14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1.62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1.92 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Adjustments, net of tax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0.06</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0.18</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0.19 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49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Adjusted diluted earnings per share from continuing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4.20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1.80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2.11 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990"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088"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40" w:after="283"/>
        <w:ind w:left="0" w:right="0" w:hanging="180"/>
        <w:jc w:val="both"/>
        <w:rPr/>
      </w:pPr>
      <w:r>
        <w:rPr>
          <w:rFonts w:ascii="Calibri;sans-serif" w:hAnsi="Calibri;sans-serif"/>
          <w:b w:val="false"/>
          <w:color w:val="000000"/>
          <w:sz w:val="10"/>
        </w:rPr>
        <w:t>(1)</w:t>
      </w:r>
      <w:r>
        <w:rPr>
          <w:rFonts w:ascii="Calibri;sans-serif" w:hAnsi="Calibri;sans-serif"/>
          <w:b w:val="false"/>
          <w:color w:val="000000"/>
          <w:sz w:val="16"/>
        </w:rPr>
        <w:t>Tax effect of adjustments is the difference between the tax provision calculated on a GAAP basis and on an adjusted non-GAAP basis.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Calibri;sans-serif" w:hAnsi="Calibri;sans-serif"/>
          <w:b/>
          <w:color w:val="000000"/>
          <w:sz w:val="20"/>
        </w:rPr>
      </w:pPr>
      <w:r>
        <w:rPr>
          <w:rFonts w:ascii="Calibri;sans-serif" w:hAnsi="Calibri;sans-serif"/>
          <w:b/>
          <w:color w:val="000000"/>
          <w:sz w:val="20"/>
        </w:rPr>
        <w:t>FORWARD-LOOKING INFORMATION</w:t>
      </w:r>
    </w:p>
    <w:p>
      <w:pPr>
        <w:pStyle w:val="TextBody"/>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This report and other documents filed with the SEC may contain forward-looking statements. In addition, our senior management may make forward-looking statements orally to analysts, investors, the media and others. Forward-looking statements can be identified by the fact that they do not relate strictly to historical or current facts. They often include words or variation of words such as "expects," "anticipates," "intends," "plans," "believes," "commits," "seeks," "estimates," "projects," "forecasts," "targets," "would," "will," "should," "goal," "could," "may" or other similar expressions. Forward-looking statements provide management's current expectations or predictions of future conditions, events or results. All statements that address operating performance, events or developments that we expect or anticipate will occur in the future are forward-looking statements. They may include estimates of revenues, client trajectory, income, effective tax rate, earnings per share, cost savings, capital expenditures, dividends, share repurchases, liquidity, capital structure, market share, industry volumes or other financial items, descriptions of management's plans or objectives for future operations, services or products, or descriptions of assumptions underlying any of the above. They may also include the expected impact of the coronavirus (COVID–19) pandemic, including, without limitation, the impact on economic and financial markets, the Company's capital resources and financial condition, future expenditures, potential regulatory actions, such as extensions of tax filing deadlines or other related relief, changes in consumer behaviors and modifications to the Company's operations relating thereto.</w:t>
      </w:r>
    </w:p>
    <w:p>
      <w:pPr>
        <w:pStyle w:val="TextBody"/>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All forward-looking statements speak only as of the date they are made and reflect the Company's good faith beliefs, assumptions and expectations, but they are not guarantees of future performance or events. Furthermore, the Company disclaims any obligation to publicly update or revise any forward-looking statement to reflect changes in underlying assumptions, factors, or expectations, new information, data or methods, future events or other changes, except as required by law.</w:t>
      </w:r>
    </w:p>
    <w:p>
      <w:pPr>
        <w:pStyle w:val="TextBody"/>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By their nature, forward-looking statements are subject to risks and uncertainties that could cause actual results to differ materially from those suggested by the forward-looking statements. Factors that might cause such differences include, but are not limited to, a variety of economic, competitive, operational and regulatory factors, many of which are beyond the Company's control. In addition, factors that may cause the Company’s actual effective tax rate to differ from estimates include the Company’s actual results from operations compared to current estimates, future discrete items, changes in interpretations and assumptions the Company has made, future actions of the Company, and increases in applicable tax rates in jurisdictions where the Company operates. Investors should understand that it is not possible to predict or identify all such factors and, consequently, should not consider any such list to be a complete set of all potential risks or uncertainties.</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692265" cy="594995"/>
                <wp:effectExtent l="0" t="0" r="0" b="0"/>
                <wp:wrapNone/>
                <wp:docPr id="27" name="Frame27"/>
                <a:graphic xmlns:a="http://schemas.openxmlformats.org/drawingml/2006/main">
                  <a:graphicData uri="http://schemas.microsoft.com/office/word/2010/wordprocessingShape">
                    <wps:wsp>
                      <wps:cNvSpPr txBox="1"/>
                      <wps:spPr>
                        <a:xfrm>
                          <a:off x="0" y="0"/>
                          <a:ext cx="6692265" cy="594995"/>
                        </a:xfrm>
                        <a:prstGeom prst="rect"/>
                      </wps:spPr>
                      <wps:txbx>
                        <w:txbxContent>
                          <w:tbl>
                            <w:tblPr>
                              <w:tblW w:w="3162" w:type="dxa"/>
                              <w:jc w:val="right"/>
                              <w:tblInd w:w="0" w:type="dxa"/>
                              <w:tblCellMar>
                                <w:top w:w="28" w:type="dxa"/>
                                <w:left w:w="28" w:type="dxa"/>
                                <w:bottom w:w="28" w:type="dxa"/>
                                <w:right w:w="28" w:type="dxa"/>
                              </w:tblCellMar>
                            </w:tblPr>
                            <w:tblGrid>
                              <w:gridCol w:w="1008"/>
                              <w:gridCol w:w="889"/>
                              <w:gridCol w:w="893"/>
                              <w:gridCol w:w="109"/>
                              <w:gridCol w:w="109"/>
                              <w:gridCol w:w="154"/>
                            </w:tblGrid>
                            <w:tr>
                              <w:trPr/>
                              <w:tc>
                                <w:tcPr>
                                  <w:tcW w:w="1008"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|Q3 FY2023 Form 10-Q</w:t>
                                  </w:r>
                                </w:p>
                              </w:tc>
                              <w:tc>
                                <w:tcPr>
                                  <w:tcW w:w="37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25</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162" w:type="dxa"/>
                        <w:jc w:val="right"/>
                        <w:tblInd w:w="0" w:type="dxa"/>
                        <w:tblCellMar>
                          <w:top w:w="28" w:type="dxa"/>
                          <w:left w:w="28" w:type="dxa"/>
                          <w:bottom w:w="28" w:type="dxa"/>
                          <w:right w:w="28" w:type="dxa"/>
                        </w:tblCellMar>
                      </w:tblPr>
                      <w:tblGrid>
                        <w:gridCol w:w="1008"/>
                        <w:gridCol w:w="889"/>
                        <w:gridCol w:w="893"/>
                        <w:gridCol w:w="109"/>
                        <w:gridCol w:w="109"/>
                        <w:gridCol w:w="154"/>
                      </w:tblGrid>
                      <w:tr>
                        <w:trPr/>
                        <w:tc>
                          <w:tcPr>
                            <w:tcW w:w="1008"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|Q3 FY2023 Form 10-Q</w:t>
                            </w:r>
                          </w:p>
                        </w:tc>
                        <w:tc>
                          <w:tcPr>
                            <w:tcW w:w="37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25</w:t>
                            </w:r>
                          </w:p>
                        </w:tc>
                      </w:tr>
                    </w:tbl>
                    <w:p>
                      <w:pPr>
                        <w:pStyle w:val="TextBody"/>
                        <w:spacing w:before="0" w:after="283"/>
                        <w:rPr/>
                      </w:pPr>
                      <w:r>
                        <w:rPr/>
                      </w:r>
                    </w:p>
                  </w:txbxContent>
                </v:textbox>
              </v:rect>
            </w:pict>
          </mc:Fallback>
        </mc:AlternateContent>
      </w:r>
    </w:p>
    <w:p>
      <w:pPr>
        <w:pStyle w:val="TextBody"/>
        <w:spacing w:lineRule="auto" w:line="288" w:before="120" w:after="283"/>
        <w:rPr/>
      </w:pPr>
      <w:hyperlink w:anchor="ica06acc7160d4977b3f034161052416e_7">
        <w:r>
          <w:rPr>
            <w:rStyle w:val="InternetLink"/>
            <w:rFonts w:ascii="Calibri;sans-serif" w:hAnsi="Calibri;sans-serif"/>
            <w:b w:val="false"/>
            <w:color w:val="0000FF"/>
            <w:sz w:val="18"/>
            <w:u w:val="single"/>
          </w:rPr>
          <w:t>Table of Contents</w:t>
        </w:r>
      </w:hyperlink>
    </w:p>
    <w:p>
      <w:pPr>
        <w:pStyle w:val="TextBody"/>
        <w:spacing w:lineRule="auto" w:line="288" w:before="120" w:after="283"/>
        <w:ind w:left="0" w:right="0" w:firstLine="270"/>
        <w:jc w:val="both"/>
        <w:rPr>
          <w:rFonts w:ascii="Calibri;sans-serif" w:hAnsi="Calibri;sans-serif"/>
          <w:b w:val="false"/>
          <w:color w:val="000000"/>
          <w:sz w:val="20"/>
        </w:rPr>
      </w:pPr>
      <w:r>
        <w:rPr>
          <w:rFonts w:ascii="Calibri;sans-serif" w:hAnsi="Calibri;sans-serif"/>
          <w:b w:val="false"/>
          <w:color w:val="000000"/>
          <w:sz w:val="20"/>
        </w:rPr>
        <w:t>Details about risks, uncertainties and assumptions that could affect various aspects of our business are included throughout our Annual Report on Form 10-K for the fiscal year ended June 30, 2022 and are also described from time to time in other filings with the SEC. Investors should carefully consider all of these risks, and should pay particular attention to Item 1A, "Risk Factors," and Item 7 under "Critical Accounting Policies" of our Annual Report on Form 10-K for the fiscal year ended June 30, 2022.</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283"/>
        <w:ind w:left="0" w:right="0" w:hanging="1080"/>
        <w:rPr>
          <w:rFonts w:ascii="Calibri;sans-serif" w:hAnsi="Calibri;sans-serif"/>
          <w:b/>
          <w:color w:val="14AA40"/>
          <w:sz w:val="28"/>
        </w:rPr>
      </w:pPr>
      <w:r>
        <w:rPr>
          <w:rFonts w:ascii="Calibri;sans-serif" w:hAnsi="Calibri;sans-serif"/>
          <w:b/>
          <w:color w:val="14AA40"/>
          <w:sz w:val="28"/>
        </w:rPr>
        <w:t>ITEM 3.     QUANTITATIVE AND QUALITATIVE DISCLOSURES ABOUT MARKET RISK</w:t>
      </w:r>
    </w:p>
    <w:p>
      <w:pPr>
        <w:pStyle w:val="TextBody"/>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There have been no material changes in our market risks from those reported in our June 30, 2022 Annual Report to Shareholders on Form 10-K.</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60"/>
        <w:rPr>
          <w:rFonts w:ascii="Calibri;sans-serif" w:hAnsi="Calibri;sans-serif"/>
          <w:b/>
          <w:color w:val="14AA40"/>
          <w:sz w:val="28"/>
        </w:rPr>
      </w:pPr>
      <w:r>
        <w:rPr>
          <w:rFonts w:ascii="Calibri;sans-serif" w:hAnsi="Calibri;sans-serif"/>
          <w:b/>
          <w:color w:val="14AA40"/>
          <w:sz w:val="28"/>
        </w:rPr>
        <w:t>ITEM 4.     CONTROLS AND PROCEDURES</w:t>
      </w:r>
    </w:p>
    <w:p>
      <w:pPr>
        <w:pStyle w:val="TextBody"/>
        <w:spacing w:lineRule="auto" w:line="288" w:before="120" w:after="60"/>
        <w:jc w:val="both"/>
        <w:rPr/>
      </w:pPr>
      <w:r>
        <w:rPr>
          <w:rFonts w:ascii="Calibri;sans-serif" w:hAnsi="Calibri;sans-serif"/>
          <w:b/>
          <w:color w:val="000000"/>
          <w:sz w:val="20"/>
        </w:rPr>
        <w:t>EVALUATION OF DISCLOSURE CONTROLS AND PROCEDURES</w:t>
      </w:r>
      <w:r>
        <w:rPr>
          <w:color w:val="000000"/>
        </w:rPr>
        <w:t xml:space="preserve"> – </w:t>
      </w:r>
      <w:r>
        <w:rPr>
          <w:rFonts w:ascii="Calibri;sans-serif" w:hAnsi="Calibri;sans-serif"/>
          <w:b w:val="false"/>
          <w:color w:val="000000"/>
          <w:sz w:val="20"/>
        </w:rPr>
        <w:t>As of the end of the period covered by this Form 10-Q, management, under the supervision and with the participation of our Chief Executive Officer and Chief Financial Officer, evaluated the effectiveness of the design and operation of our disclosure controls and procedures (as defined in Exchange Act Rules 13a-15(e) and 15d-15(e)). Based on this evaluation, our Chief Executive Officer and Chief Financial Officer have concluded that our disclosure controls and procedures were effective as of the end of the period covered by this Quarterly Report on Form 10-Q.</w:t>
      </w:r>
    </w:p>
    <w:p>
      <w:pPr>
        <w:pStyle w:val="TextBody"/>
        <w:spacing w:lineRule="auto" w:line="288" w:before="120" w:after="60"/>
        <w:jc w:val="both"/>
        <w:rPr/>
      </w:pPr>
      <w:r>
        <w:rPr>
          <w:rFonts w:ascii="Calibri;sans-serif" w:hAnsi="Calibri;sans-serif"/>
          <w:b/>
          <w:color w:val="000000"/>
          <w:sz w:val="20"/>
        </w:rPr>
        <w:t>CHANGES IN INTERNAL CONTROL OVER FINANCIAL REPORTING</w:t>
      </w:r>
      <w:r>
        <w:rPr>
          <w:color w:val="000000"/>
        </w:rPr>
        <w:t xml:space="preserve"> – </w:t>
      </w:r>
      <w:r>
        <w:rPr>
          <w:rFonts w:ascii="Calibri;sans-serif" w:hAnsi="Calibri;sans-serif"/>
          <w:b w:val="false"/>
          <w:color w:val="000000"/>
          <w:sz w:val="20"/>
        </w:rPr>
        <w:t>There were no changes during the three months ended March 31, 2023 that materially affected, or are reasonably likely to materially affect, our internal control over financial reporting.</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692265" cy="543560"/>
                <wp:effectExtent l="0" t="0" r="0" b="0"/>
                <wp:wrapNone/>
                <wp:docPr id="28" name="Frame28"/>
                <a:graphic xmlns:a="http://schemas.openxmlformats.org/drawingml/2006/main">
                  <a:graphicData uri="http://schemas.microsoft.com/office/word/2010/wordprocessingShape">
                    <wps:wsp>
                      <wps:cNvSpPr txBox="1"/>
                      <wps:spPr>
                        <a:xfrm>
                          <a:off x="0" y="0"/>
                          <a:ext cx="6692265" cy="543560"/>
                        </a:xfrm>
                        <a:prstGeom prst="rect"/>
                      </wps:spPr>
                      <wps:txbx>
                        <w:txbxContent>
                          <w:tbl>
                            <w:tblPr>
                              <w:tblW w:w="3131" w:type="dxa"/>
                              <w:jc w:val="left"/>
                              <w:tblInd w:w="0" w:type="dxa"/>
                              <w:tblCellMar>
                                <w:top w:w="28" w:type="dxa"/>
                                <w:left w:w="28" w:type="dxa"/>
                                <w:bottom w:w="28" w:type="dxa"/>
                                <w:right w:w="28" w:type="dxa"/>
                              </w:tblCellMar>
                            </w:tblPr>
                            <w:tblGrid>
                              <w:gridCol w:w="124"/>
                              <w:gridCol w:w="109"/>
                              <w:gridCol w:w="109"/>
                              <w:gridCol w:w="814"/>
                              <w:gridCol w:w="814"/>
                              <w:gridCol w:w="116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26</w:t>
                                  </w:r>
                                </w:p>
                              </w:tc>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Calibri;sans-serif" w:hAnsi="Calibri;sans-serif"/>
                                      <w:b w:val="false"/>
                                      <w:color w:val="000000"/>
                                      <w:sz w:val="16"/>
                                    </w:rPr>
                                    <w:t xml:space="preserve">Q3 FY2023 Form 10-Q| </w:t>
                                  </w:r>
                                  <w:r>
                                    <w:rPr>
                                      <w:rFonts w:ascii="Calibri;sans-serif" w:hAnsi="Calibri;sans-serif"/>
                                      <w:b/>
                                      <w:color w:val="000000"/>
                                      <w:sz w:val="16"/>
                                    </w:rPr>
                                    <w:t>H&amp;R Block, Inc.</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3131" w:type="dxa"/>
                        <w:jc w:val="left"/>
                        <w:tblInd w:w="0" w:type="dxa"/>
                        <w:tblCellMar>
                          <w:top w:w="28" w:type="dxa"/>
                          <w:left w:w="28" w:type="dxa"/>
                          <w:bottom w:w="28" w:type="dxa"/>
                          <w:right w:w="28" w:type="dxa"/>
                        </w:tblCellMar>
                      </w:tblPr>
                      <w:tblGrid>
                        <w:gridCol w:w="124"/>
                        <w:gridCol w:w="109"/>
                        <w:gridCol w:w="109"/>
                        <w:gridCol w:w="814"/>
                        <w:gridCol w:w="814"/>
                        <w:gridCol w:w="116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26</w:t>
                            </w:r>
                          </w:p>
                        </w:tc>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Calibri;sans-serif" w:hAnsi="Calibri;sans-serif"/>
                                <w:b w:val="false"/>
                                <w:color w:val="000000"/>
                                <w:sz w:val="16"/>
                              </w:rPr>
                              <w:t xml:space="preserve">Q3 FY2023 Form 10-Q| </w:t>
                            </w:r>
                            <w:r>
                              <w:rPr>
                                <w:rFonts w:ascii="Calibri;sans-serif" w:hAnsi="Calibri;sans-serif"/>
                                <w:b/>
                                <w:color w:val="000000"/>
                                <w:sz w:val="16"/>
                              </w:rPr>
                              <w:t>H&amp;R Block, Inc.</w:t>
                            </w:r>
                          </w:p>
                        </w:tc>
                      </w:tr>
                    </w:tbl>
                    <w:p>
                      <w:pPr>
                        <w:pStyle w:val="TextBody"/>
                        <w:spacing w:before="0" w:after="283"/>
                        <w:rPr/>
                      </w:pPr>
                      <w:r>
                        <w:rPr/>
                      </w:r>
                    </w:p>
                  </w:txbxContent>
                </v:textbox>
              </v:rect>
            </w:pict>
          </mc:Fallback>
        </mc:AlternateContent>
      </w:r>
    </w:p>
    <w:p>
      <w:pPr>
        <w:pStyle w:val="TextBody"/>
        <w:spacing w:lineRule="auto" w:line="288" w:before="120" w:after="283"/>
        <w:rPr/>
      </w:pPr>
      <w:hyperlink w:anchor="ica06acc7160d4977b3f034161052416e_7">
        <w:r>
          <w:rPr>
            <w:rStyle w:val="InternetLink"/>
            <w:rFonts w:ascii="Calibri;sans-serif" w:hAnsi="Calibri;sans-serif"/>
            <w:b w:val="false"/>
            <w:color w:val="0000FF"/>
            <w:sz w:val="18"/>
            <w:u w:val="single"/>
          </w:rPr>
          <w:t>Table of Contents</w:t>
        </w:r>
      </w:hyperlink>
    </w:p>
    <w:p>
      <w:pPr>
        <w:pStyle w:val="TextBody"/>
        <w:spacing w:lineRule="auto" w:line="288" w:before="120" w:after="283"/>
        <w:rPr>
          <w:rFonts w:ascii="Calibri;sans-serif" w:hAnsi="Calibri;sans-serif"/>
          <w:b/>
          <w:color w:val="14AA40"/>
          <w:sz w:val="28"/>
        </w:rPr>
      </w:pPr>
      <w:r>
        <w:rPr>
          <w:rFonts w:ascii="Calibri;sans-serif" w:hAnsi="Calibri;sans-serif"/>
          <w:b/>
          <w:color w:val="14AA40"/>
          <w:sz w:val="28"/>
        </w:rPr>
        <w:t>PART II    OTHER INFORMATION</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Calibri;sans-serif" w:hAnsi="Calibri;sans-serif"/>
          <w:b/>
          <w:color w:val="14AA40"/>
          <w:sz w:val="28"/>
        </w:rPr>
      </w:pPr>
      <w:r>
        <w:rPr>
          <w:rFonts w:ascii="Calibri;sans-serif" w:hAnsi="Calibri;sans-serif"/>
          <w:b/>
          <w:color w:val="14AA40"/>
          <w:sz w:val="28"/>
        </w:rPr>
        <w:t>ITEM 1.     LEGAL PROCEEDINGS</w:t>
      </w:r>
    </w:p>
    <w:p>
      <w:pPr>
        <w:pStyle w:val="TextBody"/>
        <w:spacing w:lineRule="auto" w:line="288" w:before="120" w:after="283"/>
        <w:jc w:val="both"/>
        <w:rPr/>
      </w:pPr>
      <w:r>
        <w:rPr>
          <w:rFonts w:ascii="Calibri;sans-serif" w:hAnsi="Calibri;sans-serif"/>
          <w:b w:val="false"/>
          <w:color w:val="000000"/>
          <w:sz w:val="20"/>
        </w:rPr>
        <w:t xml:space="preserve">For a description of our material pending legal proceedings, see discussion in </w:t>
      </w:r>
      <w:hyperlink w:anchor="ica06acc7160d4977b3f034161052416e_61">
        <w:r>
          <w:rPr>
            <w:rStyle w:val="InternetLink"/>
            <w:rFonts w:ascii="Calibri;sans-serif" w:hAnsi="Calibri;sans-serif"/>
            <w:b w:val="false"/>
            <w:color w:val="0000FF"/>
            <w:sz w:val="20"/>
            <w:u w:val="single"/>
          </w:rPr>
          <w:t>Part I, Item 1, note 9</w:t>
        </w:r>
      </w:hyperlink>
      <w:r>
        <w:rPr>
          <w:color w:val="000000"/>
        </w:rPr>
        <w:t xml:space="preserve"> </w:t>
      </w:r>
      <w:r>
        <w:rPr>
          <w:rFonts w:ascii="Calibri;sans-serif" w:hAnsi="Calibri;sans-serif"/>
          <w:b w:val="false"/>
          <w:color w:val="000000"/>
          <w:sz w:val="20"/>
        </w:rPr>
        <w:t>to the consolidated financial statements.</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Calibri;sans-serif" w:hAnsi="Calibri;sans-serif"/>
          <w:b/>
          <w:color w:val="14AA40"/>
          <w:sz w:val="28"/>
        </w:rPr>
      </w:pPr>
      <w:r>
        <w:rPr>
          <w:rFonts w:ascii="Calibri;sans-serif" w:hAnsi="Calibri;sans-serif"/>
          <w:b/>
          <w:color w:val="14AA40"/>
          <w:sz w:val="28"/>
        </w:rPr>
        <w:t>ITEM 1A.    RISK FACTORS</w:t>
      </w:r>
    </w:p>
    <w:p>
      <w:pPr>
        <w:pStyle w:val="TextBody"/>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There have been no material changes in our risk factors from those reported in our June 30, 2022 Annual Report to Shareholders on Form 10-K.</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Calibri;sans-serif" w:hAnsi="Calibri;sans-serif"/>
          <w:b/>
          <w:color w:val="14AA40"/>
          <w:sz w:val="28"/>
        </w:rPr>
      </w:pPr>
      <w:r>
        <w:rPr>
          <w:rFonts w:ascii="Calibri;sans-serif" w:hAnsi="Calibri;sans-serif"/>
          <w:b/>
          <w:color w:val="14AA40"/>
          <w:sz w:val="28"/>
        </w:rPr>
        <w:t>ITEM 2.    UNREGISTERED SALES OF EQUITY SECURITIES AND USE OF PROCEEDS</w:t>
      </w:r>
    </w:p>
    <w:p>
      <w:pPr>
        <w:pStyle w:val="TextBody"/>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A summary of our purchases of H&amp;R Block common stock during the three months ended March 31, 2023 is as follows:</w:t>
      </w:r>
    </w:p>
    <w:tbl>
      <w:tblPr>
        <w:tblW w:w="9815" w:type="dxa"/>
        <w:jc w:val="left"/>
        <w:tblInd w:w="0" w:type="dxa"/>
        <w:tblCellMar>
          <w:top w:w="28" w:type="dxa"/>
          <w:left w:w="28" w:type="dxa"/>
          <w:bottom w:w="28" w:type="dxa"/>
          <w:right w:w="28" w:type="dxa"/>
        </w:tblCellMar>
      </w:tblPr>
      <w:tblGrid>
        <w:gridCol w:w="695"/>
        <w:gridCol w:w="609"/>
        <w:gridCol w:w="615"/>
        <w:gridCol w:w="109"/>
        <w:gridCol w:w="109"/>
        <w:gridCol w:w="109"/>
        <w:gridCol w:w="519"/>
        <w:gridCol w:w="519"/>
        <w:gridCol w:w="521"/>
        <w:gridCol w:w="109"/>
        <w:gridCol w:w="109"/>
        <w:gridCol w:w="109"/>
        <w:gridCol w:w="196"/>
        <w:gridCol w:w="571"/>
        <w:gridCol w:w="109"/>
        <w:gridCol w:w="109"/>
        <w:gridCol w:w="109"/>
        <w:gridCol w:w="109"/>
        <w:gridCol w:w="664"/>
        <w:gridCol w:w="664"/>
        <w:gridCol w:w="666"/>
        <w:gridCol w:w="109"/>
        <w:gridCol w:w="109"/>
        <w:gridCol w:w="109"/>
        <w:gridCol w:w="384"/>
        <w:gridCol w:w="1472"/>
        <w:gridCol w:w="303"/>
      </w:tblGrid>
      <w:tr>
        <w:trPr/>
        <w:tc>
          <w:tcPr>
            <w:tcW w:w="695"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1472"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r>
      <w:tr>
        <w:trPr/>
        <w:tc>
          <w:tcPr>
            <w:tcW w:w="9815" w:type="dxa"/>
            <w:gridSpan w:val="27"/>
            <w:tcBorders/>
            <w:shd w:fill="auto" w:val="clear"/>
            <w:tcMar>
              <w:top w:w="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6"/>
              </w:rPr>
            </w:pPr>
            <w:r>
              <w:rPr>
                <w:rFonts w:ascii="Calibri;sans-serif" w:hAnsi="Calibri;sans-serif"/>
                <w:b w:val="false"/>
                <w:color w:val="000000"/>
                <w:sz w:val="16"/>
              </w:rPr>
              <w:t>(in 000s, except per share amounts)</w:t>
            </w:r>
          </w:p>
        </w:tc>
      </w:tr>
      <w:tr>
        <w:trPr/>
        <w:tc>
          <w:tcPr>
            <w:tcW w:w="191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60" w:after="283"/>
              <w:jc w:val="right"/>
              <w:rPr/>
            </w:pPr>
            <w:r>
              <w:rPr>
                <w:rFonts w:ascii="Calibri;sans-serif" w:hAnsi="Calibri;sans-serif"/>
                <w:b w:val="false"/>
                <w:color w:val="000000"/>
                <w:sz w:val="18"/>
              </w:rPr>
              <w:t>Total Number of</w:t>
              <w:br/>
              <w:t xml:space="preserve">Shares Purchased </w:t>
            </w:r>
            <w:r>
              <w:rPr>
                <w:rFonts w:ascii="Calibri;sans-serif" w:hAnsi="Calibri;sans-serif"/>
                <w:b w:val="false"/>
                <w:color w:val="000000"/>
                <w:sz w:val="12"/>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rFonts w:ascii="Calibri;sans-serif" w:hAnsi="Calibri;sans-serif"/>
                <w:b w:val="false"/>
                <w:color w:val="000000"/>
                <w:sz w:val="18"/>
              </w:rPr>
            </w:pPr>
            <w:r>
              <w:rPr>
                <w:rFonts w:ascii="Calibri;sans-serif" w:hAnsi="Calibri;sans-serif"/>
                <w:b w:val="false"/>
                <w:color w:val="000000"/>
                <w:sz w:val="18"/>
              </w:rPr>
              <w:t>Average</w:t>
              <w:br/>
              <w:t>Price Paid</w:t>
              <w:br/>
              <w:t>per Share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99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60" w:after="283"/>
              <w:jc w:val="right"/>
              <w:rPr/>
            </w:pPr>
            <w:r>
              <w:rPr>
                <w:rFonts w:ascii="Calibri;sans-serif" w:hAnsi="Calibri;sans-serif"/>
                <w:b w:val="false"/>
                <w:color w:val="000000"/>
                <w:sz w:val="18"/>
              </w:rPr>
              <w:t>Total Number of Shares</w:t>
              <w:br/>
              <w:t xml:space="preserve">Purchased as Part of </w:t>
              <w:br/>
              <w:t>Publicly Announced Plans </w:t>
              <w:br/>
              <w:t xml:space="preserve">or Programs </w:t>
            </w:r>
            <w:r>
              <w:rPr>
                <w:rFonts w:ascii="Calibri;sans-serif" w:hAnsi="Calibri;sans-serif"/>
                <w:b w:val="false"/>
                <w:color w:val="000000"/>
                <w:sz w:val="12"/>
              </w:rPr>
              <w:t>(2)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1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60" w:after="283"/>
              <w:jc w:val="right"/>
              <w:rPr/>
            </w:pPr>
            <w:r>
              <w:rPr>
                <w:rFonts w:ascii="Calibri;sans-serif" w:hAnsi="Calibri;sans-serif"/>
                <w:b w:val="false"/>
                <w:color w:val="000000"/>
                <w:sz w:val="18"/>
              </w:rPr>
              <w:t>Maximum Dollar Value of</w:t>
              <w:br/>
              <w:t xml:space="preserve">Shares that May Yet Be </w:t>
              <w:br/>
              <w:t>Purchased Under the Plans </w:t>
              <w:br/>
              <w:t xml:space="preserve">or Programs </w:t>
            </w:r>
            <w:r>
              <w:rPr>
                <w:rFonts w:ascii="Calibri;sans-serif" w:hAnsi="Calibri;sans-serif"/>
                <w:b w:val="false"/>
                <w:color w:val="000000"/>
                <w:sz w:val="12"/>
              </w:rPr>
              <w:t>(2)</w:t>
            </w:r>
          </w:p>
        </w:tc>
      </w:tr>
      <w:tr>
        <w:trPr/>
        <w:tc>
          <w:tcPr>
            <w:tcW w:w="19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January 1 - January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2</w:t>
            </w:r>
            <w:r>
              <w:rPr>
                <w:color w:val="000000"/>
              </w:rPr>
              <w:t> </w:t>
            </w:r>
          </w:p>
        </w:tc>
        <w:tc>
          <w:tcPr>
            <w:tcW w:w="521"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57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35.35</w:t>
            </w:r>
            <w:r>
              <w:rPr>
                <w:color w:val="000000"/>
              </w:rPr>
              <w:t>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6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472"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900,000</w:t>
            </w:r>
            <w:r>
              <w:rPr>
                <w:color w:val="000000"/>
              </w:rPr>
              <w:t> </w:t>
            </w:r>
          </w:p>
        </w:tc>
        <w:tc>
          <w:tcPr>
            <w:tcW w:w="30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February 1 - February 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4</w:t>
            </w:r>
            <w:r>
              <w:rPr>
                <w:color w:val="000000"/>
              </w:rPr>
              <w:t> </w:t>
            </w:r>
          </w:p>
        </w:tc>
        <w:tc>
          <w:tcPr>
            <w:tcW w:w="5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39.44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472"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900,000</w:t>
            </w:r>
            <w:r>
              <w:rPr>
                <w:color w:val="000000"/>
              </w:rPr>
              <w:t> </w:t>
            </w:r>
          </w:p>
        </w:tc>
        <w:tc>
          <w:tcPr>
            <w:tcW w:w="3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18"/>
              </w:rPr>
            </w:pPr>
            <w:r>
              <w:rPr>
                <w:rFonts w:ascii="Calibri;sans-serif" w:hAnsi="Calibri;sans-serif"/>
                <w:b w:val="false"/>
                <w:color w:val="000000"/>
                <w:sz w:val="18"/>
              </w:rPr>
              <w:t>March 1 - March 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1472"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900,000</w:t>
            </w:r>
            <w:r>
              <w:rPr>
                <w:color w:val="000000"/>
              </w:rPr>
              <w:t> </w:t>
            </w:r>
          </w:p>
        </w:tc>
        <w:tc>
          <w:tcPr>
            <w:tcW w:w="3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6</w:t>
            </w:r>
            <w:r>
              <w:rPr>
                <w:color w:val="000000"/>
              </w:rPr>
              <w:t> </w:t>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color w:val="000000"/>
                <w:sz w:val="18"/>
              </w:rPr>
            </w:pPr>
            <w:r>
              <w:rPr>
                <w:rFonts w:ascii="Calibri;sans-serif" w:hAnsi="Calibri;sans-serif"/>
                <w:b/>
                <w:color w:val="000000"/>
                <w:sz w:val="18"/>
              </w:rPr>
              <w:t>$</w:t>
            </w:r>
          </w:p>
        </w:tc>
        <w:tc>
          <w:tcPr>
            <w:tcW w:w="57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Calibri;sans-serif" w:hAnsi="Calibri;sans-serif"/>
                <w:b/>
                <w:color w:val="000000"/>
                <w:sz w:val="18"/>
              </w:rPr>
              <w:t>38.27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559"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876"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1994" w:type="dxa"/>
            <w:gridSpan w:val="3"/>
            <w:tcBorders>
              <w:top w:val="single" w:sz="8" w:space="0" w:color="000000"/>
              <w:bottom w:val="single" w:sz="8" w:space="0" w:color="000000"/>
            </w:tcBorders>
            <w:shd w:fill="FFFFFF"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c>
          <w:tcPr>
            <w:tcW w:w="2159" w:type="dxa"/>
            <w:gridSpan w:val="3"/>
            <w:tcBorders>
              <w:bottom w:val="single" w:sz="8" w:space="0" w:color="000000"/>
            </w:tcBorders>
            <w:shd w:fill="FFFFFF"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180"/>
        <w:jc w:val="both"/>
        <w:rPr/>
      </w:pPr>
      <w:r>
        <w:rPr>
          <w:rFonts w:ascii="Calibri;sans-serif" w:hAnsi="Calibri;sans-serif"/>
          <w:b w:val="false"/>
          <w:color w:val="000000"/>
          <w:sz w:val="10"/>
        </w:rPr>
        <w:t>(1)</w:t>
      </w:r>
      <w:r>
        <w:rPr>
          <w:rFonts w:ascii="Calibri;sans-serif" w:hAnsi="Calibri;sans-serif"/>
          <w:b w:val="false"/>
          <w:color w:val="000000"/>
          <w:sz w:val="16"/>
        </w:rPr>
        <w:t xml:space="preserve">We purchased approximately </w:t>
      </w:r>
      <w:r>
        <w:rPr>
          <w:rFonts w:ascii="Calibri;sans-serif" w:hAnsi="Calibri;sans-serif"/>
          <w:b w:val="false"/>
          <w:color w:val="000000"/>
          <w:sz w:val="16"/>
          <w:highlight w:val="white"/>
        </w:rPr>
        <w:t>6 thousand</w:t>
      </w:r>
      <w:r>
        <w:rPr>
          <w:color w:val="000000"/>
        </w:rPr>
        <w:t xml:space="preserve"> </w:t>
      </w:r>
      <w:r>
        <w:rPr>
          <w:rFonts w:ascii="Calibri;sans-serif" w:hAnsi="Calibri;sans-serif"/>
          <w:b w:val="false"/>
          <w:color w:val="000000"/>
          <w:sz w:val="16"/>
        </w:rPr>
        <w:t xml:space="preserve">shares in connection with funding employee income tax withholding obligations arising upon the lapse of restrictions on restricted share units. </w:t>
      </w:r>
    </w:p>
    <w:p>
      <w:pPr>
        <w:pStyle w:val="TextBody"/>
        <w:spacing w:lineRule="auto" w:line="288" w:before="0" w:after="0"/>
        <w:ind w:left="0" w:right="0" w:hanging="180"/>
        <w:jc w:val="both"/>
        <w:rPr/>
      </w:pPr>
      <w:r>
        <w:rPr>
          <w:rFonts w:ascii="Calibri;sans-serif" w:hAnsi="Calibri;sans-serif"/>
          <w:b w:val="false"/>
          <w:color w:val="000000"/>
          <w:sz w:val="10"/>
        </w:rPr>
        <w:t>(2)</w:t>
      </w:r>
      <w:r>
        <w:rPr>
          <w:rFonts w:ascii="Calibri;sans-serif" w:hAnsi="Calibri;sans-serif"/>
          <w:b w:val="false"/>
          <w:color w:val="000000"/>
          <w:sz w:val="16"/>
        </w:rPr>
        <w:t>In August 2022, we announced that our Board of Directors approved a $1.25 billion share repurchase program, effective through June 2025.</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Calibri;sans-serif" w:hAnsi="Calibri;sans-serif"/>
          <w:b/>
          <w:color w:val="14AA40"/>
          <w:sz w:val="28"/>
        </w:rPr>
      </w:pPr>
      <w:r>
        <w:rPr>
          <w:rFonts w:ascii="Calibri;sans-serif" w:hAnsi="Calibri;sans-serif"/>
          <w:b/>
          <w:color w:val="14AA40"/>
          <w:sz w:val="28"/>
        </w:rPr>
        <w:t>ITEM 3.    DEFAULTS UPON SENIOR SECURITIES</w:t>
      </w:r>
    </w:p>
    <w:p>
      <w:pPr>
        <w:pStyle w:val="TextBody"/>
        <w:spacing w:lineRule="auto" w:line="288" w:before="120" w:after="283"/>
        <w:rPr>
          <w:rFonts w:ascii="Calibri;sans-serif" w:hAnsi="Calibri;sans-serif"/>
          <w:b w:val="false"/>
          <w:color w:val="000000"/>
          <w:sz w:val="20"/>
        </w:rPr>
      </w:pPr>
      <w:r>
        <w:rPr>
          <w:rFonts w:ascii="Calibri;sans-serif" w:hAnsi="Calibri;sans-serif"/>
          <w:b w:val="false"/>
          <w:color w:val="000000"/>
          <w:sz w:val="20"/>
        </w:rPr>
        <w:t>None.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Calibri;sans-serif" w:hAnsi="Calibri;sans-serif"/>
          <w:b/>
          <w:color w:val="14AA40"/>
          <w:sz w:val="28"/>
        </w:rPr>
      </w:pPr>
      <w:r>
        <w:rPr>
          <w:rFonts w:ascii="Calibri;sans-serif" w:hAnsi="Calibri;sans-serif"/>
          <w:b/>
          <w:color w:val="14AA40"/>
          <w:sz w:val="28"/>
        </w:rPr>
        <w:t>ITEM 4.    MINE SAFETY DISCLOSURES</w:t>
      </w:r>
    </w:p>
    <w:p>
      <w:pPr>
        <w:pStyle w:val="TextBody"/>
        <w:spacing w:lineRule="auto" w:line="288" w:before="120" w:after="283"/>
        <w:rPr>
          <w:rFonts w:ascii="Calibri;sans-serif" w:hAnsi="Calibri;sans-serif"/>
          <w:b w:val="false"/>
          <w:color w:val="000000"/>
          <w:sz w:val="20"/>
        </w:rPr>
      </w:pPr>
      <w:r>
        <w:rPr>
          <w:rFonts w:ascii="Calibri;sans-serif" w:hAnsi="Calibri;sans-serif"/>
          <w:b w:val="false"/>
          <w:color w:val="000000"/>
          <w:sz w:val="20"/>
        </w:rPr>
        <w:t>Not applicable.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TextBody"/>
        <w:spacing w:lineRule="auto" w:line="288" w:before="120" w:after="283"/>
        <w:rPr>
          <w:rFonts w:ascii="Calibri;sans-serif" w:hAnsi="Calibri;sans-serif"/>
          <w:b/>
          <w:color w:val="14AA40"/>
          <w:sz w:val="28"/>
        </w:rPr>
      </w:pPr>
      <w:r>
        <w:rPr>
          <w:rFonts w:ascii="Calibri;sans-serif" w:hAnsi="Calibri;sans-serif"/>
          <w:b/>
          <w:color w:val="14AA40"/>
          <w:sz w:val="28"/>
        </w:rPr>
        <w:t>ITEM 5.    OTHER INFORMATION</w:t>
      </w:r>
    </w:p>
    <w:p>
      <w:pPr>
        <w:pStyle w:val="TextBody"/>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None.</w:t>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692265" cy="594995"/>
                <wp:effectExtent l="0" t="0" r="0" b="0"/>
                <wp:wrapNone/>
                <wp:docPr id="29" name="Frame29"/>
                <a:graphic xmlns:a="http://schemas.openxmlformats.org/drawingml/2006/main">
                  <a:graphicData uri="http://schemas.microsoft.com/office/word/2010/wordprocessingShape">
                    <wps:wsp>
                      <wps:cNvSpPr txBox="1"/>
                      <wps:spPr>
                        <a:xfrm>
                          <a:off x="0" y="0"/>
                          <a:ext cx="6692265" cy="594995"/>
                        </a:xfrm>
                        <a:prstGeom prst="rect"/>
                      </wps:spPr>
                      <wps:txbx>
                        <w:txbxContent>
                          <w:tbl>
                            <w:tblPr>
                              <w:tblW w:w="3162" w:type="dxa"/>
                              <w:jc w:val="right"/>
                              <w:tblInd w:w="0" w:type="dxa"/>
                              <w:tblCellMar>
                                <w:top w:w="28" w:type="dxa"/>
                                <w:left w:w="28" w:type="dxa"/>
                                <w:bottom w:w="28" w:type="dxa"/>
                                <w:right w:w="28" w:type="dxa"/>
                              </w:tblCellMar>
                            </w:tblPr>
                            <w:tblGrid>
                              <w:gridCol w:w="1008"/>
                              <w:gridCol w:w="889"/>
                              <w:gridCol w:w="893"/>
                              <w:gridCol w:w="109"/>
                              <w:gridCol w:w="109"/>
                              <w:gridCol w:w="154"/>
                            </w:tblGrid>
                            <w:tr>
                              <w:trPr/>
                              <w:tc>
                                <w:tcPr>
                                  <w:tcW w:w="1008"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|Q3 FY2023 Form 10-Q</w:t>
                                  </w:r>
                                </w:p>
                              </w:tc>
                              <w:tc>
                                <w:tcPr>
                                  <w:tcW w:w="37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27</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162" w:type="dxa"/>
                        <w:jc w:val="right"/>
                        <w:tblInd w:w="0" w:type="dxa"/>
                        <w:tblCellMar>
                          <w:top w:w="28" w:type="dxa"/>
                          <w:left w:w="28" w:type="dxa"/>
                          <w:bottom w:w="28" w:type="dxa"/>
                          <w:right w:w="28" w:type="dxa"/>
                        </w:tblCellMar>
                      </w:tblPr>
                      <w:tblGrid>
                        <w:gridCol w:w="1008"/>
                        <w:gridCol w:w="889"/>
                        <w:gridCol w:w="893"/>
                        <w:gridCol w:w="109"/>
                        <w:gridCol w:w="109"/>
                        <w:gridCol w:w="154"/>
                      </w:tblGrid>
                      <w:tr>
                        <w:trPr/>
                        <w:tc>
                          <w:tcPr>
                            <w:tcW w:w="1008"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|Q3 FY2023 Form 10-Q</w:t>
                            </w:r>
                          </w:p>
                        </w:tc>
                        <w:tc>
                          <w:tcPr>
                            <w:tcW w:w="37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27</w:t>
                            </w:r>
                          </w:p>
                        </w:tc>
                      </w:tr>
                    </w:tbl>
                    <w:p>
                      <w:pPr>
                        <w:pStyle w:val="TextBody"/>
                        <w:spacing w:before="0" w:after="283"/>
                        <w:rPr/>
                      </w:pPr>
                      <w:r>
                        <w:rPr/>
                      </w:r>
                    </w:p>
                  </w:txbxContent>
                </v:textbox>
              </v:rect>
            </w:pict>
          </mc:Fallback>
        </mc:AlternateContent>
      </w:r>
    </w:p>
    <w:p>
      <w:pPr>
        <w:pStyle w:val="TextBody"/>
        <w:spacing w:lineRule="auto" w:line="288" w:before="0" w:after="0"/>
        <w:rPr/>
      </w:pPr>
      <w:hyperlink w:anchor="ica06acc7160d4977b3f034161052416e_7">
        <w:r>
          <w:rPr>
            <w:rStyle w:val="InternetLink"/>
            <w:rFonts w:ascii="Calibri;sans-serif" w:hAnsi="Calibri;sans-serif"/>
            <w:b w:val="false"/>
            <w:color w:val="0000FF"/>
            <w:sz w:val="18"/>
            <w:u w:val="single"/>
          </w:rPr>
          <w:t>Table of Contents</w:t>
        </w:r>
      </w:hyperlink>
    </w:p>
    <w:p>
      <w:pPr>
        <w:pStyle w:val="TextBody"/>
        <w:spacing w:lineRule="auto" w:line="288" w:before="0" w:after="0"/>
        <w:rPr>
          <w:rFonts w:ascii="Calibri;sans-serif" w:hAnsi="Calibri;sans-serif"/>
          <w:b/>
          <w:color w:val="14AA40"/>
          <w:sz w:val="28"/>
        </w:rPr>
      </w:pPr>
      <w:r>
        <w:rPr>
          <w:rFonts w:ascii="Calibri;sans-serif" w:hAnsi="Calibri;sans-serif"/>
          <w:b/>
          <w:color w:val="14AA40"/>
          <w:sz w:val="28"/>
        </w:rPr>
        <w:t>ITEM 6.     EXHIBITS</w:t>
      </w:r>
    </w:p>
    <w:p>
      <w:pPr>
        <w:pStyle w:val="TextBody"/>
        <w:spacing w:lineRule="auto" w:line="288" w:before="60" w:after="283"/>
        <w:jc w:val="both"/>
        <w:rPr>
          <w:rFonts w:ascii="Calibri;sans-serif" w:hAnsi="Calibri;sans-serif"/>
          <w:b w:val="false"/>
          <w:color w:val="000000"/>
          <w:sz w:val="20"/>
        </w:rPr>
      </w:pPr>
      <w:r>
        <w:rPr>
          <w:rFonts w:ascii="Calibri;sans-serif" w:hAnsi="Calibri;sans-serif"/>
          <w:b w:val="false"/>
          <w:color w:val="000000"/>
          <w:sz w:val="20"/>
        </w:rPr>
        <w:t>The following exhibits are numbered in accordance with the Exhibit Table of Item 601 of Regulation S-K:</w:t>
      </w:r>
    </w:p>
    <w:tbl>
      <w:tblPr>
        <w:tblW w:w="10539" w:type="dxa"/>
        <w:jc w:val="left"/>
        <w:tblInd w:w="0" w:type="dxa"/>
        <w:tblCellMar>
          <w:top w:w="28" w:type="dxa"/>
          <w:left w:w="28" w:type="dxa"/>
          <w:bottom w:w="28" w:type="dxa"/>
          <w:right w:w="28" w:type="dxa"/>
        </w:tblCellMar>
      </w:tblPr>
      <w:tblGrid>
        <w:gridCol w:w="240"/>
        <w:gridCol w:w="211"/>
        <w:gridCol w:w="212"/>
        <w:gridCol w:w="2946"/>
        <w:gridCol w:w="2865"/>
        <w:gridCol w:w="4065"/>
      </w:tblGrid>
      <w:tr>
        <w:trPr/>
        <w:tc>
          <w:tcPr>
            <w:tcW w:w="24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2946" w:type="dxa"/>
            <w:tcBorders/>
            <w:shd w:fill="auto" w:val="clear"/>
            <w:vAlign w:val="center"/>
          </w:tcPr>
          <w:p>
            <w:pPr>
              <w:pStyle w:val="TableContents"/>
              <w:spacing w:before="0" w:after="283"/>
              <w:rPr>
                <w:sz w:val="4"/>
                <w:szCs w:val="4"/>
              </w:rPr>
            </w:pPr>
            <w:r>
              <w:rPr>
                <w:sz w:val="4"/>
                <w:szCs w:val="4"/>
              </w:rPr>
            </w:r>
          </w:p>
        </w:tc>
        <w:tc>
          <w:tcPr>
            <w:tcW w:w="2865" w:type="dxa"/>
            <w:tcBorders/>
            <w:shd w:fill="auto" w:val="clear"/>
            <w:vAlign w:val="center"/>
          </w:tcPr>
          <w:p>
            <w:pPr>
              <w:pStyle w:val="TableContents"/>
              <w:spacing w:before="0" w:after="283"/>
              <w:rPr>
                <w:sz w:val="4"/>
                <w:szCs w:val="4"/>
              </w:rPr>
            </w:pPr>
            <w:r>
              <w:rPr>
                <w:sz w:val="4"/>
                <w:szCs w:val="4"/>
              </w:rPr>
            </w:r>
          </w:p>
        </w:tc>
        <w:tc>
          <w:tcPr>
            <w:tcW w:w="4065" w:type="dxa"/>
            <w:tcBorders/>
            <w:shd w:fill="auto" w:val="clear"/>
            <w:vAlign w:val="center"/>
          </w:tcPr>
          <w:p>
            <w:pPr>
              <w:pStyle w:val="TableContents"/>
              <w:spacing w:before="0" w:after="283"/>
              <w:rPr>
                <w:sz w:val="4"/>
                <w:szCs w:val="4"/>
              </w:rPr>
            </w:pPr>
            <w:r>
              <w:rPr>
                <w:sz w:val="4"/>
                <w:szCs w:val="4"/>
              </w:rPr>
            </w:r>
          </w:p>
        </w:tc>
      </w:tr>
      <w:tr>
        <w:trPr/>
        <w:tc>
          <w:tcPr>
            <w:tcW w:w="66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
              <w:r>
                <w:rPr>
                  <w:rStyle w:val="InternetLink"/>
                  <w:rFonts w:ascii="Calibri;sans-serif" w:hAnsi="Calibri;sans-serif"/>
                  <w:b w:val="false"/>
                  <w:color w:val="0000FF"/>
                  <w:sz w:val="20"/>
                  <w:u w:val="single"/>
                </w:rPr>
                <w:t>22</w:t>
              </w:r>
            </w:hyperlink>
          </w:p>
        </w:tc>
        <w:tc>
          <w:tcPr>
            <w:tcW w:w="9876" w:type="dxa"/>
            <w:gridSpan w:val="3"/>
            <w:tcBorders/>
            <w:shd w:fill="auto" w:val="clear"/>
            <w:tcMar>
              <w:top w:w="0" w:type="dxa"/>
              <w:left w:w="0" w:type="dxa"/>
              <w:bottom w:w="0" w:type="dxa"/>
              <w:right w:w="0" w:type="dxa"/>
            </w:tcMar>
            <w:vAlign w:val="center"/>
          </w:tcPr>
          <w:p>
            <w:pPr>
              <w:pStyle w:val="TableContents"/>
              <w:spacing w:lineRule="auto" w:line="268" w:before="0" w:after="0"/>
              <w:jc w:val="both"/>
              <w:rPr/>
            </w:pPr>
            <w:hyperlink r:id="rId3">
              <w:r>
                <w:rPr>
                  <w:rStyle w:val="InternetLink"/>
                  <w:rFonts w:ascii="Calibri;sans-serif" w:hAnsi="Calibri;sans-serif"/>
                  <w:b w:val="false"/>
                  <w:color w:val="0000FF"/>
                  <w:sz w:val="20"/>
                  <w:u w:val="single"/>
                </w:rPr>
                <w:t>List of Guarantor and Issuer Subsidiaries, filed as Exhibit 22 to the Company’s Annual Report on Form 10-K for the year ended June 30, 2022, file number 1-06089, is incorporated herein by reference.</w:t>
              </w:r>
            </w:hyperlink>
          </w:p>
        </w:tc>
      </w:tr>
      <w:tr>
        <w:trPr/>
        <w:tc>
          <w:tcPr>
            <w:tcW w:w="66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hrbq3fy23exhibit311.htm">
              <w:r>
                <w:rPr>
                  <w:rStyle w:val="InternetLink"/>
                  <w:rFonts w:ascii="Calibri;sans-serif" w:hAnsi="Calibri;sans-serif"/>
                  <w:b w:val="false"/>
                  <w:color w:val="0000FF"/>
                  <w:sz w:val="20"/>
                  <w:u w:val="single"/>
                </w:rPr>
                <w:t>31.1</w:t>
              </w:r>
            </w:hyperlink>
          </w:p>
        </w:tc>
        <w:tc>
          <w:tcPr>
            <w:tcW w:w="987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900"/>
              <w:jc w:val="both"/>
              <w:rPr/>
            </w:pPr>
            <w:hyperlink w:anchor="hrbq3fy23exhibit311.htm">
              <w:r>
                <w:rPr>
                  <w:rStyle w:val="InternetLink"/>
                  <w:rFonts w:ascii="Calibri;sans-serif" w:hAnsi="Calibri;sans-serif"/>
                  <w:b w:val="false"/>
                  <w:color w:val="0000FF"/>
                  <w:sz w:val="20"/>
                  <w:u w:val="single"/>
                </w:rPr>
                <w:t>Certification by Chief Executive Officer pursuant to Section 302 of the Sarbanes-Oxley Act of 2002.</w:t>
              </w:r>
            </w:hyperlink>
          </w:p>
        </w:tc>
      </w:tr>
      <w:tr>
        <w:trPr/>
        <w:tc>
          <w:tcPr>
            <w:tcW w:w="66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hrbq3fy23exhibit312.htm">
              <w:r>
                <w:rPr>
                  <w:rStyle w:val="InternetLink"/>
                  <w:rFonts w:ascii="Calibri;sans-serif" w:hAnsi="Calibri;sans-serif"/>
                  <w:b w:val="false"/>
                  <w:color w:val="0000FF"/>
                  <w:sz w:val="20"/>
                  <w:u w:val="single"/>
                </w:rPr>
                <w:t>31.2</w:t>
              </w:r>
            </w:hyperlink>
          </w:p>
        </w:tc>
        <w:tc>
          <w:tcPr>
            <w:tcW w:w="987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900"/>
              <w:jc w:val="both"/>
              <w:rPr/>
            </w:pPr>
            <w:hyperlink w:anchor="hrbq3fy23exhibit312.htm">
              <w:r>
                <w:rPr>
                  <w:rStyle w:val="InternetLink"/>
                  <w:rFonts w:ascii="Calibri;sans-serif" w:hAnsi="Calibri;sans-serif"/>
                  <w:b w:val="false"/>
                  <w:color w:val="0000FF"/>
                  <w:sz w:val="20"/>
                  <w:u w:val="single"/>
                </w:rPr>
                <w:t>Certification by Chief Financial Officer pursuant to Section 302 of the Sarbanes-Oxley Act of 2002.</w:t>
              </w:r>
            </w:hyperlink>
          </w:p>
        </w:tc>
      </w:tr>
      <w:tr>
        <w:trPr/>
        <w:tc>
          <w:tcPr>
            <w:tcW w:w="66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hrbq3fy23exhibit321.htm">
              <w:r>
                <w:rPr>
                  <w:rStyle w:val="InternetLink"/>
                  <w:rFonts w:ascii="Calibri;sans-serif" w:hAnsi="Calibri;sans-serif"/>
                  <w:b w:val="false"/>
                  <w:color w:val="0000FF"/>
                  <w:sz w:val="20"/>
                  <w:u w:val="single"/>
                </w:rPr>
                <w:t>32.1</w:t>
              </w:r>
            </w:hyperlink>
          </w:p>
        </w:tc>
        <w:tc>
          <w:tcPr>
            <w:tcW w:w="9876"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pPr>
            <w:hyperlink w:anchor="hrbq3fy23exhibit321.htm">
              <w:r>
                <w:rPr>
                  <w:rStyle w:val="InternetLink"/>
                  <w:rFonts w:ascii="Calibri;sans-serif" w:hAnsi="Calibri;sans-serif"/>
                  <w:b w:val="false"/>
                  <w:color w:val="0000FF"/>
                  <w:sz w:val="20"/>
                  <w:u w:val="single"/>
                </w:rPr>
                <w:t>Certification by Chief Executive Officer pursuant to 18 U.S.C. 1350, as adopted by Section 906 of the Sarbanes-Oxley Act of 2002.</w:t>
              </w:r>
            </w:hyperlink>
          </w:p>
        </w:tc>
      </w:tr>
      <w:tr>
        <w:trPr/>
        <w:tc>
          <w:tcPr>
            <w:tcW w:w="663"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hrbq3fy23exhibit322.htm">
              <w:r>
                <w:rPr>
                  <w:rStyle w:val="InternetLink"/>
                  <w:rFonts w:ascii="Calibri;sans-serif" w:hAnsi="Calibri;sans-serif"/>
                  <w:b w:val="false"/>
                  <w:color w:val="0000FF"/>
                  <w:sz w:val="20"/>
                  <w:u w:val="single"/>
                </w:rPr>
                <w:t>32.2</w:t>
              </w:r>
            </w:hyperlink>
          </w:p>
        </w:tc>
        <w:tc>
          <w:tcPr>
            <w:tcW w:w="9876" w:type="dxa"/>
            <w:gridSpan w:val="3"/>
            <w:tcBorders/>
            <w:shd w:fill="FFFFFF" w:val="clear"/>
            <w:tcMar>
              <w:top w:w="0" w:type="dxa"/>
              <w:left w:w="0" w:type="dxa"/>
              <w:bottom w:w="0" w:type="dxa"/>
              <w:right w:w="0" w:type="dxa"/>
            </w:tcMar>
            <w:vAlign w:val="center"/>
          </w:tcPr>
          <w:p>
            <w:pPr>
              <w:pStyle w:val="TableContents"/>
              <w:spacing w:lineRule="auto" w:line="240" w:before="0" w:after="0"/>
              <w:jc w:val="both"/>
              <w:rPr/>
            </w:pPr>
            <w:hyperlink w:anchor="hrbq3fy23exhibit322.htm">
              <w:r>
                <w:rPr>
                  <w:rStyle w:val="InternetLink"/>
                  <w:rFonts w:ascii="Calibri;sans-serif" w:hAnsi="Calibri;sans-serif"/>
                  <w:b w:val="false"/>
                  <w:color w:val="0000FF"/>
                  <w:sz w:val="20"/>
                  <w:u w:val="single"/>
                </w:rPr>
                <w:t>Certification by Chief Financial Officer pursuant to 18 U.S.C. 1350, as adopted by Section 906 of the Sarbanes-Oxley Act of 2002.</w:t>
              </w:r>
            </w:hyperlink>
          </w:p>
        </w:tc>
      </w:tr>
      <w:tr>
        <w:trPr/>
        <w:tc>
          <w:tcPr>
            <w:tcW w:w="6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101.INS</w:t>
            </w:r>
          </w:p>
        </w:tc>
        <w:tc>
          <w:tcPr>
            <w:tcW w:w="9876" w:type="dxa"/>
            <w:gridSpan w:val="3"/>
            <w:tcBorders/>
            <w:shd w:fill="CCEEFF" w:val="clear"/>
            <w:tcMar>
              <w:top w:w="0" w:type="dxa"/>
              <w:left w:w="0" w:type="dxa"/>
              <w:bottom w:w="0" w:type="dxa"/>
              <w:right w:w="0" w:type="dxa"/>
            </w:tcMar>
            <w:vAlign w:val="center"/>
          </w:tcPr>
          <w:p>
            <w:pPr>
              <w:pStyle w:val="TableContents"/>
              <w:spacing w:lineRule="auto" w:line="240" w:before="0" w:after="0"/>
              <w:jc w:val="both"/>
              <w:rPr>
                <w:rFonts w:ascii="Calibri;sans-serif" w:hAnsi="Calibri;sans-serif"/>
                <w:b w:val="false"/>
                <w:color w:val="000000"/>
                <w:sz w:val="20"/>
              </w:rPr>
            </w:pPr>
            <w:r>
              <w:rPr>
                <w:rFonts w:ascii="Calibri;sans-serif" w:hAnsi="Calibri;sans-serif"/>
                <w:b w:val="false"/>
                <w:color w:val="000000"/>
                <w:sz w:val="20"/>
              </w:rPr>
              <w:t>Inline XBRL Instance Document - the instance document does not appear in the Interactive Data File because its XBRL tags are embedded within the Inline XBRL document</w:t>
            </w:r>
          </w:p>
        </w:tc>
      </w:tr>
      <w:tr>
        <w:trPr/>
        <w:tc>
          <w:tcPr>
            <w:tcW w:w="6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101.SCH</w:t>
            </w:r>
          </w:p>
        </w:tc>
        <w:tc>
          <w:tcPr>
            <w:tcW w:w="987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900"/>
              <w:jc w:val="both"/>
              <w:rPr>
                <w:rFonts w:ascii="Calibri;sans-serif" w:hAnsi="Calibri;sans-serif"/>
                <w:b w:val="false"/>
                <w:color w:val="000000"/>
                <w:sz w:val="20"/>
              </w:rPr>
            </w:pPr>
            <w:r>
              <w:rPr>
                <w:rFonts w:ascii="Calibri;sans-serif" w:hAnsi="Calibri;sans-serif"/>
                <w:b w:val="false"/>
                <w:color w:val="000000"/>
                <w:sz w:val="20"/>
              </w:rPr>
              <w:t>Inline XBRL Taxonomy Extension Schema</w:t>
            </w:r>
          </w:p>
        </w:tc>
      </w:tr>
      <w:tr>
        <w:trPr/>
        <w:tc>
          <w:tcPr>
            <w:tcW w:w="6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101.CAL</w:t>
            </w:r>
          </w:p>
        </w:tc>
        <w:tc>
          <w:tcPr>
            <w:tcW w:w="987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900"/>
              <w:jc w:val="both"/>
              <w:rPr>
                <w:rFonts w:ascii="Calibri;sans-serif" w:hAnsi="Calibri;sans-serif"/>
                <w:b w:val="false"/>
                <w:color w:val="000000"/>
                <w:sz w:val="20"/>
              </w:rPr>
            </w:pPr>
            <w:r>
              <w:rPr>
                <w:rFonts w:ascii="Calibri;sans-serif" w:hAnsi="Calibri;sans-serif"/>
                <w:b w:val="false"/>
                <w:color w:val="000000"/>
                <w:sz w:val="20"/>
              </w:rPr>
              <w:t>Inline XBRL Extension Calculation Linkbase</w:t>
            </w:r>
          </w:p>
        </w:tc>
      </w:tr>
      <w:tr>
        <w:trPr/>
        <w:tc>
          <w:tcPr>
            <w:tcW w:w="6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101.LAB</w:t>
            </w:r>
          </w:p>
        </w:tc>
        <w:tc>
          <w:tcPr>
            <w:tcW w:w="987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900"/>
              <w:jc w:val="both"/>
              <w:rPr>
                <w:rFonts w:ascii="Calibri;sans-serif" w:hAnsi="Calibri;sans-serif"/>
                <w:b w:val="false"/>
                <w:color w:val="000000"/>
                <w:sz w:val="20"/>
              </w:rPr>
            </w:pPr>
            <w:r>
              <w:rPr>
                <w:rFonts w:ascii="Calibri;sans-serif" w:hAnsi="Calibri;sans-serif"/>
                <w:b w:val="false"/>
                <w:color w:val="000000"/>
                <w:sz w:val="20"/>
              </w:rPr>
              <w:t>Inline XBRL Taxonomy Extension Label Linkbase</w:t>
            </w:r>
          </w:p>
        </w:tc>
      </w:tr>
      <w:tr>
        <w:trPr/>
        <w:tc>
          <w:tcPr>
            <w:tcW w:w="6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101.PRE</w:t>
            </w:r>
          </w:p>
        </w:tc>
        <w:tc>
          <w:tcPr>
            <w:tcW w:w="9876"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900"/>
              <w:jc w:val="both"/>
              <w:rPr>
                <w:rFonts w:ascii="Calibri;sans-serif" w:hAnsi="Calibri;sans-serif"/>
                <w:b w:val="false"/>
                <w:color w:val="000000"/>
                <w:sz w:val="20"/>
              </w:rPr>
            </w:pPr>
            <w:r>
              <w:rPr>
                <w:rFonts w:ascii="Calibri;sans-serif" w:hAnsi="Calibri;sans-serif"/>
                <w:b w:val="false"/>
                <w:color w:val="000000"/>
                <w:sz w:val="20"/>
              </w:rPr>
              <w:t>Inline XBRL Taxonomy Extension Presentation Linkbase</w:t>
            </w:r>
          </w:p>
        </w:tc>
      </w:tr>
      <w:tr>
        <w:trPr/>
        <w:tc>
          <w:tcPr>
            <w:tcW w:w="6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101.DEF</w:t>
            </w:r>
          </w:p>
        </w:tc>
        <w:tc>
          <w:tcPr>
            <w:tcW w:w="9876"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900"/>
              <w:jc w:val="both"/>
              <w:rPr>
                <w:rFonts w:ascii="Calibri;sans-serif" w:hAnsi="Calibri;sans-serif"/>
                <w:b w:val="false"/>
                <w:color w:val="000000"/>
                <w:sz w:val="20"/>
              </w:rPr>
            </w:pPr>
            <w:r>
              <w:rPr>
                <w:rFonts w:ascii="Calibri;sans-serif" w:hAnsi="Calibri;sans-serif"/>
                <w:b w:val="false"/>
                <w:color w:val="000000"/>
                <w:sz w:val="20"/>
              </w:rPr>
              <w:t>Inline XBRL Taxonomy Extension Definition Linkbase</w:t>
            </w:r>
          </w:p>
        </w:tc>
      </w:tr>
      <w:tr>
        <w:trPr/>
        <w:tc>
          <w:tcPr>
            <w:tcW w:w="66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104</w:t>
            </w:r>
          </w:p>
        </w:tc>
        <w:tc>
          <w:tcPr>
            <w:tcW w:w="9876" w:type="dxa"/>
            <w:gridSpan w:val="3"/>
            <w:tcBorders/>
            <w:shd w:fill="CCEEFF" w:val="clear"/>
            <w:tcMar>
              <w:top w:w="0" w:type="dxa"/>
              <w:left w:w="0" w:type="dxa"/>
              <w:bottom w:w="0" w:type="dxa"/>
              <w:right w:w="0" w:type="dxa"/>
            </w:tcMar>
            <w:vAlign w:val="center"/>
          </w:tcPr>
          <w:p>
            <w:pPr>
              <w:pStyle w:val="TableContents"/>
              <w:spacing w:lineRule="auto" w:line="240" w:before="0" w:after="283"/>
              <w:jc w:val="both"/>
              <w:rPr>
                <w:rFonts w:ascii="Calibri;sans-serif" w:hAnsi="Calibri;sans-serif"/>
                <w:b w:val="false"/>
                <w:color w:val="000000"/>
                <w:sz w:val="20"/>
              </w:rPr>
            </w:pPr>
            <w:r>
              <w:rPr>
                <w:rFonts w:ascii="Calibri;sans-serif" w:hAnsi="Calibri;sans-serif"/>
                <w:b w:val="false"/>
                <w:color w:val="000000"/>
                <w:sz w:val="20"/>
              </w:rPr>
              <w:t>Cover Page Interactive Data File (formatted as Inline XBRL and contained in Exhibit 101)</w:t>
            </w:r>
          </w:p>
        </w:tc>
      </w:tr>
    </w:tbl>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2240" w:h="15840"/>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692265" cy="543560"/>
                <wp:effectExtent l="0" t="0" r="0" b="0"/>
                <wp:wrapNone/>
                <wp:docPr id="30" name="Frame30"/>
                <a:graphic xmlns:a="http://schemas.openxmlformats.org/drawingml/2006/main">
                  <a:graphicData uri="http://schemas.microsoft.com/office/word/2010/wordprocessingShape">
                    <wps:wsp>
                      <wps:cNvSpPr txBox="1"/>
                      <wps:spPr>
                        <a:xfrm>
                          <a:off x="0" y="0"/>
                          <a:ext cx="6692265" cy="543560"/>
                        </a:xfrm>
                        <a:prstGeom prst="rect"/>
                      </wps:spPr>
                      <wps:txbx>
                        <w:txbxContent>
                          <w:tbl>
                            <w:tblPr>
                              <w:tblW w:w="3131" w:type="dxa"/>
                              <w:jc w:val="left"/>
                              <w:tblInd w:w="0" w:type="dxa"/>
                              <w:tblCellMar>
                                <w:top w:w="28" w:type="dxa"/>
                                <w:left w:w="28" w:type="dxa"/>
                                <w:bottom w:w="28" w:type="dxa"/>
                                <w:right w:w="28" w:type="dxa"/>
                              </w:tblCellMar>
                            </w:tblPr>
                            <w:tblGrid>
                              <w:gridCol w:w="124"/>
                              <w:gridCol w:w="109"/>
                              <w:gridCol w:w="109"/>
                              <w:gridCol w:w="814"/>
                              <w:gridCol w:w="814"/>
                              <w:gridCol w:w="116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28</w:t>
                                  </w:r>
                                </w:p>
                              </w:tc>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Calibri;sans-serif" w:hAnsi="Calibri;sans-serif"/>
                                      <w:b w:val="false"/>
                                      <w:color w:val="000000"/>
                                      <w:sz w:val="16"/>
                                    </w:rPr>
                                    <w:t xml:space="preserve">Q3 FY2023 Form 10-Q| </w:t>
                                  </w:r>
                                  <w:r>
                                    <w:rPr>
                                      <w:rFonts w:ascii="Calibri;sans-serif" w:hAnsi="Calibri;sans-serif"/>
                                      <w:b/>
                                      <w:color w:val="000000"/>
                                      <w:sz w:val="16"/>
                                    </w:rPr>
                                    <w:t>H&amp;R Block, Inc.</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42.8pt;mso-wrap-distance-left:0pt;mso-wrap-distance-right:0pt;mso-wrap-distance-top:0pt;mso-wrap-distance-bottom:0pt;margin-top:0pt;mso-position-vertical:top;mso-position-vertical-relative:text;margin-left:0pt;mso-position-horizontal:left;mso-position-horizontal-relative:text">
                <v:textbox>
                  <w:txbxContent>
                    <w:tbl>
                      <w:tblPr>
                        <w:tblW w:w="3131" w:type="dxa"/>
                        <w:jc w:val="left"/>
                        <w:tblInd w:w="0" w:type="dxa"/>
                        <w:tblCellMar>
                          <w:top w:w="28" w:type="dxa"/>
                          <w:left w:w="28" w:type="dxa"/>
                          <w:bottom w:w="28" w:type="dxa"/>
                          <w:right w:w="28" w:type="dxa"/>
                        </w:tblCellMar>
                      </w:tblPr>
                      <w:tblGrid>
                        <w:gridCol w:w="124"/>
                        <w:gridCol w:w="109"/>
                        <w:gridCol w:w="109"/>
                        <w:gridCol w:w="814"/>
                        <w:gridCol w:w="814"/>
                        <w:gridCol w:w="116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28</w:t>
                            </w:r>
                          </w:p>
                        </w:tc>
                        <w:tc>
                          <w:tcPr>
                            <w:tcW w:w="278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Calibri;sans-serif" w:hAnsi="Calibri;sans-serif"/>
                                <w:b w:val="false"/>
                                <w:color w:val="000000"/>
                                <w:sz w:val="16"/>
                              </w:rPr>
                              <w:t xml:space="preserve">Q3 FY2023 Form 10-Q| </w:t>
                            </w:r>
                            <w:r>
                              <w:rPr>
                                <w:rFonts w:ascii="Calibri;sans-serif" w:hAnsi="Calibri;sans-serif"/>
                                <w:b/>
                                <w:color w:val="000000"/>
                                <w:sz w:val="16"/>
                              </w:rPr>
                              <w:t>H&amp;R Block, Inc.</w:t>
                            </w:r>
                          </w:p>
                        </w:tc>
                      </w:tr>
                    </w:tbl>
                    <w:p>
                      <w:pPr>
                        <w:pStyle w:val="TextBody"/>
                        <w:spacing w:before="0" w:after="283"/>
                        <w:rPr/>
                      </w:pPr>
                      <w:r>
                        <w:rPr/>
                      </w:r>
                    </w:p>
                  </w:txbxContent>
                </v:textbox>
              </v:rect>
            </w:pict>
          </mc:Fallback>
        </mc:AlternateContent>
      </w:r>
    </w:p>
    <w:p>
      <w:pPr>
        <w:pStyle w:val="TextBody"/>
        <w:spacing w:lineRule="auto" w:line="288" w:before="120" w:after="283"/>
        <w:rPr/>
      </w:pPr>
      <w:hyperlink w:anchor="ica06acc7160d4977b3f034161052416e_7">
        <w:r>
          <w:rPr>
            <w:rStyle w:val="InternetLink"/>
            <w:rFonts w:ascii="Calibri;sans-serif" w:hAnsi="Calibri;sans-serif"/>
            <w:b w:val="false"/>
            <w:color w:val="0000FF"/>
            <w:sz w:val="18"/>
            <w:u w:val="single"/>
          </w:rPr>
          <w:t>Table of Contents</w:t>
        </w:r>
      </w:hyperlink>
    </w:p>
    <w:p>
      <w:pPr>
        <w:pStyle w:val="TextBody"/>
        <w:spacing w:lineRule="auto" w:line="288" w:before="120" w:after="283"/>
        <w:jc w:val="center"/>
        <w:rPr>
          <w:rFonts w:ascii="Calibri;sans-serif" w:hAnsi="Calibri;sans-serif"/>
          <w:b/>
          <w:color w:val="000000"/>
          <w:sz w:val="20"/>
        </w:rPr>
      </w:pPr>
      <w:r>
        <w:rPr>
          <w:rFonts w:ascii="Calibri;sans-serif" w:hAnsi="Calibri;sans-serif"/>
          <w:b/>
          <w:color w:val="000000"/>
          <w:sz w:val="20"/>
        </w:rPr>
        <w:t>SIGNATURES</w:t>
      </w:r>
    </w:p>
    <w:p>
      <w:pPr>
        <w:pStyle w:val="TextBody"/>
        <w:spacing w:lineRule="auto" w:line="288" w:before="120" w:after="283"/>
        <w:jc w:val="both"/>
        <w:rPr>
          <w:rFonts w:ascii="Calibri;sans-serif" w:hAnsi="Calibri;sans-serif"/>
          <w:b w:val="false"/>
          <w:color w:val="000000"/>
          <w:sz w:val="20"/>
        </w:rPr>
      </w:pPr>
      <w:r>
        <w:rPr>
          <w:rFonts w:ascii="Calibri;sans-serif" w:hAnsi="Calibri;sans-serif"/>
          <w:b w:val="false"/>
          <w:color w:val="000000"/>
          <w:sz w:val="20"/>
        </w:rPr>
        <w:t>Pursuant to the requirements of the Securities Exchange Act of 1934, the registrant has duly caused this report to be signed on its behalf by the undersigned thereunto duly authorized.</w:t>
      </w:r>
    </w:p>
    <w:tbl>
      <w:tblPr>
        <w:tblW w:w="3059" w:type="dxa"/>
        <w:jc w:val="right"/>
        <w:tblInd w:w="0" w:type="dxa"/>
        <w:tblCellMar>
          <w:top w:w="28" w:type="dxa"/>
          <w:left w:w="28" w:type="dxa"/>
          <w:bottom w:w="28" w:type="dxa"/>
          <w:right w:w="28" w:type="dxa"/>
        </w:tblCellMar>
      </w:tblPr>
      <w:tblGrid>
        <w:gridCol w:w="977"/>
        <w:gridCol w:w="860"/>
        <w:gridCol w:w="1222"/>
      </w:tblGrid>
      <w:tr>
        <w:trPr/>
        <w:tc>
          <w:tcPr>
            <w:tcW w:w="977"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1222" w:type="dxa"/>
            <w:tcBorders/>
            <w:shd w:fill="auto" w:val="clear"/>
            <w:vAlign w:val="center"/>
          </w:tcPr>
          <w:p>
            <w:pPr>
              <w:pStyle w:val="TableContents"/>
              <w:spacing w:before="0" w:after="283"/>
              <w:rPr>
                <w:sz w:val="4"/>
                <w:szCs w:val="4"/>
              </w:rPr>
            </w:pPr>
            <w:r>
              <w:rPr>
                <w:sz w:val="4"/>
                <w:szCs w:val="4"/>
              </w:rPr>
            </w:r>
          </w:p>
        </w:tc>
      </w:tr>
      <w:tr>
        <w:trPr/>
        <w:tc>
          <w:tcPr>
            <w:tcW w:w="30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H&amp;R BLOCK, INC.</w:t>
            </w:r>
          </w:p>
        </w:tc>
      </w:tr>
      <w:tr>
        <w:trPr/>
        <w:tc>
          <w:tcPr>
            <w:tcW w:w="3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 Jeffrey J. Jones II</w:t>
            </w:r>
          </w:p>
        </w:tc>
      </w:tr>
      <w:tr>
        <w:trPr/>
        <w:tc>
          <w:tcPr>
            <w:tcW w:w="30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Jeffrey J. Jones II</w:t>
            </w:r>
          </w:p>
        </w:tc>
      </w:tr>
      <w:tr>
        <w:trPr/>
        <w:tc>
          <w:tcPr>
            <w:tcW w:w="30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President and Chief Executive Officer</w:t>
            </w:r>
          </w:p>
        </w:tc>
      </w:tr>
      <w:tr>
        <w:trPr/>
        <w:tc>
          <w:tcPr>
            <w:tcW w:w="30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May 9, 2023</w:t>
            </w:r>
          </w:p>
        </w:tc>
      </w:tr>
      <w:tr>
        <w:trPr/>
        <w:tc>
          <w:tcPr>
            <w:tcW w:w="3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 Tony G. Bowen</w:t>
            </w:r>
          </w:p>
        </w:tc>
      </w:tr>
      <w:tr>
        <w:trPr/>
        <w:tc>
          <w:tcPr>
            <w:tcW w:w="30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Tony G. Bowen</w:t>
            </w:r>
          </w:p>
        </w:tc>
      </w:tr>
      <w:tr>
        <w:trPr/>
        <w:tc>
          <w:tcPr>
            <w:tcW w:w="30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Chief Financial Officer</w:t>
            </w:r>
          </w:p>
        </w:tc>
      </w:tr>
      <w:tr>
        <w:trPr/>
        <w:tc>
          <w:tcPr>
            <w:tcW w:w="30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May 9, 2023</w:t>
            </w:r>
          </w:p>
        </w:tc>
      </w:tr>
      <w:tr>
        <w:trPr/>
        <w:tc>
          <w:tcPr>
            <w:tcW w:w="30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 Kellie J. Logerwell</w:t>
            </w:r>
          </w:p>
        </w:tc>
      </w:tr>
      <w:tr>
        <w:trPr/>
        <w:tc>
          <w:tcPr>
            <w:tcW w:w="30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Kellie J. Logerwell</w:t>
            </w:r>
          </w:p>
        </w:tc>
      </w:tr>
      <w:tr>
        <w:trPr/>
        <w:tc>
          <w:tcPr>
            <w:tcW w:w="30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Chief Accounting Officer</w:t>
            </w:r>
          </w:p>
        </w:tc>
      </w:tr>
      <w:tr>
        <w:trPr/>
        <w:tc>
          <w:tcPr>
            <w:tcW w:w="30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May 9, 2023</w:t>
            </w:r>
          </w:p>
        </w:tc>
      </w:tr>
    </w:tbl>
    <w:p>
      <w:pPr>
        <w:pStyle w:val="TextBody"/>
        <w:spacing w:before="120" w:after="283"/>
        <w:jc w:val="right"/>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Calibri;sans-serif" w:hAnsi="Calibri;sans-serif"/>
          <w:b w:val="false"/>
          <w:color w:val="000000"/>
          <w:sz w:val="20"/>
        </w:rPr>
      </w:pPr>
      <w:r>
        <w:rPr>
          <w:rFonts w:ascii="Calibri;sans-serif" w:hAnsi="Calibri;sans-serif"/>
          <w:b w:val="false"/>
          <w:color w:val="000000"/>
          <w:sz w:val="20"/>
        </w:rPr>
        <w:t>E</w:t>
      </w:r>
      <w:r>
        <w:rPr>
          <w:rFonts w:ascii="Calibri;sans-serif" w:hAnsi="Calibri;sans-serif"/>
          <w:b w:val="false"/>
          <w:color w:val="000000"/>
          <w:sz w:val="20"/>
        </w:rPr>
        <w:t>xhibit 31.1</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692265" cy="594995"/>
                <wp:effectExtent l="0" t="0" r="0" b="0"/>
                <wp:wrapNone/>
                <wp:docPr id="31" name="Frame31"/>
                <a:graphic xmlns:a="http://schemas.openxmlformats.org/drawingml/2006/main">
                  <a:graphicData uri="http://schemas.microsoft.com/office/word/2010/wordprocessingShape">
                    <wps:wsp>
                      <wps:cNvSpPr txBox="1"/>
                      <wps:spPr>
                        <a:xfrm>
                          <a:off x="0" y="0"/>
                          <a:ext cx="6692265" cy="594995"/>
                        </a:xfrm>
                        <a:prstGeom prst="rect"/>
                      </wps:spPr>
                      <wps:txbx>
                        <w:txbxContent>
                          <w:tbl>
                            <w:tblPr>
                              <w:tblW w:w="3162" w:type="dxa"/>
                              <w:jc w:val="right"/>
                              <w:tblInd w:w="0" w:type="dxa"/>
                              <w:tblCellMar>
                                <w:top w:w="28" w:type="dxa"/>
                                <w:left w:w="28" w:type="dxa"/>
                                <w:bottom w:w="28" w:type="dxa"/>
                                <w:right w:w="28" w:type="dxa"/>
                              </w:tblCellMar>
                            </w:tblPr>
                            <w:tblGrid>
                              <w:gridCol w:w="1008"/>
                              <w:gridCol w:w="889"/>
                              <w:gridCol w:w="893"/>
                              <w:gridCol w:w="109"/>
                              <w:gridCol w:w="109"/>
                              <w:gridCol w:w="154"/>
                            </w:tblGrid>
                            <w:tr>
                              <w:trPr/>
                              <w:tc>
                                <w:tcPr>
                                  <w:tcW w:w="1008"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|Q3 FY2023 Form 10-Q</w:t>
                                  </w:r>
                                </w:p>
                              </w:tc>
                              <w:tc>
                                <w:tcPr>
                                  <w:tcW w:w="37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29</w:t>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46.85pt;mso-wrap-distance-left:0pt;mso-wrap-distance-right:0pt;mso-wrap-distance-top:0pt;mso-wrap-distance-bottom:0pt;margin-top:0pt;mso-position-vertical:top;mso-position-vertical-relative:text;margin-left:-451.05pt;mso-position-horizontal:left;mso-position-horizontal-relative:text">
                <v:textbox>
                  <w:txbxContent>
                    <w:tbl>
                      <w:tblPr>
                        <w:tblW w:w="3162" w:type="dxa"/>
                        <w:jc w:val="right"/>
                        <w:tblInd w:w="0" w:type="dxa"/>
                        <w:tblCellMar>
                          <w:top w:w="28" w:type="dxa"/>
                          <w:left w:w="28" w:type="dxa"/>
                          <w:bottom w:w="28" w:type="dxa"/>
                          <w:right w:w="28" w:type="dxa"/>
                        </w:tblCellMar>
                      </w:tblPr>
                      <w:tblGrid>
                        <w:gridCol w:w="1008"/>
                        <w:gridCol w:w="889"/>
                        <w:gridCol w:w="893"/>
                        <w:gridCol w:w="109"/>
                        <w:gridCol w:w="109"/>
                        <w:gridCol w:w="154"/>
                      </w:tblGrid>
                      <w:tr>
                        <w:trPr/>
                        <w:tc>
                          <w:tcPr>
                            <w:tcW w:w="1008"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90"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Calibri;sans-serif" w:hAnsi="Calibri;sans-serif"/>
                                <w:b/>
                                <w:color w:val="000000"/>
                                <w:sz w:val="16"/>
                              </w:rPr>
                              <w:t>H&amp;R Block, Inc.</w:t>
                            </w:r>
                            <w:r>
                              <w:rPr>
                                <w:color w:val="000000"/>
                              </w:rPr>
                              <w:t xml:space="preserve"> </w:t>
                            </w:r>
                            <w:r>
                              <w:rPr>
                                <w:rFonts w:ascii="Calibri;sans-serif" w:hAnsi="Calibri;sans-serif"/>
                                <w:b w:val="false"/>
                                <w:color w:val="000000"/>
                                <w:sz w:val="16"/>
                              </w:rPr>
                              <w:t>|Q3 FY2023 Form 10-Q</w:t>
                            </w:r>
                          </w:p>
                        </w:tc>
                        <w:tc>
                          <w:tcPr>
                            <w:tcW w:w="372" w:type="dxa"/>
                            <w:gridSpan w:val="3"/>
                            <w:tcBorders/>
                            <w:shd w:fill="000000" w:val="clear"/>
                            <w:tcMar>
                              <w:top w:w="0" w:type="dxa"/>
                              <w:left w:w="0" w:type="dxa"/>
                              <w:bottom w:w="0" w:type="dxa"/>
                              <w:right w:w="0" w:type="dxa"/>
                            </w:tcMar>
                            <w:vAlign w:val="center"/>
                          </w:tcPr>
                          <w:p>
                            <w:pPr>
                              <w:pStyle w:val="TableContents"/>
                              <w:spacing w:lineRule="auto" w:line="240" w:before="0" w:after="0"/>
                              <w:jc w:val="center"/>
                              <w:rPr>
                                <w:rFonts w:ascii="Calibri;sans-serif" w:hAnsi="Calibri;sans-serif"/>
                                <w:b w:val="false"/>
                                <w:color w:val="FFFFFF"/>
                                <w:sz w:val="16"/>
                                <w:highlight w:val="black"/>
                              </w:rPr>
                            </w:pPr>
                            <w:r>
                              <w:rPr>
                                <w:rFonts w:ascii="Calibri;sans-serif" w:hAnsi="Calibri;sans-serif"/>
                                <w:b w:val="false"/>
                                <w:color w:val="FFFFFF"/>
                                <w:sz w:val="16"/>
                                <w:highlight w:val="black"/>
                              </w:rPr>
                              <w:t>29</w:t>
                            </w:r>
                          </w:p>
                        </w:tc>
                      </w:tr>
                    </w:tbl>
                    <w:p>
                      <w:pPr>
                        <w:pStyle w:val="TextBody"/>
                        <w:spacing w:before="0" w:after="283"/>
                        <w:rPr/>
                      </w:pPr>
                      <w:r>
                        <w:rPr/>
                      </w:r>
                    </w:p>
                  </w:txbxContent>
                </v:textbox>
              </v:rect>
            </w:pict>
          </mc:Fallback>
        </mc:AlternateContent>
      </w:r>
    </w:p>
    <w:p>
      <w:pPr>
        <w:pStyle w:val="TextBody"/>
        <w:spacing w:lineRule="auto" w:line="288" w:before="6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spacing w:lineRule="auto" w:line="288" w:before="60" w:after="283"/>
        <w:jc w:val="center"/>
        <w:rPr>
          <w:rFonts w:ascii="Calibri;sans-serif" w:hAnsi="Calibri;sans-serif"/>
          <w:b/>
          <w:color w:val="000000"/>
          <w:sz w:val="20"/>
        </w:rPr>
      </w:pPr>
      <w:r>
        <w:rPr>
          <w:rFonts w:ascii="Calibri;sans-serif" w:hAnsi="Calibri;sans-serif"/>
          <w:b/>
          <w:color w:val="000000"/>
          <w:sz w:val="20"/>
        </w:rPr>
        <w:t>SECTION 302 OF THE SARBANES-OXLEY ACT OF 2002</w:t>
      </w:r>
    </w:p>
    <w:p>
      <w:pPr>
        <w:pStyle w:val="TextBody"/>
        <w:spacing w:before="0" w:after="0"/>
        <w:rPr/>
      </w:pPr>
      <w:r>
        <w:rPr/>
      </w:r>
    </w:p>
    <w:p>
      <w:pPr>
        <w:pStyle w:val="TextBody"/>
        <w:spacing w:lineRule="auto" w:line="288" w:before="0" w:after="0"/>
        <w:rPr>
          <w:rFonts w:ascii="Calibri;sans-serif" w:hAnsi="Calibri;sans-serif"/>
          <w:b w:val="false"/>
          <w:color w:val="000000"/>
          <w:sz w:val="20"/>
        </w:rPr>
      </w:pPr>
      <w:r>
        <w:rPr>
          <w:rFonts w:ascii="Calibri;sans-serif" w:hAnsi="Calibri;sans-serif"/>
          <w:b w:val="false"/>
          <w:color w:val="000000"/>
          <w:sz w:val="20"/>
        </w:rPr>
        <w:t xml:space="preserve">I, Jeffrey J. Jones II, Chief Executive Officer, certify that: </w:t>
      </w:r>
    </w:p>
    <w:p>
      <w:pPr>
        <w:pStyle w:val="TextBody"/>
        <w:spacing w:before="0" w:after="0"/>
        <w:rPr/>
      </w:pPr>
      <w:r>
        <w:rPr/>
      </w:r>
    </w:p>
    <w:p>
      <w:pPr>
        <w:pStyle w:val="TextBody"/>
        <w:spacing w:lineRule="auto" w:line="288" w:before="0" w:after="0"/>
        <w:rPr>
          <w:rFonts w:ascii="Calibri;sans-serif" w:hAnsi="Calibri;sans-serif"/>
          <w:b w:val="false"/>
          <w:color w:val="000000"/>
          <w:sz w:val="20"/>
        </w:rPr>
      </w:pPr>
      <w:r>
        <w:rPr>
          <w:rFonts w:ascii="Calibri;sans-serif" w:hAnsi="Calibri;sans-serif"/>
          <w:b w:val="false"/>
          <w:color w:val="000000"/>
          <w:sz w:val="20"/>
        </w:rPr>
        <w:t>1. I have reviewed this quarterly report on Form 10-Q of H&amp;R Block, Inc.;</w:t>
      </w:r>
    </w:p>
    <w:p>
      <w:pPr>
        <w:pStyle w:val="TextBody"/>
        <w:spacing w:before="0" w:after="0"/>
        <w:rPr/>
      </w:pPr>
      <w:r>
        <w:rPr/>
      </w:r>
    </w:p>
    <w:p>
      <w:pPr>
        <w:pStyle w:val="TextBody"/>
        <w:spacing w:lineRule="auto" w:line="288" w:before="0" w:after="0"/>
        <w:rPr>
          <w:rFonts w:ascii="Calibri;sans-serif" w:hAnsi="Calibri;sans-serif"/>
          <w:b w:val="false"/>
          <w:color w:val="000000"/>
          <w:sz w:val="20"/>
        </w:rPr>
      </w:pPr>
      <w:r>
        <w:rPr>
          <w:rFonts w:ascii="Calibri;sans-serif" w:hAnsi="Calibri;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before="0" w:after="0"/>
        <w:rPr/>
      </w:pPr>
      <w:r>
        <w:rPr/>
      </w:r>
    </w:p>
    <w:p>
      <w:pPr>
        <w:pStyle w:val="TextBody"/>
        <w:spacing w:lineRule="auto" w:line="288" w:before="0" w:after="0"/>
        <w:rPr>
          <w:rFonts w:ascii="Calibri;sans-serif" w:hAnsi="Calibri;sans-serif"/>
          <w:b w:val="false"/>
          <w:color w:val="000000"/>
          <w:sz w:val="20"/>
        </w:rPr>
      </w:pPr>
      <w:r>
        <w:rPr>
          <w:rFonts w:ascii="Calibri;sans-serif" w:hAnsi="Calibri;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before="0" w:after="0"/>
        <w:rPr/>
      </w:pPr>
      <w:r>
        <w:rPr/>
      </w:r>
    </w:p>
    <w:p>
      <w:pPr>
        <w:pStyle w:val="TextBody"/>
        <w:spacing w:lineRule="auto" w:line="288" w:before="0" w:after="0"/>
        <w:rPr>
          <w:rFonts w:ascii="Calibri;sans-serif" w:hAnsi="Calibri;sans-serif"/>
          <w:b w:val="false"/>
          <w:color w:val="000000"/>
          <w:sz w:val="20"/>
        </w:rPr>
      </w:pPr>
      <w:r>
        <w:rPr>
          <w:rFonts w:ascii="Calibri;sans-serif" w:hAnsi="Calibri;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rPr/>
      </w:pPr>
      <w:r>
        <w:rPr/>
      </w:r>
    </w:p>
    <w:p>
      <w:pPr>
        <w:pStyle w:val="TextBody"/>
        <w:spacing w:lineRule="auto" w:line="288" w:before="0" w:after="0"/>
        <w:rPr>
          <w:rFonts w:ascii="Calibri;sans-serif" w:hAnsi="Calibri;sans-serif"/>
          <w:b w:val="false"/>
          <w:color w:val="000000"/>
          <w:sz w:val="20"/>
        </w:rPr>
      </w:pPr>
      <w:r>
        <w:rPr>
          <w:rFonts w:ascii="Calibri;sans-serif" w:hAnsi="Calibri;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rPr/>
      </w:pPr>
      <w:r>
        <w:rPr/>
      </w:r>
    </w:p>
    <w:p>
      <w:pPr>
        <w:pStyle w:val="TextBody"/>
        <w:spacing w:lineRule="auto" w:line="288" w:before="0" w:after="0"/>
        <w:rPr>
          <w:rFonts w:ascii="Calibri;sans-serif" w:hAnsi="Calibri;sans-serif"/>
          <w:b w:val="false"/>
          <w:color w:val="000000"/>
          <w:sz w:val="20"/>
        </w:rPr>
      </w:pPr>
      <w:r>
        <w:rPr>
          <w:rFonts w:ascii="Calibri;sans-serif" w:hAnsi="Calibri;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rPr/>
      </w:pPr>
      <w:r>
        <w:rPr/>
      </w:r>
    </w:p>
    <w:p>
      <w:pPr>
        <w:pStyle w:val="TextBody"/>
        <w:spacing w:lineRule="auto" w:line="288" w:before="0" w:after="0"/>
        <w:rPr>
          <w:rFonts w:ascii="Calibri;sans-serif" w:hAnsi="Calibri;sans-serif"/>
          <w:b w:val="false"/>
          <w:color w:val="000000"/>
          <w:sz w:val="20"/>
        </w:rPr>
      </w:pPr>
      <w:r>
        <w:rPr>
          <w:rFonts w:ascii="Calibri;sans-serif" w:hAnsi="Calibri;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r>
    </w:p>
    <w:p>
      <w:pPr>
        <w:pStyle w:val="TextBody"/>
        <w:spacing w:lineRule="auto" w:line="288" w:before="0" w:after="0"/>
        <w:rPr>
          <w:rFonts w:ascii="Calibri;sans-serif" w:hAnsi="Calibri;sans-serif"/>
          <w:b w:val="false"/>
          <w:color w:val="000000"/>
          <w:sz w:val="20"/>
        </w:rPr>
      </w:pPr>
      <w:r>
        <w:rPr>
          <w:rFonts w:ascii="Calibri;sans-serif" w:hAnsi="Calibri;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rPr/>
      </w:pPr>
      <w:r>
        <w:rPr/>
      </w:r>
    </w:p>
    <w:p>
      <w:pPr>
        <w:pStyle w:val="TextBody"/>
        <w:spacing w:lineRule="auto" w:line="288" w:before="0" w:after="0"/>
        <w:rPr>
          <w:rFonts w:ascii="Calibri;sans-serif" w:hAnsi="Calibri;sans-serif"/>
          <w:b w:val="false"/>
          <w:color w:val="000000"/>
          <w:sz w:val="20"/>
        </w:rPr>
      </w:pPr>
      <w:r>
        <w:rPr>
          <w:rFonts w:ascii="Calibri;sans-serif" w:hAnsi="Calibri;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rPr/>
      </w:pPr>
      <w:r>
        <w:rPr/>
      </w:r>
    </w:p>
    <w:p>
      <w:pPr>
        <w:pStyle w:val="TextBody"/>
        <w:spacing w:lineRule="auto" w:line="288" w:before="0" w:after="0"/>
        <w:rPr>
          <w:rFonts w:ascii="Calibri;sans-serif" w:hAnsi="Calibri;sans-serif"/>
          <w:b w:val="false"/>
          <w:color w:val="000000"/>
          <w:sz w:val="20"/>
        </w:rPr>
      </w:pPr>
      <w:r>
        <w:rPr>
          <w:rFonts w:ascii="Calibri;sans-serif" w:hAnsi="Calibri;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rPr/>
      </w:pPr>
      <w:r>
        <w:rPr/>
      </w:r>
    </w:p>
    <w:p>
      <w:pPr>
        <w:pStyle w:val="TextBody"/>
        <w:spacing w:lineRule="auto" w:line="288" w:before="0" w:after="0"/>
        <w:rPr>
          <w:rFonts w:ascii="Calibri;sans-serif" w:hAnsi="Calibri;sans-serif"/>
          <w:b w:val="false"/>
          <w:color w:val="000000"/>
          <w:sz w:val="20"/>
        </w:rPr>
      </w:pPr>
      <w:r>
        <w:rPr>
          <w:rFonts w:ascii="Calibri;sans-serif" w:hAnsi="Calibri;sans-serif"/>
          <w:b w:val="false"/>
          <w:color w:val="000000"/>
          <w:sz w:val="20"/>
        </w:rPr>
        <w:t>(b) Any fraud, whether or not material, that involves management or other employees who have a significant role in the registrant's internal control over financial reporting.</w:t>
      </w:r>
    </w:p>
    <w:tbl>
      <w:tblPr>
        <w:tblW w:w="3866" w:type="dxa"/>
        <w:jc w:val="left"/>
        <w:tblInd w:w="0" w:type="dxa"/>
        <w:tblCellMar>
          <w:top w:w="28" w:type="dxa"/>
          <w:left w:w="28" w:type="dxa"/>
          <w:bottom w:w="28" w:type="dxa"/>
          <w:right w:w="28" w:type="dxa"/>
        </w:tblCellMar>
      </w:tblPr>
      <w:tblGrid>
        <w:gridCol w:w="190"/>
        <w:gridCol w:w="167"/>
        <w:gridCol w:w="168"/>
        <w:gridCol w:w="369"/>
        <w:gridCol w:w="369"/>
        <w:gridCol w:w="371"/>
        <w:gridCol w:w="109"/>
        <w:gridCol w:w="109"/>
        <w:gridCol w:w="109"/>
        <w:gridCol w:w="556"/>
        <w:gridCol w:w="556"/>
        <w:gridCol w:w="793"/>
      </w:tblGrid>
      <w:tr>
        <w:trPr/>
        <w:tc>
          <w:tcPr>
            <w:tcW w:w="19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r>
      <w:tr>
        <w:trPr/>
        <w:tc>
          <w:tcPr>
            <w:tcW w:w="5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Date:</w:t>
            </w:r>
          </w:p>
        </w:tc>
        <w:tc>
          <w:tcPr>
            <w:tcW w:w="1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May 9,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 Jeffrey J. Jones II</w:t>
            </w:r>
          </w:p>
        </w:tc>
      </w:tr>
      <w:tr>
        <w:trPr/>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Jeffrey J. Jones II</w:t>
            </w:r>
          </w:p>
        </w:tc>
      </w:tr>
      <w:tr>
        <w:trPr/>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Chief Executive Officer</w:t>
              <w:br/>
              <w:t>H&amp;R Block, Inc.</w:t>
            </w:r>
          </w:p>
        </w:tc>
      </w:tr>
    </w:tbl>
    <w:p>
      <w:pPr>
        <w:pStyle w:val="TextBody"/>
        <w:spacing w:before="120" w:after="283"/>
        <w:jc w:val="both"/>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lineRule="auto" w:line="288" w:before="120" w:after="283"/>
        <w:jc w:val="right"/>
        <w:rPr>
          <w:rFonts w:ascii="Calibri;sans-serif" w:hAnsi="Calibri;sans-serif"/>
          <w:b w:val="false"/>
          <w:color w:val="000000"/>
          <w:sz w:val="20"/>
        </w:rPr>
      </w:pPr>
      <w:r>
        <w:rPr>
          <w:rFonts w:ascii="Calibri;sans-serif" w:hAnsi="Calibri;sans-serif"/>
          <w:b w:val="false"/>
          <w:color w:val="000000"/>
          <w:sz w:val="20"/>
        </w:rPr>
        <w:t>E</w:t>
      </w:r>
      <w:r>
        <w:rPr>
          <w:rFonts w:ascii="Calibri;sans-serif" w:hAnsi="Calibri;sans-serif"/>
          <w:b w:val="false"/>
          <w:color w:val="000000"/>
          <w:sz w:val="20"/>
        </w:rPr>
        <w:t>xhibit 31.2</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692265" cy="175260"/>
                <wp:effectExtent l="0" t="0" r="0" b="0"/>
                <wp:wrapNone/>
                <wp:docPr id="32" name="Frame32"/>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51.05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6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spacing w:lineRule="auto" w:line="288" w:before="60" w:after="283"/>
        <w:jc w:val="center"/>
        <w:rPr>
          <w:rFonts w:ascii="Calibri;sans-serif" w:hAnsi="Calibri;sans-serif"/>
          <w:b/>
          <w:color w:val="000000"/>
          <w:sz w:val="20"/>
        </w:rPr>
      </w:pPr>
      <w:r>
        <w:rPr>
          <w:rFonts w:ascii="Calibri;sans-serif" w:hAnsi="Calibri;sans-serif"/>
          <w:b/>
          <w:color w:val="000000"/>
          <w:sz w:val="20"/>
        </w:rPr>
        <w:t>SECTION 302 OF THE SARBANES-OXLEY ACT OF 2002</w:t>
      </w:r>
    </w:p>
    <w:p>
      <w:pPr>
        <w:pStyle w:val="TextBody"/>
        <w:spacing w:before="0" w:after="0"/>
        <w:jc w:val="both"/>
        <w:rPr/>
      </w:pPr>
      <w:r>
        <w:rPr/>
      </w:r>
    </w:p>
    <w:p>
      <w:pPr>
        <w:pStyle w:val="TextBody"/>
        <w:spacing w:lineRule="auto" w:line="288" w:before="0" w:after="0"/>
        <w:rPr>
          <w:rFonts w:ascii="Calibri;sans-serif" w:hAnsi="Calibri;sans-serif"/>
          <w:b w:val="false"/>
          <w:color w:val="000000"/>
          <w:sz w:val="20"/>
        </w:rPr>
      </w:pPr>
      <w:r>
        <w:rPr>
          <w:rFonts w:ascii="Calibri;sans-serif" w:hAnsi="Calibri;sans-serif"/>
          <w:b w:val="false"/>
          <w:color w:val="000000"/>
          <w:sz w:val="20"/>
        </w:rPr>
        <w:t xml:space="preserve">I, Tony G. Bowen, Chief Financial Officer, certify that: </w:t>
      </w:r>
    </w:p>
    <w:p>
      <w:pPr>
        <w:pStyle w:val="TextBody"/>
        <w:spacing w:before="0" w:after="0"/>
        <w:rPr/>
      </w:pPr>
      <w:r>
        <w:rPr/>
      </w:r>
    </w:p>
    <w:p>
      <w:pPr>
        <w:pStyle w:val="TextBody"/>
        <w:spacing w:lineRule="auto" w:line="288" w:before="0" w:after="0"/>
        <w:rPr>
          <w:rFonts w:ascii="Calibri;sans-serif" w:hAnsi="Calibri;sans-serif"/>
          <w:b w:val="false"/>
          <w:color w:val="000000"/>
          <w:sz w:val="20"/>
        </w:rPr>
      </w:pPr>
      <w:r>
        <w:rPr>
          <w:rFonts w:ascii="Calibri;sans-serif" w:hAnsi="Calibri;sans-serif"/>
          <w:b w:val="false"/>
          <w:color w:val="000000"/>
          <w:sz w:val="20"/>
        </w:rPr>
        <w:t>1. I have reviewed this quarterly report on Form 10-Q of H&amp;R Block, Inc.;</w:t>
      </w:r>
    </w:p>
    <w:p>
      <w:pPr>
        <w:pStyle w:val="TextBody"/>
        <w:spacing w:before="0" w:after="0"/>
        <w:rPr/>
      </w:pPr>
      <w:r>
        <w:rPr/>
      </w:r>
    </w:p>
    <w:p>
      <w:pPr>
        <w:pStyle w:val="TextBody"/>
        <w:spacing w:lineRule="auto" w:line="288" w:before="0" w:after="0"/>
        <w:rPr>
          <w:rFonts w:ascii="Calibri;sans-serif" w:hAnsi="Calibri;sans-serif"/>
          <w:b w:val="false"/>
          <w:color w:val="000000"/>
          <w:sz w:val="20"/>
        </w:rPr>
      </w:pPr>
      <w:r>
        <w:rPr>
          <w:rFonts w:ascii="Calibri;sans-serif" w:hAnsi="Calibri;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before="0" w:after="0"/>
        <w:rPr/>
      </w:pPr>
      <w:r>
        <w:rPr/>
      </w:r>
    </w:p>
    <w:p>
      <w:pPr>
        <w:pStyle w:val="TextBody"/>
        <w:spacing w:lineRule="auto" w:line="288" w:before="0" w:after="0"/>
        <w:rPr>
          <w:rFonts w:ascii="Calibri;sans-serif" w:hAnsi="Calibri;sans-serif"/>
          <w:b w:val="false"/>
          <w:color w:val="000000"/>
          <w:sz w:val="20"/>
        </w:rPr>
      </w:pPr>
      <w:r>
        <w:rPr>
          <w:rFonts w:ascii="Calibri;sans-serif" w:hAnsi="Calibri;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before="0" w:after="0"/>
        <w:rPr/>
      </w:pPr>
      <w:r>
        <w:rPr/>
      </w:r>
    </w:p>
    <w:p>
      <w:pPr>
        <w:pStyle w:val="TextBody"/>
        <w:spacing w:lineRule="auto" w:line="288" w:before="0" w:after="0"/>
        <w:rPr>
          <w:rFonts w:ascii="Calibri;sans-serif" w:hAnsi="Calibri;sans-serif"/>
          <w:b w:val="false"/>
          <w:color w:val="000000"/>
          <w:sz w:val="20"/>
        </w:rPr>
      </w:pPr>
      <w:r>
        <w:rPr>
          <w:rFonts w:ascii="Calibri;sans-serif" w:hAnsi="Calibri;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rPr/>
      </w:pPr>
      <w:r>
        <w:rPr/>
      </w:r>
    </w:p>
    <w:p>
      <w:pPr>
        <w:pStyle w:val="TextBody"/>
        <w:spacing w:lineRule="auto" w:line="288" w:before="0" w:after="0"/>
        <w:rPr>
          <w:rFonts w:ascii="Calibri;sans-serif" w:hAnsi="Calibri;sans-serif"/>
          <w:b w:val="false"/>
          <w:color w:val="000000"/>
          <w:sz w:val="20"/>
        </w:rPr>
      </w:pPr>
      <w:r>
        <w:rPr>
          <w:rFonts w:ascii="Calibri;sans-serif" w:hAnsi="Calibri;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rPr/>
      </w:pPr>
      <w:r>
        <w:rPr/>
      </w:r>
    </w:p>
    <w:p>
      <w:pPr>
        <w:pStyle w:val="TextBody"/>
        <w:spacing w:lineRule="auto" w:line="288" w:before="0" w:after="0"/>
        <w:rPr>
          <w:rFonts w:ascii="Calibri;sans-serif" w:hAnsi="Calibri;sans-serif"/>
          <w:b w:val="false"/>
          <w:color w:val="000000"/>
          <w:sz w:val="20"/>
        </w:rPr>
      </w:pPr>
      <w:r>
        <w:rPr>
          <w:rFonts w:ascii="Calibri;sans-serif" w:hAnsi="Calibri;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rPr/>
      </w:pPr>
      <w:r>
        <w:rPr/>
      </w:r>
    </w:p>
    <w:p>
      <w:pPr>
        <w:pStyle w:val="TextBody"/>
        <w:spacing w:lineRule="auto" w:line="288" w:before="0" w:after="0"/>
        <w:rPr>
          <w:rFonts w:ascii="Calibri;sans-serif" w:hAnsi="Calibri;sans-serif"/>
          <w:b w:val="false"/>
          <w:color w:val="000000"/>
          <w:sz w:val="20"/>
        </w:rPr>
      </w:pPr>
      <w:r>
        <w:rPr>
          <w:rFonts w:ascii="Calibri;sans-serif" w:hAnsi="Calibri;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r>
    </w:p>
    <w:p>
      <w:pPr>
        <w:pStyle w:val="TextBody"/>
        <w:spacing w:lineRule="auto" w:line="288" w:before="0" w:after="0"/>
        <w:rPr>
          <w:rFonts w:ascii="Calibri;sans-serif" w:hAnsi="Calibri;sans-serif"/>
          <w:b w:val="false"/>
          <w:color w:val="000000"/>
          <w:sz w:val="20"/>
        </w:rPr>
      </w:pPr>
      <w:r>
        <w:rPr>
          <w:rFonts w:ascii="Calibri;sans-serif" w:hAnsi="Calibri;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rPr/>
      </w:pPr>
      <w:r>
        <w:rPr/>
      </w:r>
    </w:p>
    <w:p>
      <w:pPr>
        <w:pStyle w:val="TextBody"/>
        <w:spacing w:lineRule="auto" w:line="288" w:before="0" w:after="0"/>
        <w:rPr>
          <w:rFonts w:ascii="Calibri;sans-serif" w:hAnsi="Calibri;sans-serif"/>
          <w:b w:val="false"/>
          <w:color w:val="000000"/>
          <w:sz w:val="20"/>
        </w:rPr>
      </w:pPr>
      <w:r>
        <w:rPr>
          <w:rFonts w:ascii="Calibri;sans-serif" w:hAnsi="Calibri;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rPr/>
      </w:pPr>
      <w:r>
        <w:rPr/>
      </w:r>
    </w:p>
    <w:p>
      <w:pPr>
        <w:pStyle w:val="TextBody"/>
        <w:spacing w:lineRule="auto" w:line="288" w:before="0" w:after="0"/>
        <w:rPr>
          <w:rFonts w:ascii="Calibri;sans-serif" w:hAnsi="Calibri;sans-serif"/>
          <w:b w:val="false"/>
          <w:color w:val="000000"/>
          <w:sz w:val="20"/>
        </w:rPr>
      </w:pPr>
      <w:r>
        <w:rPr>
          <w:rFonts w:ascii="Calibri;sans-serif" w:hAnsi="Calibri;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rPr/>
      </w:pPr>
      <w:r>
        <w:rPr/>
      </w:r>
    </w:p>
    <w:p>
      <w:pPr>
        <w:pStyle w:val="TextBody"/>
        <w:spacing w:lineRule="auto" w:line="288" w:before="0" w:after="0"/>
        <w:rPr>
          <w:rFonts w:ascii="Calibri;sans-serif" w:hAnsi="Calibri;sans-serif"/>
          <w:b w:val="false"/>
          <w:color w:val="000000"/>
          <w:sz w:val="20"/>
        </w:rPr>
      </w:pPr>
      <w:r>
        <w:rPr>
          <w:rFonts w:ascii="Calibri;sans-serif" w:hAnsi="Calibri;sans-serif"/>
          <w:b w:val="false"/>
          <w:color w:val="000000"/>
          <w:sz w:val="20"/>
        </w:rPr>
        <w:t>(b) Any fraud, whether or not material, that involves management or other employees who have a significant role in the registrant's internal control over financial reporting.</w:t>
      </w:r>
    </w:p>
    <w:tbl>
      <w:tblPr>
        <w:tblW w:w="3820" w:type="dxa"/>
        <w:jc w:val="left"/>
        <w:tblInd w:w="0" w:type="dxa"/>
        <w:tblCellMar>
          <w:top w:w="28" w:type="dxa"/>
          <w:left w:w="28" w:type="dxa"/>
          <w:bottom w:w="28" w:type="dxa"/>
          <w:right w:w="28" w:type="dxa"/>
        </w:tblCellMar>
      </w:tblPr>
      <w:tblGrid>
        <w:gridCol w:w="190"/>
        <w:gridCol w:w="167"/>
        <w:gridCol w:w="168"/>
        <w:gridCol w:w="369"/>
        <w:gridCol w:w="369"/>
        <w:gridCol w:w="371"/>
        <w:gridCol w:w="109"/>
        <w:gridCol w:w="109"/>
        <w:gridCol w:w="109"/>
        <w:gridCol w:w="543"/>
        <w:gridCol w:w="543"/>
        <w:gridCol w:w="773"/>
      </w:tblGrid>
      <w:tr>
        <w:trPr/>
        <w:tc>
          <w:tcPr>
            <w:tcW w:w="19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543"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r>
      <w:tr>
        <w:trPr/>
        <w:tc>
          <w:tcPr>
            <w:tcW w:w="5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Date:</w:t>
            </w:r>
          </w:p>
        </w:tc>
        <w:tc>
          <w:tcPr>
            <w:tcW w:w="11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May 9,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 Tony G. Bowen</w:t>
            </w:r>
          </w:p>
        </w:tc>
      </w:tr>
      <w:tr>
        <w:trPr/>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Tony G. Bowen</w:t>
            </w:r>
          </w:p>
        </w:tc>
      </w:tr>
      <w:tr>
        <w:trPr/>
        <w:tc>
          <w:tcPr>
            <w:tcW w:w="5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Chief Financial Officer</w:t>
              <w:br/>
              <w:t>H&amp;R Block, Inc.</w:t>
            </w:r>
          </w:p>
        </w:tc>
      </w:tr>
    </w:tbl>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Calibri;sans-serif" w:hAnsi="Calibri;sans-serif"/>
          <w:b w:val="false"/>
          <w:color w:val="000000"/>
          <w:sz w:val="20"/>
        </w:rPr>
      </w:pPr>
      <w:r>
        <w:rPr>
          <w:rFonts w:ascii="Calibri;sans-serif" w:hAnsi="Calibri;sans-serif"/>
          <w:b w:val="false"/>
          <w:color w:val="000000"/>
          <w:sz w:val="20"/>
        </w:rPr>
        <w:t>E</w:t>
      </w:r>
      <w:r>
        <w:rPr>
          <w:rFonts w:ascii="Calibri;sans-serif" w:hAnsi="Calibri;sans-serif"/>
          <w:b w:val="false"/>
          <w:color w:val="000000"/>
          <w:sz w:val="20"/>
        </w:rPr>
        <w:t>xhibit 32.1</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692265" cy="175260"/>
                <wp:effectExtent l="0" t="0" r="0" b="0"/>
                <wp:wrapNone/>
                <wp:docPr id="33" name="Frame33"/>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51.05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6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spacing w:lineRule="auto" w:line="288" w:before="60" w:after="283"/>
        <w:jc w:val="center"/>
        <w:rPr>
          <w:rFonts w:ascii="Calibri;sans-serif" w:hAnsi="Calibri;sans-serif"/>
          <w:b/>
          <w:color w:val="000000"/>
          <w:sz w:val="20"/>
        </w:rPr>
      </w:pPr>
      <w:r>
        <w:rPr>
          <w:rFonts w:ascii="Calibri;sans-serif" w:hAnsi="Calibri;sans-serif"/>
          <w:b/>
          <w:color w:val="000000"/>
          <w:sz w:val="20"/>
        </w:rPr>
        <w:t>18 U.S.C. SECTION 1350,</w:t>
      </w:r>
    </w:p>
    <w:p>
      <w:pPr>
        <w:pStyle w:val="TextBody"/>
        <w:spacing w:lineRule="auto" w:line="288" w:before="60" w:after="283"/>
        <w:jc w:val="center"/>
        <w:rPr>
          <w:rFonts w:ascii="Calibri;sans-serif" w:hAnsi="Calibri;sans-serif"/>
          <w:b/>
          <w:color w:val="000000"/>
          <w:sz w:val="20"/>
        </w:rPr>
      </w:pPr>
      <w:r>
        <w:rPr>
          <w:rFonts w:ascii="Calibri;sans-serif" w:hAnsi="Calibri;sans-serif"/>
          <w:b/>
          <w:color w:val="000000"/>
          <w:sz w:val="20"/>
        </w:rPr>
        <w:t>AS ADOPTED PURSUANT TO</w:t>
      </w:r>
    </w:p>
    <w:p>
      <w:pPr>
        <w:pStyle w:val="TextBody"/>
        <w:spacing w:lineRule="auto" w:line="288" w:before="60" w:after="283"/>
        <w:jc w:val="center"/>
        <w:rPr>
          <w:rFonts w:ascii="Calibri;sans-serif" w:hAnsi="Calibri;sans-serif"/>
          <w:b/>
          <w:color w:val="000000"/>
          <w:sz w:val="20"/>
        </w:rPr>
      </w:pPr>
      <w:r>
        <w:rPr>
          <w:rFonts w:ascii="Calibri;sans-serif" w:hAnsi="Calibri;sans-serif"/>
          <w:b/>
          <w:color w:val="000000"/>
          <w:sz w:val="20"/>
        </w:rPr>
        <w:t>SECTION 906 OF THE SARBANES-OXLEY ACT OF 2002</w:t>
      </w:r>
    </w:p>
    <w:p>
      <w:pPr>
        <w:pStyle w:val="TextBody"/>
        <w:spacing w:before="0" w:after="0"/>
        <w:jc w:val="both"/>
        <w:rPr/>
      </w:pPr>
      <w:r>
        <w:rPr/>
      </w:r>
    </w:p>
    <w:p>
      <w:pPr>
        <w:pStyle w:val="TextBody"/>
        <w:spacing w:lineRule="auto" w:line="288" w:before="0" w:after="0"/>
        <w:jc w:val="both"/>
        <w:rPr>
          <w:color w:val="000000"/>
        </w:rPr>
      </w:pPr>
      <w:r>
        <w:rPr>
          <w:color w:val="000000"/>
        </w:rPr>
        <w:t>    </w:t>
      </w:r>
      <w:r>
        <w:rPr>
          <w:rFonts w:ascii="Calibri;sans-serif" w:hAnsi="Calibri;sans-serif"/>
          <w:b w:val="false"/>
          <w:color w:val="000000"/>
          <w:sz w:val="20"/>
        </w:rPr>
        <w:t>In connection with the quarterly report of H&amp;R Block, Inc. (the “Company”) on Form 10</w:t>
        <w:noBreakHyphen/>
        <w:t xml:space="preserve">Q for the fiscal quarter ended March 31, 2023 as filed with the Securities and Exchange Commission on the date hereof (the “Report”), I, Jeffrey J. Jones II, Chief Executive Officer of the Company, certify pursuant to 18 U.S.C. § 1350, as adopted pursuant to § 906 of the Sarbanes-Oxley Act of 2002, that: </w:t>
      </w:r>
    </w:p>
    <w:p>
      <w:pPr>
        <w:pStyle w:val="TextBody"/>
        <w:spacing w:before="0" w:after="0"/>
        <w:jc w:val="both"/>
        <w:rPr/>
      </w:pPr>
      <w:r>
        <w:rPr/>
      </w:r>
    </w:p>
    <w:p>
      <w:pPr>
        <w:pStyle w:val="TextBody"/>
        <w:spacing w:lineRule="auto" w:line="288" w:before="0" w:after="0"/>
        <w:ind w:left="0" w:right="0" w:hanging="720"/>
        <w:jc w:val="both"/>
        <w:rPr>
          <w:rFonts w:ascii="Calibri;sans-serif" w:hAnsi="Calibri;sans-serif"/>
          <w:b w:val="false"/>
          <w:color w:val="000000"/>
          <w:sz w:val="20"/>
        </w:rPr>
      </w:pPr>
      <w:r>
        <w:rPr>
          <w:rFonts w:ascii="Calibri;sans-serif" w:hAnsi="Calibri;sans-serif"/>
          <w:b w:val="false"/>
          <w:color w:val="000000"/>
          <w:sz w:val="20"/>
        </w:rPr>
        <w:t xml:space="preserve">(1)The Report fully complies with the requirements of Section 13(a) or 15(d) of the Securities Exchange Act of 1934; and </w:t>
      </w:r>
    </w:p>
    <w:p>
      <w:pPr>
        <w:pStyle w:val="TextBody"/>
        <w:spacing w:before="0" w:after="0"/>
        <w:ind w:left="0" w:right="0" w:hanging="720"/>
        <w:jc w:val="both"/>
        <w:rPr/>
      </w:pPr>
      <w:r>
        <w:rPr/>
      </w:r>
    </w:p>
    <w:p>
      <w:pPr>
        <w:pStyle w:val="TextBody"/>
        <w:spacing w:lineRule="auto" w:line="288" w:before="0" w:after="0"/>
        <w:ind w:left="0" w:right="0" w:hanging="720"/>
        <w:jc w:val="both"/>
        <w:rPr>
          <w:rFonts w:ascii="Calibri;sans-serif" w:hAnsi="Calibri;sans-serif"/>
          <w:b w:val="false"/>
          <w:color w:val="000000"/>
          <w:sz w:val="20"/>
        </w:rPr>
      </w:pPr>
      <w:r>
        <w:rPr>
          <w:rFonts w:ascii="Calibri;sans-serif" w:hAnsi="Calibri;sans-serif"/>
          <w:b w:val="false"/>
          <w:color w:val="000000"/>
          <w:sz w:val="20"/>
        </w:rPr>
        <w:t>(2)The information contained in the Report fairly presents, in all material respects, the financial condition and results of operations of the Company.</w:t>
      </w:r>
    </w:p>
    <w:tbl>
      <w:tblPr>
        <w:tblW w:w="1920" w:type="dxa"/>
        <w:jc w:val="right"/>
        <w:tblInd w:w="0" w:type="dxa"/>
        <w:tblCellMar>
          <w:top w:w="28" w:type="dxa"/>
          <w:left w:w="28" w:type="dxa"/>
          <w:bottom w:w="28" w:type="dxa"/>
          <w:right w:w="28" w:type="dxa"/>
        </w:tblCellMar>
      </w:tblPr>
      <w:tblGrid>
        <w:gridCol w:w="613"/>
        <w:gridCol w:w="540"/>
        <w:gridCol w:w="767"/>
      </w:tblGrid>
      <w:tr>
        <w:trPr/>
        <w:tc>
          <w:tcPr>
            <w:tcW w:w="613"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r>
      <w:tr>
        <w:trPr/>
        <w:tc>
          <w:tcPr>
            <w:tcW w:w="19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 Jeffrey J. Jones II</w:t>
            </w:r>
          </w:p>
        </w:tc>
      </w:tr>
      <w:tr>
        <w:trPr/>
        <w:tc>
          <w:tcPr>
            <w:tcW w:w="19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Jeffrey J. Jones II</w:t>
              <w:br/>
              <w:t>Chief Executive Officer</w:t>
              <w:br/>
              <w:t>H&amp;R Block, Inc.</w:t>
            </w:r>
          </w:p>
        </w:tc>
      </w:tr>
      <w:tr>
        <w:trPr/>
        <w:tc>
          <w:tcPr>
            <w:tcW w:w="19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May 9, 2023</w:t>
            </w:r>
          </w:p>
        </w:tc>
      </w:tr>
    </w:tbl>
    <w:p>
      <w:pPr>
        <w:pStyle w:val="TextBody"/>
        <w:spacing w:before="120" w:after="283"/>
        <w:jc w:val="right"/>
        <w:rPr/>
      </w:pPr>
      <w:r>
        <w:rPr/>
      </w:r>
    </w:p>
    <w:p>
      <w:pPr>
        <w:pStyle w:val="TextBody"/>
        <w:rPr/>
      </w:pPr>
      <w:r>
        <w:rPr/>
      </w:r>
    </w:p>
    <w:p>
      <w:pPr>
        <w:sectPr>
          <w:type w:val="continuous"/>
          <w:pgSz w:w="12240" w:h="15840"/>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Calibri;sans-serif" w:hAnsi="Calibri;sans-serif"/>
          <w:b w:val="false"/>
          <w:color w:val="000000"/>
          <w:sz w:val="20"/>
        </w:rPr>
      </w:pPr>
      <w:r>
        <w:rPr>
          <w:rFonts w:ascii="Calibri;sans-serif" w:hAnsi="Calibri;sans-serif"/>
          <w:b w:val="false"/>
          <w:color w:val="000000"/>
          <w:sz w:val="20"/>
        </w:rPr>
        <w:t>E</w:t>
      </w:r>
      <w:r>
        <w:rPr>
          <w:rFonts w:ascii="Calibri;sans-serif" w:hAnsi="Calibri;sans-serif"/>
          <w:b w:val="false"/>
          <w:color w:val="000000"/>
          <w:sz w:val="20"/>
        </w:rPr>
        <w:t>xhibit 32.2</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692265" cy="175260"/>
                <wp:effectExtent l="0" t="0" r="0" b="0"/>
                <wp:wrapNone/>
                <wp:docPr id="34" name="Frame34"/>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451.05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60" w:after="283"/>
        <w:jc w:val="center"/>
        <w:rPr>
          <w:rFonts w:ascii="Calibri;sans-serif" w:hAnsi="Calibri;sans-serif"/>
          <w:b/>
          <w:color w:val="000000"/>
          <w:sz w:val="20"/>
        </w:rPr>
      </w:pPr>
      <w:r>
        <w:rPr>
          <w:rFonts w:ascii="Calibri;sans-serif" w:hAnsi="Calibri;sans-serif"/>
          <w:b/>
          <w:color w:val="000000"/>
          <w:sz w:val="20"/>
        </w:rPr>
        <w:t>CERTIFICATION PURSUANT TO</w:t>
      </w:r>
    </w:p>
    <w:p>
      <w:pPr>
        <w:pStyle w:val="TextBody"/>
        <w:spacing w:lineRule="auto" w:line="288" w:before="60" w:after="283"/>
        <w:jc w:val="center"/>
        <w:rPr>
          <w:rFonts w:ascii="Calibri;sans-serif" w:hAnsi="Calibri;sans-serif"/>
          <w:b/>
          <w:color w:val="000000"/>
          <w:sz w:val="20"/>
        </w:rPr>
      </w:pPr>
      <w:r>
        <w:rPr>
          <w:rFonts w:ascii="Calibri;sans-serif" w:hAnsi="Calibri;sans-serif"/>
          <w:b/>
          <w:color w:val="000000"/>
          <w:sz w:val="20"/>
        </w:rPr>
        <w:t>18 U.S.C. SECTION 1350,</w:t>
      </w:r>
    </w:p>
    <w:p>
      <w:pPr>
        <w:pStyle w:val="TextBody"/>
        <w:spacing w:lineRule="auto" w:line="288" w:before="60" w:after="283"/>
        <w:jc w:val="center"/>
        <w:rPr>
          <w:rFonts w:ascii="Calibri;sans-serif" w:hAnsi="Calibri;sans-serif"/>
          <w:b/>
          <w:color w:val="000000"/>
          <w:sz w:val="20"/>
        </w:rPr>
      </w:pPr>
      <w:r>
        <w:rPr>
          <w:rFonts w:ascii="Calibri;sans-serif" w:hAnsi="Calibri;sans-serif"/>
          <w:b/>
          <w:color w:val="000000"/>
          <w:sz w:val="20"/>
        </w:rPr>
        <w:t>AS ADOPTED PURSUANT TO</w:t>
      </w:r>
    </w:p>
    <w:p>
      <w:pPr>
        <w:pStyle w:val="TextBody"/>
        <w:spacing w:lineRule="auto" w:line="288" w:before="60" w:after="283"/>
        <w:jc w:val="center"/>
        <w:rPr>
          <w:rFonts w:ascii="Calibri;sans-serif" w:hAnsi="Calibri;sans-serif"/>
          <w:b/>
          <w:color w:val="000000"/>
          <w:sz w:val="20"/>
        </w:rPr>
      </w:pPr>
      <w:r>
        <w:rPr>
          <w:rFonts w:ascii="Calibri;sans-serif" w:hAnsi="Calibri;sans-serif"/>
          <w:b/>
          <w:color w:val="000000"/>
          <w:sz w:val="20"/>
        </w:rPr>
        <w:t>SECTION 906 OF THE SARBANES-OXLEY ACT OF 2002</w:t>
      </w:r>
    </w:p>
    <w:p>
      <w:pPr>
        <w:pStyle w:val="TextBody"/>
        <w:spacing w:before="0" w:after="0"/>
        <w:jc w:val="both"/>
        <w:rPr/>
      </w:pPr>
      <w:r>
        <w:rPr/>
      </w:r>
    </w:p>
    <w:p>
      <w:pPr>
        <w:pStyle w:val="TextBody"/>
        <w:spacing w:lineRule="auto" w:line="288" w:before="0" w:after="0"/>
        <w:jc w:val="both"/>
        <w:rPr>
          <w:color w:val="000000"/>
        </w:rPr>
      </w:pPr>
      <w:r>
        <w:rPr>
          <w:color w:val="000000"/>
        </w:rPr>
        <w:t>    </w:t>
      </w:r>
      <w:r>
        <w:rPr>
          <w:rFonts w:ascii="Calibri;sans-serif" w:hAnsi="Calibri;sans-serif"/>
          <w:b w:val="false"/>
          <w:color w:val="000000"/>
          <w:sz w:val="20"/>
        </w:rPr>
        <w:t>In connection with the quarterly report of H&amp;R Block, Inc. (the “Company”) on Form 10</w:t>
        <w:noBreakHyphen/>
        <w:t xml:space="preserve">Q for the fiscal quarter ended March 31, 2023 as filed with the Securities and Exchange Commission on the date hereof (the “Report”), I, Tony G. Bowen, Chief Financial Officer of the Company, certify pursuant to 18 U.S.C. § 1350, as adopted pursuant to § 906 of the Sarbanes-Oxley Act of 2002, that: </w:t>
      </w:r>
    </w:p>
    <w:p>
      <w:pPr>
        <w:pStyle w:val="TextBody"/>
        <w:spacing w:before="0" w:after="0"/>
        <w:jc w:val="both"/>
        <w:rPr/>
      </w:pPr>
      <w:r>
        <w:rPr/>
      </w:r>
    </w:p>
    <w:p>
      <w:pPr>
        <w:pStyle w:val="TextBody"/>
        <w:spacing w:lineRule="auto" w:line="288" w:before="0" w:after="0"/>
        <w:ind w:left="0" w:right="0" w:hanging="720"/>
        <w:jc w:val="both"/>
        <w:rPr>
          <w:rFonts w:ascii="Calibri;sans-serif" w:hAnsi="Calibri;sans-serif"/>
          <w:b w:val="false"/>
          <w:color w:val="000000"/>
          <w:sz w:val="20"/>
        </w:rPr>
      </w:pPr>
      <w:r>
        <w:rPr>
          <w:rFonts w:ascii="Calibri;sans-serif" w:hAnsi="Calibri;sans-serif"/>
          <w:b w:val="false"/>
          <w:color w:val="000000"/>
          <w:sz w:val="20"/>
        </w:rPr>
        <w:t xml:space="preserve">(1)The Report fully complies with the requirements of Section 13(a) or 15(d) of the Securities Exchange Act of 1934; and </w:t>
      </w:r>
    </w:p>
    <w:p>
      <w:pPr>
        <w:pStyle w:val="TextBody"/>
        <w:spacing w:before="0" w:after="0"/>
        <w:ind w:left="0" w:right="0" w:hanging="720"/>
        <w:jc w:val="both"/>
        <w:rPr/>
      </w:pPr>
      <w:r>
        <w:rPr/>
      </w:r>
    </w:p>
    <w:p>
      <w:pPr>
        <w:pStyle w:val="TextBody"/>
        <w:spacing w:lineRule="auto" w:line="288" w:before="0" w:after="0"/>
        <w:ind w:left="0" w:right="0" w:hanging="720"/>
        <w:jc w:val="both"/>
        <w:rPr>
          <w:rFonts w:ascii="Calibri;sans-serif" w:hAnsi="Calibri;sans-serif"/>
          <w:b w:val="false"/>
          <w:color w:val="000000"/>
          <w:sz w:val="20"/>
        </w:rPr>
      </w:pPr>
      <w:r>
        <w:rPr>
          <w:rFonts w:ascii="Calibri;sans-serif" w:hAnsi="Calibri;sans-serif"/>
          <w:b w:val="false"/>
          <w:color w:val="000000"/>
          <w:sz w:val="20"/>
        </w:rPr>
        <w:t>(2)The information contained in the Report fairly presents, in all material respects, the financial condition and results of operations of the Company.</w:t>
      </w:r>
    </w:p>
    <w:p>
      <w:pPr>
        <w:pStyle w:val="TextBody"/>
        <w:spacing w:before="120" w:after="283"/>
        <w:rPr/>
      </w:pPr>
      <w:r>
        <w:rPr/>
      </w:r>
    </w:p>
    <w:tbl>
      <w:tblPr>
        <w:tblW w:w="1875" w:type="dxa"/>
        <w:jc w:val="right"/>
        <w:tblInd w:w="0" w:type="dxa"/>
        <w:tblCellMar>
          <w:top w:w="28" w:type="dxa"/>
          <w:left w:w="28" w:type="dxa"/>
          <w:bottom w:w="28" w:type="dxa"/>
          <w:right w:w="28" w:type="dxa"/>
        </w:tblCellMar>
      </w:tblPr>
      <w:tblGrid>
        <w:gridCol w:w="600"/>
        <w:gridCol w:w="526"/>
        <w:gridCol w:w="749"/>
      </w:tblGrid>
      <w:tr>
        <w:trPr/>
        <w:tc>
          <w:tcPr>
            <w:tcW w:w="600"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49" w:type="dxa"/>
            <w:tcBorders/>
            <w:shd w:fill="auto" w:val="clear"/>
            <w:vAlign w:val="center"/>
          </w:tcPr>
          <w:p>
            <w:pPr>
              <w:pStyle w:val="TableContents"/>
              <w:spacing w:before="0" w:after="283"/>
              <w:rPr>
                <w:sz w:val="4"/>
                <w:szCs w:val="4"/>
              </w:rPr>
            </w:pPr>
            <w:r>
              <w:rPr>
                <w:sz w:val="4"/>
                <w:szCs w:val="4"/>
              </w:rPr>
            </w:r>
          </w:p>
        </w:tc>
      </w:tr>
      <w:tr>
        <w:trPr/>
        <w:tc>
          <w:tcPr>
            <w:tcW w:w="18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 Tony G. Bowen</w:t>
            </w:r>
          </w:p>
        </w:tc>
      </w:tr>
      <w:tr>
        <w:trPr/>
        <w:tc>
          <w:tcPr>
            <w:tcW w:w="18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Tony G. Bowen</w:t>
              <w:br/>
              <w:t>Chief Financial Officer</w:t>
              <w:br/>
              <w:t>H&amp;R Block, Inc.</w:t>
            </w:r>
          </w:p>
        </w:tc>
      </w:tr>
      <w:tr>
        <w:trPr/>
        <w:tc>
          <w:tcPr>
            <w:tcW w:w="18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May 9, 2023</w:t>
            </w:r>
          </w:p>
        </w:tc>
      </w:tr>
    </w:tbl>
    <w:p>
      <w:pPr>
        <w:pStyle w:val="TextBody"/>
        <w:spacing w:before="120" w:after="283"/>
        <w:jc w:val="right"/>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692265" cy="175260"/>
                <wp:effectExtent l="0" t="0" r="0" b="0"/>
                <wp:wrapNone/>
                <wp:docPr id="35" name="Frame35"/>
                <a:graphic xmlns:a="http://schemas.openxmlformats.org/drawingml/2006/main">
                  <a:graphicData uri="http://schemas.microsoft.com/office/word/2010/wordprocessingShape">
                    <wps:wsp>
                      <wps:cNvSpPr txBox="1"/>
                      <wps:spPr>
                        <a:xfrm>
                          <a:off x="0" y="0"/>
                          <a:ext cx="669226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2240" w:h="15840"/>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2659/000183886222000028/hrb20220630exhibit22.htm" TargetMode="External"/><Relationship Id="rId3" Type="http://schemas.openxmlformats.org/officeDocument/2006/relationships/hyperlink" Target="http://www.sec.gov/Archives/edgar/data/12659/000183886222000028/hrb20220630exhibit22.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14304</Words>
  <CharactersWithSpaces>91511</CharactersWithSpaces>
  <Paragraphs>2740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