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626110</wp:posOffset>
            </wp:positionV>
            <wp:extent cx="71335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583565</wp:posOffset>
            </wp:positionV>
            <wp:extent cx="713359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119" w:lineRule="exact"/>
        <w:rPr>
          <w:sz w:val="24"/>
          <w:szCs w:val="24"/>
          <w:color w:val="auto"/>
        </w:rPr>
      </w:pPr>
    </w:p>
    <w:p>
      <w:pPr>
        <w:ind w:left="20"/>
        <w:spacing w:after="0"/>
        <w:rPr>
          <w:sz w:val="20"/>
          <w:szCs w:val="20"/>
          <w:color w:val="auto"/>
        </w:rPr>
      </w:pPr>
      <w:r>
        <w:rPr>
          <w:rFonts w:ascii="Arial" w:cs="Arial" w:eastAsia="Arial" w:hAnsi="Arial"/>
          <w:sz w:val="18"/>
          <w:szCs w:val="18"/>
          <w:color w:val="auto"/>
        </w:rPr>
        <w:t>(Mark One)</w:t>
      </w:r>
    </w:p>
    <w:p>
      <w:pPr>
        <w:spacing w:after="0" w:line="33" w:lineRule="exact"/>
        <w:rPr>
          <w:sz w:val="24"/>
          <w:szCs w:val="24"/>
          <w:color w:val="auto"/>
        </w:rPr>
      </w:pPr>
    </w:p>
    <w:p>
      <w:pPr>
        <w:ind w:left="1100" w:hanging="698"/>
        <w:spacing w:after="0"/>
        <w:tabs>
          <w:tab w:leader="none" w:pos="110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QUARTERLY REPORT PURSUANT TO SECTION 13 OR 15(d) OF THE SECURITIES EXCHANGE ACT OF 1934</w:t>
      </w:r>
    </w:p>
    <w:p>
      <w:pPr>
        <w:sectPr>
          <w:pgSz w:w="11900" w:h="16838" w:orient="portrait"/>
          <w:cols w:equalWidth="0" w:num="1">
            <w:col w:w="11240"/>
          </w:cols>
          <w:pgMar w:left="320" w:top="228" w:right="339" w:bottom="1440" w:gutter="0" w:footer="0" w:header="0"/>
        </w:sectPr>
      </w:pPr>
    </w:p>
    <w:p>
      <w:pPr>
        <w:spacing w:after="0" w:line="48" w:lineRule="exact"/>
        <w:rPr>
          <w:sz w:val="24"/>
          <w:szCs w:val="24"/>
          <w:color w:val="auto"/>
        </w:rPr>
      </w:pPr>
    </w:p>
    <w:p>
      <w:pPr>
        <w:jc w:val="right"/>
        <w:ind w:right="5520"/>
        <w:spacing w:after="0"/>
        <w:tabs>
          <w:tab w:leader="none" w:pos="1440" w:val="left"/>
        </w:tabs>
        <w:rPr>
          <w:sz w:val="20"/>
          <w:szCs w:val="20"/>
          <w:color w:val="auto"/>
        </w:rPr>
      </w:pPr>
      <w:r>
        <w:rPr>
          <w:rFonts w:ascii="Arial" w:cs="Arial" w:eastAsia="Arial" w:hAnsi="Arial"/>
          <w:sz w:val="18"/>
          <w:szCs w:val="18"/>
          <w:b w:val="1"/>
          <w:bCs w:val="1"/>
          <w:color w:val="auto"/>
        </w:rPr>
        <w:t>For the quarterly period ended</w:t>
      </w:r>
      <w:r>
        <w:rPr>
          <w:sz w:val="20"/>
          <w:szCs w:val="20"/>
          <w:color w:val="auto"/>
        </w:rPr>
        <w:tab/>
      </w:r>
      <w:r>
        <w:rPr>
          <w:rFonts w:ascii="Arial" w:cs="Arial" w:eastAsia="Arial" w:hAnsi="Arial"/>
          <w:sz w:val="17"/>
          <w:szCs w:val="17"/>
          <w:b w:val="1"/>
          <w:bCs w:val="1"/>
          <w:color w:val="auto"/>
        </w:rPr>
        <w:t>October 31, 2020</w:t>
      </w:r>
    </w:p>
    <w:p>
      <w:pPr>
        <w:spacing w:after="0" w:line="15" w:lineRule="exact"/>
        <w:rPr>
          <w:sz w:val="24"/>
          <w:szCs w:val="24"/>
          <w:color w:val="auto"/>
        </w:rPr>
      </w:pPr>
    </w:p>
    <w:p>
      <w:pPr>
        <w:jc w:val="right"/>
        <w:ind w:right="5480"/>
        <w:spacing w:after="0"/>
        <w:rPr>
          <w:sz w:val="20"/>
          <w:szCs w:val="20"/>
          <w:color w:val="auto"/>
        </w:rPr>
      </w:pPr>
      <w:r>
        <w:rPr>
          <w:rFonts w:ascii="Arial" w:cs="Arial" w:eastAsia="Arial" w:hAnsi="Arial"/>
          <w:sz w:val="18"/>
          <w:szCs w:val="18"/>
          <w:color w:val="auto"/>
        </w:rPr>
        <w:t>OR</w:t>
      </w:r>
    </w:p>
    <w:p>
      <w:pPr>
        <w:sectPr>
          <w:pgSz w:w="11900" w:h="16838" w:orient="portrait"/>
          <w:cols w:equalWidth="0" w:num="1">
            <w:col w:w="11240"/>
          </w:cols>
          <w:pgMar w:left="320" w:top="228" w:right="339" w:bottom="1440" w:gutter="0" w:footer="0" w:header="0"/>
          <w:type w:val="continuous"/>
        </w:sectPr>
      </w:pPr>
    </w:p>
    <w:p>
      <w:pPr>
        <w:spacing w:after="0" w:line="11" w:lineRule="exact"/>
        <w:rPr>
          <w:sz w:val="24"/>
          <w:szCs w:val="24"/>
          <w:color w:val="auto"/>
        </w:rPr>
      </w:pPr>
    </w:p>
    <w:p>
      <w:pPr>
        <w:ind w:left="1100" w:hanging="691"/>
        <w:spacing w:after="0"/>
        <w:tabs>
          <w:tab w:leader="none" w:pos="1100" w:val="left"/>
        </w:tabs>
        <w:numPr>
          <w:ilvl w:val="0"/>
          <w:numId w:val="2"/>
        </w:numPr>
        <w:rPr>
          <w:rFonts w:ascii="MS PGothic" w:cs="MS PGothic" w:eastAsia="MS PGothic" w:hAnsi="MS PGothic"/>
          <w:sz w:val="15"/>
          <w:szCs w:val="15"/>
          <w:color w:val="auto"/>
        </w:rPr>
      </w:pPr>
      <w:r>
        <w:rPr>
          <w:rFonts w:ascii="Arial" w:cs="Arial" w:eastAsia="Arial" w:hAnsi="Arial"/>
          <w:sz w:val="17"/>
          <w:szCs w:val="17"/>
          <w:color w:val="auto"/>
        </w:rPr>
        <w:t>TRANSITION REPORT PURSUANT TO SECTION 13 OR 15(d) OF THE SECURITIES EXCHANGE ACT OF 1934</w:t>
      </w:r>
    </w:p>
    <w:p>
      <w:pPr>
        <w:sectPr>
          <w:pgSz w:w="11900" w:h="16838" w:orient="portrait"/>
          <w:cols w:equalWidth="0" w:num="1">
            <w:col w:w="11240"/>
          </w:cols>
          <w:pgMar w:left="320" w:top="228" w:right="339" w:bottom="1440" w:gutter="0" w:footer="0" w:header="0"/>
          <w:type w:val="continuous"/>
        </w:sectPr>
      </w:pPr>
    </w:p>
    <w:p>
      <w:pPr>
        <w:spacing w:after="0" w:line="32" w:lineRule="exact"/>
        <w:rPr>
          <w:sz w:val="24"/>
          <w:szCs w:val="24"/>
          <w:color w:val="auto"/>
        </w:rPr>
      </w:pPr>
    </w:p>
    <w:p>
      <w:pPr>
        <w:ind w:left="1100"/>
        <w:spacing w:after="0"/>
        <w:tabs>
          <w:tab w:leader="none" w:pos="42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194" w:lineRule="exact"/>
        <w:rPr>
          <w:sz w:val="24"/>
          <w:szCs w:val="24"/>
          <w:color w:val="auto"/>
        </w:rPr>
      </w:pPr>
    </w:p>
    <w:p>
      <w:pPr>
        <w:ind w:left="4240"/>
        <w:spacing w:after="0"/>
        <w:rPr>
          <w:sz w:val="20"/>
          <w:szCs w:val="20"/>
          <w:color w:val="auto"/>
        </w:rPr>
      </w:pPr>
      <w:r>
        <w:rPr>
          <w:rFonts w:ascii="Arial" w:cs="Arial" w:eastAsia="Arial" w:hAnsi="Arial"/>
          <w:sz w:val="17"/>
          <w:szCs w:val="17"/>
          <w:b w:val="1"/>
          <w:bCs w:val="1"/>
          <w:color w:val="auto"/>
        </w:rPr>
        <w:t>Commission file number 1-06089</w:t>
      </w:r>
    </w:p>
    <w:p>
      <w:pPr>
        <w:sectPr>
          <w:pgSz w:w="11900" w:h="16838" w:orient="portrait"/>
          <w:cols w:equalWidth="0" w:num="1">
            <w:col w:w="11240"/>
          </w:cols>
          <w:pgMar w:left="320" w:top="228" w:right="339" w:bottom="1440" w:gutter="0" w:footer="0" w:header="0"/>
          <w:type w:val="continuous"/>
        </w:sectPr>
      </w:pPr>
    </w:p>
    <w:p>
      <w:pPr>
        <w:spacing w:after="0" w:line="200" w:lineRule="exact"/>
        <w:rPr>
          <w:sz w:val="24"/>
          <w:szCs w:val="24"/>
          <w:color w:val="auto"/>
        </w:rPr>
      </w:pPr>
    </w:p>
    <w:p>
      <w:pPr>
        <w:spacing w:after="0" w:line="27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H&amp;R Block, Inc.</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240"/>
          </w:cols>
          <w:pgMar w:left="320" w:top="228" w:right="339" w:bottom="1440" w:gutter="0" w:footer="0" w:header="0"/>
          <w:type w:val="continuous"/>
        </w:sectPr>
      </w:pPr>
    </w:p>
    <w:p>
      <w:pPr>
        <w:spacing w:after="0" w:line="91" w:lineRule="exact"/>
        <w:rPr>
          <w:sz w:val="24"/>
          <w:szCs w:val="24"/>
          <w:color w:val="auto"/>
        </w:rPr>
      </w:pPr>
    </w:p>
    <w:p>
      <w:pPr>
        <w:ind w:left="2420"/>
        <w:spacing w:after="0"/>
        <w:rPr>
          <w:sz w:val="20"/>
          <w:szCs w:val="20"/>
          <w:color w:val="auto"/>
        </w:rPr>
      </w:pPr>
      <w:r>
        <w:rPr>
          <w:rFonts w:ascii="Arial" w:cs="Arial" w:eastAsia="Arial" w:hAnsi="Arial"/>
          <w:sz w:val="17"/>
          <w:szCs w:val="17"/>
          <w:b w:val="1"/>
          <w:bCs w:val="1"/>
          <w:color w:val="auto"/>
        </w:rPr>
        <w:t>Missouri</w:t>
      </w:r>
    </w:p>
    <w:p>
      <w:pPr>
        <w:spacing w:after="0" w:line="20" w:lineRule="exact"/>
        <w:rPr>
          <w:sz w:val="24"/>
          <w:szCs w:val="24"/>
          <w:color w:val="auto"/>
        </w:rPr>
      </w:pPr>
      <w:r>
        <w:rPr>
          <w:sz w:val="24"/>
          <w:szCs w:val="24"/>
          <w:color w:val="auto"/>
        </w:rPr>
        <w:br w:type="column"/>
      </w:r>
    </w:p>
    <w:p>
      <w:pPr>
        <w:spacing w:after="0" w:line="71"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44-0607856</w:t>
      </w:r>
    </w:p>
    <w:p>
      <w:pPr>
        <w:spacing w:after="0" w:line="56" w:lineRule="exact"/>
        <w:rPr>
          <w:sz w:val="24"/>
          <w:szCs w:val="24"/>
          <w:color w:val="auto"/>
        </w:rPr>
      </w:pPr>
    </w:p>
    <w:p>
      <w:pPr>
        <w:sectPr>
          <w:pgSz w:w="11900" w:h="16838" w:orient="portrait"/>
          <w:cols w:equalWidth="0" w:num="2">
            <w:col w:w="7280" w:space="720"/>
            <w:col w:w="3240"/>
          </w:cols>
          <w:pgMar w:left="320" w:top="228" w:right="339" w:bottom="1440" w:gutter="0" w:footer="0" w:header="0"/>
          <w:type w:val="continuous"/>
        </w:sectPr>
      </w:pPr>
    </w:p>
    <w:p>
      <w:pPr>
        <w:ind w:left="1900"/>
        <w:spacing w:after="0"/>
        <w:rPr>
          <w:sz w:val="20"/>
          <w:szCs w:val="20"/>
          <w:color w:val="auto"/>
        </w:rPr>
      </w:pPr>
      <w:r>
        <w:rPr>
          <w:rFonts w:ascii="Arial" w:cs="Arial" w:eastAsia="Arial" w:hAnsi="Arial"/>
          <w:sz w:val="14"/>
          <w:szCs w:val="14"/>
          <w:color w:val="auto"/>
        </w:rPr>
        <w:t>(State or other jurisdiction of</w:t>
      </w:r>
    </w:p>
    <w:p>
      <w:pPr>
        <w:spacing w:after="0" w:line="20" w:lineRule="exact"/>
        <w:rPr>
          <w:sz w:val="24"/>
          <w:szCs w:val="24"/>
          <w:color w:val="auto"/>
        </w:rPr>
      </w:pPr>
    </w:p>
    <w:p>
      <w:pPr>
        <w:ind w:left="1860"/>
        <w:spacing w:after="0"/>
        <w:rPr>
          <w:sz w:val="20"/>
          <w:szCs w:val="20"/>
          <w:color w:val="auto"/>
        </w:rPr>
      </w:pPr>
      <w:r>
        <w:rPr>
          <w:rFonts w:ascii="Arial" w:cs="Arial" w:eastAsia="Arial" w:hAnsi="Arial"/>
          <w:sz w:val="14"/>
          <w:szCs w:val="14"/>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4"/>
          <w:szCs w:val="14"/>
          <w:color w:val="auto"/>
        </w:rPr>
        <w:t>(I.R.S. Employer</w:t>
      </w:r>
    </w:p>
    <w:p>
      <w:pPr>
        <w:spacing w:after="0" w:line="20" w:lineRule="exact"/>
        <w:rPr>
          <w:sz w:val="24"/>
          <w:szCs w:val="24"/>
          <w:color w:val="auto"/>
        </w:rPr>
      </w:pPr>
    </w:p>
    <w:p>
      <w:pPr>
        <w:spacing w:after="0"/>
        <w:rPr>
          <w:sz w:val="20"/>
          <w:szCs w:val="20"/>
          <w:color w:val="auto"/>
        </w:rPr>
      </w:pPr>
      <w:r>
        <w:rPr>
          <w:rFonts w:ascii="Arial" w:cs="Arial" w:eastAsia="Arial" w:hAnsi="Arial"/>
          <w:sz w:val="14"/>
          <w:szCs w:val="14"/>
          <w:color w:val="auto"/>
        </w:rPr>
        <w:t>Identification No.)</w:t>
      </w:r>
    </w:p>
    <w:p>
      <w:pPr>
        <w:spacing w:after="0" w:line="143" w:lineRule="exact"/>
        <w:rPr>
          <w:sz w:val="24"/>
          <w:szCs w:val="24"/>
          <w:color w:val="auto"/>
        </w:rPr>
      </w:pPr>
    </w:p>
    <w:p>
      <w:pPr>
        <w:sectPr>
          <w:pgSz w:w="11900" w:h="16838" w:orient="portrait"/>
          <w:cols w:equalWidth="0" w:num="2">
            <w:col w:w="7200" w:space="720"/>
            <w:col w:w="3320"/>
          </w:cols>
          <w:pgMar w:left="320" w:top="228" w:right="3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One H&amp;R Block Way, Kansas City, Missouri 64105</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(Address of principal executive offices, including zip code)</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(816) 854-3000</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(Registrant's telephone number, including area code)</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12(b) of the Act:</w:t>
      </w:r>
    </w:p>
    <w:p>
      <w:pPr>
        <w:sectPr>
          <w:pgSz w:w="11900" w:h="16838" w:orient="portrait"/>
          <w:cols w:equalWidth="0" w:num="1">
            <w:col w:w="11240"/>
          </w:cols>
          <w:pgMar w:left="320" w:top="228" w:right="339" w:bottom="1440" w:gutter="0" w:footer="0" w:header="0"/>
          <w:type w:val="continuous"/>
        </w:sectPr>
      </w:pPr>
    </w:p>
    <w:p>
      <w:pPr>
        <w:spacing w:after="0" w:line="142" w:lineRule="exact"/>
        <w:rPr>
          <w:sz w:val="24"/>
          <w:szCs w:val="24"/>
          <w:color w:val="auto"/>
        </w:rPr>
      </w:pPr>
    </w:p>
    <w:p>
      <w:pPr>
        <w:ind w:left="1720"/>
        <w:spacing w:after="0"/>
        <w:rPr>
          <w:sz w:val="20"/>
          <w:szCs w:val="20"/>
          <w:color w:val="auto"/>
        </w:rPr>
      </w:pPr>
      <w:r>
        <w:rPr>
          <w:rFonts w:ascii="Arial" w:cs="Arial" w:eastAsia="Arial" w:hAnsi="Arial"/>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2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Trading Symbol(s)</w:t>
      </w:r>
    </w:p>
    <w:p>
      <w:pPr>
        <w:spacing w:after="0" w:line="20" w:lineRule="exact"/>
        <w:rPr>
          <w:sz w:val="24"/>
          <w:szCs w:val="24"/>
          <w:color w:val="auto"/>
        </w:rPr>
      </w:pPr>
      <w:r>
        <w:rPr>
          <w:sz w:val="24"/>
          <w:szCs w:val="24"/>
          <w:color w:val="auto"/>
        </w:rPr>
        <w:br w:type="column"/>
      </w:r>
    </w:p>
    <w:p>
      <w:pPr>
        <w:spacing w:after="0" w:line="12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Name of each exchange on which registered</w:t>
      </w:r>
    </w:p>
    <w:p>
      <w:pPr>
        <w:spacing w:after="0" w:line="40" w:lineRule="exact"/>
        <w:rPr>
          <w:sz w:val="24"/>
          <w:szCs w:val="24"/>
          <w:color w:val="auto"/>
        </w:rPr>
      </w:pPr>
    </w:p>
    <w:p>
      <w:pPr>
        <w:sectPr>
          <w:pgSz w:w="11900" w:h="16838" w:orient="portrait"/>
          <w:cols w:equalWidth="0" w:num="3">
            <w:col w:w="4280" w:space="720"/>
            <w:col w:w="1680" w:space="720"/>
            <w:col w:w="3840"/>
          </w:cols>
          <w:pgMar w:left="320" w:top="228" w:right="339" w:bottom="1440" w:gutter="0" w:footer="0" w:header="0"/>
          <w:type w:val="continuous"/>
        </w:sectPr>
      </w:pPr>
    </w:p>
    <w:p>
      <w:pPr>
        <w:ind w:left="1120"/>
        <w:spacing w:after="0"/>
        <w:rPr>
          <w:sz w:val="20"/>
          <w:szCs w:val="20"/>
          <w:color w:val="auto"/>
        </w:rPr>
      </w:pPr>
      <w:r>
        <w:rPr>
          <w:rFonts w:ascii="Arial" w:cs="Arial" w:eastAsia="Arial" w:hAnsi="Arial"/>
          <w:sz w:val="16"/>
          <w:szCs w:val="16"/>
          <w:color w:val="auto"/>
        </w:rPr>
        <w:t>Common Stock, without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HRB</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New York Stock Exchange</w:t>
      </w:r>
    </w:p>
    <w:p>
      <w:pPr>
        <w:spacing w:after="0" w:line="188" w:lineRule="exact"/>
        <w:rPr>
          <w:sz w:val="24"/>
          <w:szCs w:val="24"/>
          <w:color w:val="auto"/>
        </w:rPr>
      </w:pPr>
    </w:p>
    <w:p>
      <w:pPr>
        <w:sectPr>
          <w:pgSz w:w="11900" w:h="16838" w:orient="portrait"/>
          <w:cols w:equalWidth="0" w:num="3">
            <w:col w:w="4720" w:space="720"/>
            <w:col w:w="1800" w:space="720"/>
            <w:col w:w="3280"/>
          </w:cols>
          <w:pgMar w:left="320" w:top="228" w:right="339" w:bottom="1440" w:gutter="0" w:footer="0" w:header="0"/>
          <w:type w:val="continuous"/>
        </w:sectPr>
      </w:pPr>
    </w:p>
    <w:p>
      <w:pPr>
        <w:jc w:val="both"/>
        <w:spacing w:after="0" w:line="257"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196" w:lineRule="exact"/>
        <w:tabs>
          <w:tab w:leader="none" w:pos="68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6"/>
          <w:szCs w:val="16"/>
          <w:color w:val="auto"/>
        </w:rPr>
        <w:t>☐</w:t>
      </w:r>
    </w:p>
    <w:p>
      <w:pPr>
        <w:spacing w:after="0" w:line="149" w:lineRule="exact"/>
        <w:rPr>
          <w:sz w:val="24"/>
          <w:szCs w:val="24"/>
          <w:color w:val="auto"/>
        </w:rPr>
      </w:pPr>
    </w:p>
    <w:p>
      <w:pPr>
        <w:jc w:val="both"/>
        <w:spacing w:after="0" w:line="264"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96" w:lineRule="exact"/>
        <w:tabs>
          <w:tab w:leader="none" w:pos="68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6"/>
          <w:szCs w:val="16"/>
          <w:color w:val="auto"/>
        </w:rPr>
        <w:t>☐</w:t>
      </w:r>
    </w:p>
    <w:p>
      <w:pPr>
        <w:spacing w:after="0" w:line="149" w:lineRule="exact"/>
        <w:rPr>
          <w:sz w:val="24"/>
          <w:szCs w:val="24"/>
          <w:color w:val="auto"/>
        </w:rPr>
      </w:pPr>
    </w:p>
    <w:p>
      <w:pPr>
        <w:jc w:val="both"/>
        <w:spacing w:after="0" w:line="26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29" w:lineRule="exact"/>
        <w:rPr>
          <w:sz w:val="24"/>
          <w:szCs w:val="24"/>
          <w:color w:val="auto"/>
        </w:rPr>
      </w:pPr>
    </w:p>
    <w:p>
      <w:pPr>
        <w:spacing w:after="0" w:line="196" w:lineRule="exact"/>
        <w:tabs>
          <w:tab w:leader="none" w:pos="1920" w:val="left"/>
          <w:tab w:leader="none" w:pos="3500" w:val="left"/>
          <w:tab w:leader="none" w:pos="5300" w:val="left"/>
          <w:tab w:leader="none" w:pos="7380" w:val="left"/>
        </w:tabs>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7"/>
          <w:szCs w:val="17"/>
          <w:color w:val="auto"/>
        </w:rPr>
        <w:t>☑</w:t>
      </w:r>
      <w:r>
        <w:rPr>
          <w:sz w:val="20"/>
          <w:szCs w:val="20"/>
          <w:color w:val="auto"/>
        </w:rPr>
        <w:tab/>
      </w:r>
      <w:r>
        <w:rPr>
          <w:rFonts w:ascii="Arial" w:cs="Arial" w:eastAsia="Arial" w:hAnsi="Arial"/>
          <w:sz w:val="13"/>
          <w:szCs w:val="13"/>
          <w:color w:val="auto"/>
        </w:rPr>
        <w:t xml:space="preserve">Accelerated filer </w:t>
      </w:r>
      <w:r>
        <w:rPr>
          <w:rFonts w:ascii="MS PGothic" w:cs="MS PGothic" w:eastAsia="MS PGothic" w:hAnsi="MS PGothic"/>
          <w:sz w:val="17"/>
          <w:szCs w:val="17"/>
          <w:color w:val="auto"/>
        </w:rPr>
        <w:t>☐</w:t>
      </w:r>
      <w:r>
        <w:rPr>
          <w:sz w:val="20"/>
          <w:szCs w:val="20"/>
          <w:color w:val="auto"/>
        </w:rPr>
        <w:tab/>
      </w:r>
      <w:r>
        <w:rPr>
          <w:rFonts w:ascii="Arial" w:cs="Arial" w:eastAsia="Arial" w:hAnsi="Arial"/>
          <w:sz w:val="13"/>
          <w:szCs w:val="13"/>
          <w:color w:val="auto"/>
        </w:rPr>
        <w:t xml:space="preserve">Non-accelerated filer </w:t>
      </w:r>
      <w:r>
        <w:rPr>
          <w:rFonts w:ascii="MS PGothic" w:cs="MS PGothic" w:eastAsia="MS PGothic" w:hAnsi="MS PGothic"/>
          <w:sz w:val="17"/>
          <w:szCs w:val="17"/>
          <w:color w:val="auto"/>
        </w:rPr>
        <w:t>☐</w:t>
      </w:r>
      <w:r>
        <w:rPr>
          <w:sz w:val="20"/>
          <w:szCs w:val="20"/>
          <w:color w:val="auto"/>
        </w:rPr>
        <w:tab/>
      </w:r>
      <w:r>
        <w:rPr>
          <w:rFonts w:ascii="Arial" w:cs="Arial" w:eastAsia="Arial" w:hAnsi="Arial"/>
          <w:sz w:val="13"/>
          <w:szCs w:val="13"/>
          <w:color w:val="auto"/>
        </w:rPr>
        <w:t xml:space="preserve">Smaller reporting company </w:t>
      </w:r>
      <w:r>
        <w:rPr>
          <w:rFonts w:ascii="MS PGothic" w:cs="MS PGothic" w:eastAsia="MS PGothic" w:hAnsi="MS PGothic"/>
          <w:sz w:val="17"/>
          <w:szCs w:val="17"/>
          <w:color w:val="auto"/>
        </w:rPr>
        <w:t>☐</w:t>
      </w:r>
      <w:r>
        <w:rPr>
          <w:sz w:val="20"/>
          <w:szCs w:val="20"/>
          <w:color w:val="auto"/>
        </w:rPr>
        <w:tab/>
      </w:r>
      <w:r>
        <w:rPr>
          <w:rFonts w:ascii="Arial" w:cs="Arial" w:eastAsia="Arial" w:hAnsi="Arial"/>
          <w:sz w:val="13"/>
          <w:szCs w:val="13"/>
          <w:color w:val="auto"/>
        </w:rPr>
        <w:t xml:space="preserve">Emerging growth company </w:t>
      </w:r>
      <w:r>
        <w:rPr>
          <w:rFonts w:ascii="MS PGothic" w:cs="MS PGothic" w:eastAsia="MS PGothic" w:hAnsi="MS PGothic"/>
          <w:sz w:val="17"/>
          <w:szCs w:val="17"/>
          <w:color w:val="auto"/>
        </w:rPr>
        <w:t>☐</w:t>
      </w:r>
    </w:p>
    <w:p>
      <w:pPr>
        <w:spacing w:after="0" w:line="262" w:lineRule="exact"/>
        <w:rPr>
          <w:sz w:val="24"/>
          <w:szCs w:val="24"/>
          <w:color w:val="auto"/>
        </w:rPr>
      </w:pPr>
    </w:p>
    <w:p>
      <w:pPr>
        <w:jc w:val="both"/>
        <w:spacing w:after="0" w:line="219"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71"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33" w:lineRule="exact"/>
        <w:rPr>
          <w:sz w:val="24"/>
          <w:szCs w:val="24"/>
          <w:color w:val="auto"/>
        </w:rPr>
      </w:pPr>
    </w:p>
    <w:p>
      <w:pPr>
        <w:spacing w:after="0" w:line="196" w:lineRule="exact"/>
        <w:tabs>
          <w:tab w:leader="none" w:pos="64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7"/>
          <w:szCs w:val="17"/>
          <w:color w:val="auto"/>
        </w:rPr>
        <w:t>☐</w:t>
      </w:r>
      <w:r>
        <w:rPr>
          <w:rFonts w:ascii="Arial" w:cs="Arial" w:eastAsia="Arial" w:hAnsi="Arial"/>
          <w:sz w:val="16"/>
          <w:szCs w:val="16"/>
          <w:color w:val="auto"/>
        </w:rPr>
        <w:tab/>
        <w:t xml:space="preserve">No </w:t>
      </w:r>
      <w:r>
        <w:rPr>
          <w:rFonts w:ascii="MS PGothic" w:cs="MS PGothic" w:eastAsia="MS PGothic" w:hAnsi="MS PGothic"/>
          <w:sz w:val="17"/>
          <w:szCs w:val="17"/>
          <w:color w:val="auto"/>
        </w:rPr>
        <w:t>☑</w:t>
      </w:r>
    </w:p>
    <w:p>
      <w:pPr>
        <w:spacing w:after="0" w:line="149"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outstanding of the registrant's Common Stock, without par value, at the close of business on November 30, 2020: 183,418,345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829945</wp:posOffset>
            </wp:positionV>
            <wp:extent cx="71335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3590"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98425</wp:posOffset>
            </wp:positionV>
            <wp:extent cx="71335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type w:val="continuous"/>
        </w:sectPr>
      </w:pPr>
    </w:p>
    <w:bookmarkStart w:id="1" w:name="page2"/>
    <w:bookmarkEnd w:id="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1060" w:type="dxa"/>
            <w:vAlign w:val="bottom"/>
          </w:tcPr>
          <w:p>
            <w:pPr>
              <w:spacing w:after="0"/>
              <w:rPr>
                <w:sz w:val="24"/>
                <w:szCs w:val="24"/>
                <w:color w:val="auto"/>
              </w:rPr>
            </w:pPr>
          </w:p>
        </w:tc>
        <w:tc>
          <w:tcPr>
            <w:tcW w:w="9000" w:type="dxa"/>
            <w:vAlign w:val="bottom"/>
          </w:tcPr>
          <w:p>
            <w:pPr>
              <w:ind w:left="2060"/>
              <w:spacing w:after="0"/>
              <w:rPr>
                <w:sz w:val="20"/>
                <w:szCs w:val="20"/>
                <w:color w:val="auto"/>
              </w:rPr>
            </w:pPr>
            <w:r>
              <w:rPr>
                <w:rFonts w:ascii="Arial" w:cs="Arial" w:eastAsia="Arial" w:hAnsi="Arial"/>
                <w:sz w:val="21"/>
                <w:szCs w:val="21"/>
                <w:b w:val="1"/>
                <w:bCs w:val="1"/>
                <w:color w:val="auto"/>
              </w:rPr>
              <w:t>Form 10-Q for the Period Ended October 31, 2020</w:t>
            </w:r>
          </w:p>
        </w:tc>
        <w:tc>
          <w:tcPr>
            <w:tcW w:w="1180" w:type="dxa"/>
            <w:vAlign w:val="bottom"/>
          </w:tcPr>
          <w:p>
            <w:pPr>
              <w:spacing w:after="0"/>
              <w:rPr>
                <w:sz w:val="24"/>
                <w:szCs w:val="24"/>
                <w:color w:val="auto"/>
              </w:rPr>
            </w:pPr>
          </w:p>
        </w:tc>
      </w:tr>
      <w:tr>
        <w:trPr>
          <w:trHeight w:val="362"/>
        </w:trPr>
        <w:tc>
          <w:tcPr>
            <w:tcW w:w="1060" w:type="dxa"/>
            <w:vAlign w:val="bottom"/>
          </w:tcPr>
          <w:p>
            <w:pPr>
              <w:spacing w:after="0"/>
              <w:rPr>
                <w:sz w:val="24"/>
                <w:szCs w:val="24"/>
                <w:color w:val="auto"/>
              </w:rPr>
            </w:pPr>
          </w:p>
        </w:tc>
        <w:tc>
          <w:tcPr>
            <w:tcW w:w="9000" w:type="dxa"/>
            <w:vAlign w:val="bottom"/>
          </w:tcPr>
          <w:p>
            <w:pPr>
              <w:ind w:left="3660"/>
              <w:spacing w:after="0"/>
              <w:rPr>
                <w:sz w:val="20"/>
                <w:szCs w:val="20"/>
                <w:color w:val="auto"/>
              </w:rPr>
            </w:pPr>
            <w:r>
              <w:rPr>
                <w:rFonts w:ascii="Arial" w:cs="Arial" w:eastAsia="Arial" w:hAnsi="Arial"/>
                <w:sz w:val="21"/>
                <w:szCs w:val="21"/>
                <w:b w:val="1"/>
                <w:bCs w:val="1"/>
                <w:color w:val="auto"/>
              </w:rPr>
              <w:t>Table of Contents</w:t>
            </w:r>
          </w:p>
        </w:tc>
        <w:tc>
          <w:tcPr>
            <w:tcW w:w="1180" w:type="dxa"/>
            <w:vAlign w:val="bottom"/>
          </w:tcPr>
          <w:p>
            <w:pPr>
              <w:spacing w:after="0"/>
              <w:rPr>
                <w:sz w:val="24"/>
                <w:szCs w:val="24"/>
                <w:color w:val="auto"/>
              </w:rPr>
            </w:pPr>
          </w:p>
        </w:tc>
      </w:tr>
      <w:tr>
        <w:trPr>
          <w:trHeight w:val="375"/>
        </w:trPr>
        <w:tc>
          <w:tcPr>
            <w:tcW w:w="1060" w:type="dxa"/>
            <w:vAlign w:val="bottom"/>
          </w:tcPr>
          <w:p>
            <w:pPr>
              <w:spacing w:after="0"/>
              <w:rPr>
                <w:sz w:val="24"/>
                <w:szCs w:val="24"/>
                <w:color w:val="auto"/>
              </w:rPr>
            </w:pPr>
          </w:p>
        </w:tc>
        <w:tc>
          <w:tcPr>
            <w:tcW w:w="9000" w:type="dxa"/>
            <w:vAlign w:val="bottom"/>
          </w:tcPr>
          <w:p>
            <w:pPr>
              <w:ind w:left="4140"/>
              <w:spacing w:after="0"/>
              <w:rPr>
                <w:rFonts w:ascii="Arial" w:cs="Arial" w:eastAsia="Arial" w:hAnsi="Arial"/>
                <w:sz w:val="21"/>
                <w:szCs w:val="21"/>
                <w:b w:val="1"/>
                <w:bCs w:val="1"/>
                <w:color w:val="auto"/>
              </w:rPr>
            </w:pPr>
            <w:hyperlink w:anchor="page2">
              <w:r>
                <w:rPr>
                  <w:rFonts w:ascii="Arial" w:cs="Arial" w:eastAsia="Arial" w:hAnsi="Arial"/>
                  <w:sz w:val="21"/>
                  <w:szCs w:val="21"/>
                  <w:b w:val="1"/>
                  <w:bCs w:val="1"/>
                  <w:color w:val="auto"/>
                </w:rPr>
                <w:t>PART I</w:t>
              </w:r>
            </w:hyperlink>
          </w:p>
        </w:tc>
        <w:tc>
          <w:tcPr>
            <w:tcW w:w="1180" w:type="dxa"/>
            <w:vAlign w:val="bottom"/>
          </w:tcPr>
          <w:p>
            <w:pPr>
              <w:spacing w:after="0"/>
              <w:rPr>
                <w:sz w:val="24"/>
                <w:szCs w:val="24"/>
                <w:color w:val="auto"/>
              </w:rPr>
            </w:pPr>
          </w:p>
        </w:tc>
      </w:tr>
      <w:tr>
        <w:trPr>
          <w:trHeight w:val="287"/>
        </w:trPr>
        <w:tc>
          <w:tcPr>
            <w:tcW w:w="1060" w:type="dxa"/>
            <w:vAlign w:val="bottom"/>
          </w:tcPr>
          <w:p>
            <w:pPr>
              <w:ind w:left="20"/>
              <w:spacing w:after="0"/>
              <w:rPr>
                <w:sz w:val="20"/>
                <w:szCs w:val="20"/>
                <w:color w:val="auto"/>
              </w:rPr>
            </w:pPr>
            <w:r>
              <w:rPr>
                <w:rFonts w:ascii="Arial" w:cs="Arial" w:eastAsia="Arial" w:hAnsi="Arial"/>
                <w:sz w:val="21"/>
                <w:szCs w:val="21"/>
                <w:color w:val="auto"/>
              </w:rPr>
              <w:t>Item 1.</w:t>
            </w:r>
          </w:p>
        </w:tc>
        <w:tc>
          <w:tcPr>
            <w:tcW w:w="9000" w:type="dxa"/>
            <w:vAlign w:val="bottom"/>
          </w:tcPr>
          <w:p>
            <w:pPr>
              <w:ind w:left="260"/>
              <w:spacing w:after="0"/>
              <w:rPr>
                <w:sz w:val="20"/>
                <w:szCs w:val="20"/>
                <w:color w:val="auto"/>
              </w:rPr>
            </w:pPr>
            <w:r>
              <w:rPr>
                <w:rFonts w:ascii="Arial" w:cs="Arial" w:eastAsia="Arial" w:hAnsi="Arial"/>
                <w:sz w:val="21"/>
                <w:szCs w:val="21"/>
                <w:color w:val="auto"/>
              </w:rPr>
              <w:t>Consolidated Statements of Operations and Comprehensive Loss</w:t>
            </w:r>
          </w:p>
        </w:tc>
        <w:tc>
          <w:tcPr>
            <w:tcW w:w="1180" w:type="dxa"/>
            <w:vAlign w:val="bottom"/>
          </w:tcPr>
          <w:p>
            <w:pPr>
              <w:spacing w:after="0"/>
              <w:rPr>
                <w:sz w:val="24"/>
                <w:szCs w:val="24"/>
                <w:color w:val="auto"/>
              </w:rPr>
            </w:pPr>
          </w:p>
        </w:tc>
      </w:tr>
      <w:tr>
        <w:trPr>
          <w:trHeight w:val="290"/>
        </w:trPr>
        <w:tc>
          <w:tcPr>
            <w:tcW w:w="1060" w:type="dxa"/>
            <w:vAlign w:val="bottom"/>
          </w:tcPr>
          <w:p>
            <w:pPr>
              <w:spacing w:after="0"/>
              <w:rPr>
                <w:sz w:val="24"/>
                <w:szCs w:val="24"/>
                <w:color w:val="auto"/>
              </w:rPr>
            </w:pPr>
          </w:p>
        </w:tc>
        <w:tc>
          <w:tcPr>
            <w:tcW w:w="9000" w:type="dxa"/>
            <w:vAlign w:val="bottom"/>
          </w:tcPr>
          <w:p>
            <w:pPr>
              <w:ind w:left="380"/>
              <w:spacing w:after="0"/>
              <w:rPr>
                <w:sz w:val="20"/>
                <w:szCs w:val="20"/>
                <w:color w:val="auto"/>
              </w:rPr>
            </w:pPr>
            <w:r>
              <w:rPr>
                <w:rFonts w:ascii="Arial" w:cs="Arial" w:eastAsia="Arial" w:hAnsi="Arial"/>
                <w:sz w:val="21"/>
                <w:szCs w:val="21"/>
                <w:color w:val="auto"/>
              </w:rPr>
              <w:t>Three and six months ended October 31, 2020 and 2019</w:t>
            </w:r>
          </w:p>
        </w:tc>
        <w:tc>
          <w:tcPr>
            <w:tcW w:w="1180" w:type="dxa"/>
            <w:vAlign w:val="bottom"/>
          </w:tcPr>
          <w:p>
            <w:pPr>
              <w:jc w:val="center"/>
              <w:ind w:right="153"/>
              <w:spacing w:after="0"/>
              <w:rPr>
                <w:rFonts w:ascii="Arial" w:cs="Arial" w:eastAsia="Arial" w:hAnsi="Arial"/>
                <w:sz w:val="21"/>
                <w:szCs w:val="21"/>
                <w:u w:val="single" w:color="auto"/>
                <w:color w:val="0000FF"/>
              </w:rPr>
            </w:pPr>
            <w:hyperlink w:anchor="page3">
              <w:r>
                <w:rPr>
                  <w:rFonts w:ascii="Arial" w:cs="Arial" w:eastAsia="Arial" w:hAnsi="Arial"/>
                  <w:sz w:val="21"/>
                  <w:szCs w:val="21"/>
                  <w:u w:val="single" w:color="auto"/>
                  <w:color w:val="0000FF"/>
                </w:rPr>
                <w:t>1</w:t>
              </w:r>
            </w:hyperlink>
          </w:p>
        </w:tc>
      </w:tr>
      <w:tr>
        <w:trPr>
          <w:trHeight w:val="353"/>
        </w:trPr>
        <w:tc>
          <w:tcPr>
            <w:tcW w:w="1060" w:type="dxa"/>
            <w:vAlign w:val="bottom"/>
          </w:tcPr>
          <w:p>
            <w:pPr>
              <w:spacing w:after="0"/>
              <w:rPr>
                <w:sz w:val="24"/>
                <w:szCs w:val="24"/>
                <w:color w:val="auto"/>
              </w:rPr>
            </w:pPr>
          </w:p>
        </w:tc>
        <w:tc>
          <w:tcPr>
            <w:tcW w:w="9000" w:type="dxa"/>
            <w:vAlign w:val="bottom"/>
          </w:tcPr>
          <w:p>
            <w:pPr>
              <w:ind w:left="260"/>
              <w:spacing w:after="0"/>
              <w:rPr>
                <w:sz w:val="20"/>
                <w:szCs w:val="20"/>
                <w:color w:val="auto"/>
              </w:rPr>
            </w:pPr>
            <w:r>
              <w:rPr>
                <w:rFonts w:ascii="Arial" w:cs="Arial" w:eastAsia="Arial" w:hAnsi="Arial"/>
                <w:sz w:val="21"/>
                <w:szCs w:val="21"/>
                <w:color w:val="auto"/>
              </w:rPr>
              <w:t>Consolidated Balance Sheets</w:t>
            </w:r>
          </w:p>
        </w:tc>
        <w:tc>
          <w:tcPr>
            <w:tcW w:w="1180" w:type="dxa"/>
            <w:vAlign w:val="bottom"/>
          </w:tcPr>
          <w:p>
            <w:pPr>
              <w:spacing w:after="0"/>
              <w:rPr>
                <w:sz w:val="24"/>
                <w:szCs w:val="24"/>
                <w:color w:val="auto"/>
              </w:rPr>
            </w:pPr>
          </w:p>
        </w:tc>
      </w:tr>
      <w:tr>
        <w:trPr>
          <w:trHeight w:val="290"/>
        </w:trPr>
        <w:tc>
          <w:tcPr>
            <w:tcW w:w="1060" w:type="dxa"/>
            <w:vAlign w:val="bottom"/>
          </w:tcPr>
          <w:p>
            <w:pPr>
              <w:spacing w:after="0"/>
              <w:rPr>
                <w:sz w:val="24"/>
                <w:szCs w:val="24"/>
                <w:color w:val="auto"/>
              </w:rPr>
            </w:pPr>
          </w:p>
        </w:tc>
        <w:tc>
          <w:tcPr>
            <w:tcW w:w="9000" w:type="dxa"/>
            <w:vAlign w:val="bottom"/>
          </w:tcPr>
          <w:p>
            <w:pPr>
              <w:ind w:left="380"/>
              <w:spacing w:after="0"/>
              <w:rPr>
                <w:sz w:val="20"/>
                <w:szCs w:val="20"/>
                <w:color w:val="auto"/>
              </w:rPr>
            </w:pPr>
            <w:r>
              <w:rPr>
                <w:rFonts w:ascii="Arial" w:cs="Arial" w:eastAsia="Arial" w:hAnsi="Arial"/>
                <w:sz w:val="21"/>
                <w:szCs w:val="21"/>
                <w:color w:val="auto"/>
              </w:rPr>
              <w:t>As of October 31, 2020, October 31, 2019 and April 30, 2020</w:t>
            </w:r>
          </w:p>
        </w:tc>
        <w:tc>
          <w:tcPr>
            <w:tcW w:w="1180" w:type="dxa"/>
            <w:vAlign w:val="bottom"/>
          </w:tcPr>
          <w:p>
            <w:pPr>
              <w:jc w:val="center"/>
              <w:ind w:right="153"/>
              <w:spacing w:after="0"/>
              <w:rPr>
                <w:rFonts w:ascii="Arial" w:cs="Arial" w:eastAsia="Arial" w:hAnsi="Arial"/>
                <w:sz w:val="21"/>
                <w:szCs w:val="21"/>
                <w:u w:val="single" w:color="auto"/>
                <w:color w:val="0000FF"/>
              </w:rPr>
            </w:pPr>
            <w:hyperlink w:anchor="page3">
              <w:r>
                <w:rPr>
                  <w:rFonts w:ascii="Arial" w:cs="Arial" w:eastAsia="Arial" w:hAnsi="Arial"/>
                  <w:sz w:val="21"/>
                  <w:szCs w:val="21"/>
                  <w:u w:val="single" w:color="auto"/>
                  <w:color w:val="0000FF"/>
                </w:rPr>
                <w:t>2</w:t>
              </w:r>
            </w:hyperlink>
          </w:p>
        </w:tc>
      </w:tr>
      <w:tr>
        <w:trPr>
          <w:trHeight w:val="353"/>
        </w:trPr>
        <w:tc>
          <w:tcPr>
            <w:tcW w:w="1060" w:type="dxa"/>
            <w:vAlign w:val="bottom"/>
          </w:tcPr>
          <w:p>
            <w:pPr>
              <w:spacing w:after="0"/>
              <w:rPr>
                <w:sz w:val="24"/>
                <w:szCs w:val="24"/>
                <w:color w:val="auto"/>
              </w:rPr>
            </w:pPr>
          </w:p>
        </w:tc>
        <w:tc>
          <w:tcPr>
            <w:tcW w:w="9000" w:type="dxa"/>
            <w:vAlign w:val="bottom"/>
          </w:tcPr>
          <w:p>
            <w:pPr>
              <w:ind w:left="260"/>
              <w:spacing w:after="0"/>
              <w:rPr>
                <w:sz w:val="20"/>
                <w:szCs w:val="20"/>
                <w:color w:val="auto"/>
              </w:rPr>
            </w:pPr>
            <w:r>
              <w:rPr>
                <w:rFonts w:ascii="Arial" w:cs="Arial" w:eastAsia="Arial" w:hAnsi="Arial"/>
                <w:sz w:val="21"/>
                <w:szCs w:val="21"/>
                <w:color w:val="auto"/>
              </w:rPr>
              <w:t>Consolidated Statements of Cash Flows</w:t>
            </w:r>
          </w:p>
        </w:tc>
        <w:tc>
          <w:tcPr>
            <w:tcW w:w="1180" w:type="dxa"/>
            <w:vAlign w:val="bottom"/>
          </w:tcPr>
          <w:p>
            <w:pPr>
              <w:spacing w:after="0"/>
              <w:rPr>
                <w:sz w:val="24"/>
                <w:szCs w:val="24"/>
                <w:color w:val="auto"/>
              </w:rPr>
            </w:pPr>
          </w:p>
        </w:tc>
      </w:tr>
      <w:tr>
        <w:trPr>
          <w:trHeight w:val="290"/>
        </w:trPr>
        <w:tc>
          <w:tcPr>
            <w:tcW w:w="1060" w:type="dxa"/>
            <w:vAlign w:val="bottom"/>
          </w:tcPr>
          <w:p>
            <w:pPr>
              <w:spacing w:after="0"/>
              <w:rPr>
                <w:sz w:val="24"/>
                <w:szCs w:val="24"/>
                <w:color w:val="auto"/>
              </w:rPr>
            </w:pPr>
          </w:p>
        </w:tc>
        <w:tc>
          <w:tcPr>
            <w:tcW w:w="9000" w:type="dxa"/>
            <w:vAlign w:val="bottom"/>
          </w:tcPr>
          <w:p>
            <w:pPr>
              <w:ind w:left="380"/>
              <w:spacing w:after="0"/>
              <w:rPr>
                <w:sz w:val="20"/>
                <w:szCs w:val="20"/>
                <w:color w:val="auto"/>
              </w:rPr>
            </w:pPr>
            <w:r>
              <w:rPr>
                <w:rFonts w:ascii="Arial" w:cs="Arial" w:eastAsia="Arial" w:hAnsi="Arial"/>
                <w:sz w:val="21"/>
                <w:szCs w:val="21"/>
                <w:color w:val="auto"/>
              </w:rPr>
              <w:t>Six months ended October 31, 2020 and 2019</w:t>
            </w:r>
          </w:p>
        </w:tc>
        <w:tc>
          <w:tcPr>
            <w:tcW w:w="1180" w:type="dxa"/>
            <w:vAlign w:val="bottom"/>
          </w:tcPr>
          <w:p>
            <w:pPr>
              <w:jc w:val="center"/>
              <w:ind w:right="153"/>
              <w:spacing w:after="0"/>
              <w:rPr>
                <w:rFonts w:ascii="Arial" w:cs="Arial" w:eastAsia="Arial" w:hAnsi="Arial"/>
                <w:sz w:val="21"/>
                <w:szCs w:val="21"/>
                <w:u w:val="single" w:color="auto"/>
                <w:color w:val="0000FF"/>
              </w:rPr>
            </w:pPr>
            <w:hyperlink w:anchor="page4">
              <w:r>
                <w:rPr>
                  <w:rFonts w:ascii="Arial" w:cs="Arial" w:eastAsia="Arial" w:hAnsi="Arial"/>
                  <w:sz w:val="21"/>
                  <w:szCs w:val="21"/>
                  <w:u w:val="single" w:color="auto"/>
                  <w:color w:val="0000FF"/>
                </w:rPr>
                <w:t>3</w:t>
              </w:r>
            </w:hyperlink>
          </w:p>
        </w:tc>
      </w:tr>
      <w:tr>
        <w:trPr>
          <w:trHeight w:val="353"/>
        </w:trPr>
        <w:tc>
          <w:tcPr>
            <w:tcW w:w="1060" w:type="dxa"/>
            <w:vAlign w:val="bottom"/>
          </w:tcPr>
          <w:p>
            <w:pPr>
              <w:spacing w:after="0"/>
              <w:rPr>
                <w:sz w:val="24"/>
                <w:szCs w:val="24"/>
                <w:color w:val="auto"/>
              </w:rPr>
            </w:pPr>
          </w:p>
        </w:tc>
        <w:tc>
          <w:tcPr>
            <w:tcW w:w="9000" w:type="dxa"/>
            <w:vAlign w:val="bottom"/>
          </w:tcPr>
          <w:p>
            <w:pPr>
              <w:ind w:left="260"/>
              <w:spacing w:after="0"/>
              <w:rPr>
                <w:sz w:val="20"/>
                <w:szCs w:val="20"/>
                <w:color w:val="auto"/>
              </w:rPr>
            </w:pPr>
            <w:r>
              <w:rPr>
                <w:rFonts w:ascii="Arial" w:cs="Arial" w:eastAsia="Arial" w:hAnsi="Arial"/>
                <w:sz w:val="21"/>
                <w:szCs w:val="21"/>
                <w:color w:val="auto"/>
              </w:rPr>
              <w:t>Consolidated Statements of Stockholders' Equity</w:t>
            </w:r>
          </w:p>
        </w:tc>
        <w:tc>
          <w:tcPr>
            <w:tcW w:w="1180" w:type="dxa"/>
            <w:vAlign w:val="bottom"/>
          </w:tcPr>
          <w:p>
            <w:pPr>
              <w:spacing w:after="0"/>
              <w:rPr>
                <w:sz w:val="24"/>
                <w:szCs w:val="24"/>
                <w:color w:val="auto"/>
              </w:rPr>
            </w:pPr>
          </w:p>
        </w:tc>
      </w:tr>
      <w:tr>
        <w:trPr>
          <w:trHeight w:val="290"/>
        </w:trPr>
        <w:tc>
          <w:tcPr>
            <w:tcW w:w="1060" w:type="dxa"/>
            <w:vAlign w:val="bottom"/>
          </w:tcPr>
          <w:p>
            <w:pPr>
              <w:spacing w:after="0"/>
              <w:rPr>
                <w:sz w:val="24"/>
                <w:szCs w:val="24"/>
                <w:color w:val="auto"/>
              </w:rPr>
            </w:pPr>
          </w:p>
        </w:tc>
        <w:tc>
          <w:tcPr>
            <w:tcW w:w="9000" w:type="dxa"/>
            <w:vAlign w:val="bottom"/>
          </w:tcPr>
          <w:p>
            <w:pPr>
              <w:ind w:left="380"/>
              <w:spacing w:after="0"/>
              <w:rPr>
                <w:sz w:val="20"/>
                <w:szCs w:val="20"/>
                <w:color w:val="auto"/>
              </w:rPr>
            </w:pPr>
            <w:r>
              <w:rPr>
                <w:rFonts w:ascii="Arial" w:cs="Arial" w:eastAsia="Arial" w:hAnsi="Arial"/>
                <w:sz w:val="21"/>
                <w:szCs w:val="21"/>
                <w:color w:val="auto"/>
              </w:rPr>
              <w:t>Three and six months ended October 31, 2020 and 2019</w:t>
            </w:r>
          </w:p>
        </w:tc>
        <w:tc>
          <w:tcPr>
            <w:tcW w:w="1180" w:type="dxa"/>
            <w:vAlign w:val="bottom"/>
          </w:tcPr>
          <w:p>
            <w:pPr>
              <w:jc w:val="center"/>
              <w:ind w:right="153"/>
              <w:spacing w:after="0"/>
              <w:rPr>
                <w:rFonts w:ascii="Arial" w:cs="Arial" w:eastAsia="Arial" w:hAnsi="Arial"/>
                <w:sz w:val="21"/>
                <w:szCs w:val="21"/>
                <w:u w:val="single" w:color="auto"/>
                <w:color w:val="0000FF"/>
              </w:rPr>
            </w:pPr>
            <w:hyperlink w:anchor="page5">
              <w:r>
                <w:rPr>
                  <w:rFonts w:ascii="Arial" w:cs="Arial" w:eastAsia="Arial" w:hAnsi="Arial"/>
                  <w:sz w:val="21"/>
                  <w:szCs w:val="21"/>
                  <w:u w:val="single" w:color="auto"/>
                  <w:color w:val="0000FF"/>
                </w:rPr>
                <w:t>4</w:t>
              </w:r>
            </w:hyperlink>
          </w:p>
        </w:tc>
      </w:tr>
      <w:tr>
        <w:trPr>
          <w:trHeight w:val="375"/>
        </w:trPr>
        <w:tc>
          <w:tcPr>
            <w:tcW w:w="1060" w:type="dxa"/>
            <w:vAlign w:val="bottom"/>
          </w:tcPr>
          <w:p>
            <w:pPr>
              <w:spacing w:after="0"/>
              <w:rPr>
                <w:sz w:val="24"/>
                <w:szCs w:val="24"/>
                <w:color w:val="auto"/>
              </w:rPr>
            </w:pPr>
          </w:p>
        </w:tc>
        <w:tc>
          <w:tcPr>
            <w:tcW w:w="9000" w:type="dxa"/>
            <w:vAlign w:val="bottom"/>
          </w:tcPr>
          <w:p>
            <w:pPr>
              <w:ind w:left="260"/>
              <w:spacing w:after="0"/>
              <w:rPr>
                <w:sz w:val="20"/>
                <w:szCs w:val="20"/>
                <w:color w:val="auto"/>
              </w:rPr>
            </w:pPr>
            <w:r>
              <w:rPr>
                <w:rFonts w:ascii="Arial" w:cs="Arial" w:eastAsia="Arial" w:hAnsi="Arial"/>
                <w:sz w:val="21"/>
                <w:szCs w:val="21"/>
                <w:color w:val="auto"/>
              </w:rPr>
              <w:t>Notes to Consolidated Financial Statements</w:t>
            </w:r>
          </w:p>
        </w:tc>
        <w:tc>
          <w:tcPr>
            <w:tcW w:w="1180" w:type="dxa"/>
            <w:vAlign w:val="bottom"/>
          </w:tcPr>
          <w:p>
            <w:pPr>
              <w:jc w:val="center"/>
              <w:ind w:right="153"/>
              <w:spacing w:after="0"/>
              <w:rPr>
                <w:rFonts w:ascii="Arial" w:cs="Arial" w:eastAsia="Arial" w:hAnsi="Arial"/>
                <w:sz w:val="21"/>
                <w:szCs w:val="21"/>
                <w:u w:val="single" w:color="auto"/>
                <w:color w:val="0000FF"/>
              </w:rPr>
            </w:pPr>
            <w:hyperlink w:anchor="page7">
              <w:r>
                <w:rPr>
                  <w:rFonts w:ascii="Arial" w:cs="Arial" w:eastAsia="Arial" w:hAnsi="Arial"/>
                  <w:sz w:val="21"/>
                  <w:szCs w:val="21"/>
                  <w:u w:val="single" w:color="auto"/>
                  <w:color w:val="0000FF"/>
                </w:rPr>
                <w:t>6</w:t>
              </w:r>
            </w:hyperlink>
          </w:p>
        </w:tc>
      </w:tr>
      <w:tr>
        <w:trPr>
          <w:trHeight w:val="375"/>
        </w:trPr>
        <w:tc>
          <w:tcPr>
            <w:tcW w:w="1060" w:type="dxa"/>
            <w:vAlign w:val="bottom"/>
          </w:tcPr>
          <w:p>
            <w:pPr>
              <w:ind w:left="20"/>
              <w:spacing w:after="0"/>
              <w:rPr>
                <w:rFonts w:ascii="Arial" w:cs="Arial" w:eastAsia="Arial" w:hAnsi="Arial"/>
                <w:sz w:val="21"/>
                <w:szCs w:val="21"/>
                <w:color w:val="auto"/>
              </w:rPr>
            </w:pPr>
            <w:hyperlink w:anchor="page32">
              <w:r>
                <w:rPr>
                  <w:rFonts w:ascii="Arial" w:cs="Arial" w:eastAsia="Arial" w:hAnsi="Arial"/>
                  <w:sz w:val="21"/>
                  <w:szCs w:val="21"/>
                  <w:color w:val="auto"/>
                </w:rPr>
                <w:t>Item 2.</w:t>
              </w:r>
            </w:hyperlink>
          </w:p>
        </w:tc>
        <w:tc>
          <w:tcPr>
            <w:tcW w:w="9000" w:type="dxa"/>
            <w:vAlign w:val="bottom"/>
          </w:tcPr>
          <w:p>
            <w:pPr>
              <w:ind w:left="260"/>
              <w:spacing w:after="0"/>
              <w:rPr>
                <w:rFonts w:ascii="Arial" w:cs="Arial" w:eastAsia="Arial" w:hAnsi="Arial"/>
                <w:sz w:val="21"/>
                <w:szCs w:val="21"/>
                <w:color w:val="auto"/>
              </w:rPr>
            </w:pPr>
            <w:hyperlink w:anchor="page21">
              <w:r>
                <w:rPr>
                  <w:rFonts w:ascii="Arial" w:cs="Arial" w:eastAsia="Arial" w:hAnsi="Arial"/>
                  <w:sz w:val="21"/>
                  <w:szCs w:val="21"/>
                  <w:color w:val="auto"/>
                </w:rPr>
                <w:t>Management's Discussion and Analysis of Financial Condition and Results of Operations</w:t>
              </w:r>
            </w:hyperlink>
          </w:p>
        </w:tc>
        <w:tc>
          <w:tcPr>
            <w:tcW w:w="1180" w:type="dxa"/>
            <w:vAlign w:val="bottom"/>
          </w:tcPr>
          <w:p>
            <w:pPr>
              <w:jc w:val="center"/>
              <w:ind w:right="153"/>
              <w:spacing w:after="0"/>
              <w:rPr>
                <w:rFonts w:ascii="Arial" w:cs="Arial" w:eastAsia="Arial" w:hAnsi="Arial"/>
                <w:sz w:val="21"/>
                <w:szCs w:val="21"/>
                <w:u w:val="single" w:color="auto"/>
                <w:color w:val="0000FF"/>
              </w:rPr>
            </w:pPr>
            <w:hyperlink w:anchor="page21">
              <w:r>
                <w:rPr>
                  <w:rFonts w:ascii="Arial" w:cs="Arial" w:eastAsia="Arial" w:hAnsi="Arial"/>
                  <w:sz w:val="21"/>
                  <w:szCs w:val="21"/>
                  <w:u w:val="single" w:color="auto"/>
                  <w:color w:val="0000FF"/>
                </w:rPr>
                <w:t>19</w:t>
              </w:r>
            </w:hyperlink>
          </w:p>
        </w:tc>
      </w:tr>
      <w:tr>
        <w:trPr>
          <w:trHeight w:val="375"/>
        </w:trPr>
        <w:tc>
          <w:tcPr>
            <w:tcW w:w="1060" w:type="dxa"/>
            <w:vAlign w:val="bottom"/>
          </w:tcPr>
          <w:p>
            <w:pPr>
              <w:ind w:left="20"/>
              <w:spacing w:after="0"/>
              <w:rPr>
                <w:rFonts w:ascii="Arial" w:cs="Arial" w:eastAsia="Arial" w:hAnsi="Arial"/>
                <w:sz w:val="21"/>
                <w:szCs w:val="21"/>
                <w:color w:val="auto"/>
              </w:rPr>
            </w:pPr>
            <w:hyperlink w:anchor="page32">
              <w:r>
                <w:rPr>
                  <w:rFonts w:ascii="Arial" w:cs="Arial" w:eastAsia="Arial" w:hAnsi="Arial"/>
                  <w:sz w:val="21"/>
                  <w:szCs w:val="21"/>
                  <w:color w:val="auto"/>
                </w:rPr>
                <w:t>Item 3.</w:t>
              </w:r>
            </w:hyperlink>
          </w:p>
        </w:tc>
        <w:tc>
          <w:tcPr>
            <w:tcW w:w="9000" w:type="dxa"/>
            <w:vAlign w:val="bottom"/>
          </w:tcPr>
          <w:p>
            <w:pPr>
              <w:ind w:left="260"/>
              <w:spacing w:after="0"/>
              <w:rPr>
                <w:rFonts w:ascii="Arial" w:cs="Arial" w:eastAsia="Arial" w:hAnsi="Arial"/>
                <w:sz w:val="21"/>
                <w:szCs w:val="21"/>
                <w:color w:val="auto"/>
              </w:rPr>
            </w:pPr>
            <w:hyperlink w:anchor="page32">
              <w:r>
                <w:rPr>
                  <w:rFonts w:ascii="Arial" w:cs="Arial" w:eastAsia="Arial" w:hAnsi="Arial"/>
                  <w:sz w:val="21"/>
                  <w:szCs w:val="21"/>
                  <w:color w:val="auto"/>
                </w:rPr>
                <w:t>Quantitative and Qualitative Disclosures About Market Risk</w:t>
              </w:r>
            </w:hyperlink>
          </w:p>
        </w:tc>
        <w:tc>
          <w:tcPr>
            <w:tcW w:w="1180" w:type="dxa"/>
            <w:vAlign w:val="bottom"/>
          </w:tcPr>
          <w:p>
            <w:pPr>
              <w:jc w:val="center"/>
              <w:ind w:right="153"/>
              <w:spacing w:after="0"/>
              <w:rPr>
                <w:rFonts w:ascii="Arial" w:cs="Arial" w:eastAsia="Arial" w:hAnsi="Arial"/>
                <w:sz w:val="21"/>
                <w:szCs w:val="21"/>
                <w:u w:val="single" w:color="auto"/>
                <w:color w:val="0000FF"/>
              </w:rPr>
            </w:pPr>
            <w:hyperlink w:anchor="page32">
              <w:r>
                <w:rPr>
                  <w:rFonts w:ascii="Arial" w:cs="Arial" w:eastAsia="Arial" w:hAnsi="Arial"/>
                  <w:sz w:val="21"/>
                  <w:szCs w:val="21"/>
                  <w:u w:val="single" w:color="auto"/>
                  <w:color w:val="0000FF"/>
                </w:rPr>
                <w:t>30</w:t>
              </w:r>
            </w:hyperlink>
          </w:p>
        </w:tc>
      </w:tr>
      <w:tr>
        <w:trPr>
          <w:trHeight w:val="375"/>
        </w:trPr>
        <w:tc>
          <w:tcPr>
            <w:tcW w:w="1060" w:type="dxa"/>
            <w:vAlign w:val="bottom"/>
          </w:tcPr>
          <w:p>
            <w:pPr>
              <w:ind w:left="20"/>
              <w:spacing w:after="0"/>
              <w:rPr>
                <w:sz w:val="20"/>
                <w:szCs w:val="20"/>
                <w:color w:val="auto"/>
              </w:rPr>
            </w:pPr>
            <w:r>
              <w:rPr>
                <w:rFonts w:ascii="Arial" w:cs="Arial" w:eastAsia="Arial" w:hAnsi="Arial"/>
                <w:sz w:val="21"/>
                <w:szCs w:val="21"/>
                <w:color w:val="auto"/>
              </w:rPr>
              <w:t>Item 4.</w:t>
            </w:r>
          </w:p>
        </w:tc>
        <w:tc>
          <w:tcPr>
            <w:tcW w:w="9000" w:type="dxa"/>
            <w:vAlign w:val="bottom"/>
          </w:tcPr>
          <w:p>
            <w:pPr>
              <w:ind w:left="260"/>
              <w:spacing w:after="0"/>
              <w:rPr>
                <w:rFonts w:ascii="Arial" w:cs="Arial" w:eastAsia="Arial" w:hAnsi="Arial"/>
                <w:sz w:val="21"/>
                <w:szCs w:val="21"/>
                <w:color w:val="auto"/>
              </w:rPr>
            </w:pPr>
            <w:hyperlink w:anchor="page32">
              <w:r>
                <w:rPr>
                  <w:rFonts w:ascii="Arial" w:cs="Arial" w:eastAsia="Arial" w:hAnsi="Arial"/>
                  <w:sz w:val="21"/>
                  <w:szCs w:val="21"/>
                  <w:color w:val="auto"/>
                </w:rPr>
                <w:t>Controls and Procedures</w:t>
              </w:r>
            </w:hyperlink>
          </w:p>
        </w:tc>
        <w:tc>
          <w:tcPr>
            <w:tcW w:w="1180" w:type="dxa"/>
            <w:vAlign w:val="bottom"/>
          </w:tcPr>
          <w:p>
            <w:pPr>
              <w:jc w:val="center"/>
              <w:ind w:right="153"/>
              <w:spacing w:after="0"/>
              <w:rPr>
                <w:rFonts w:ascii="Arial" w:cs="Arial" w:eastAsia="Arial" w:hAnsi="Arial"/>
                <w:sz w:val="21"/>
                <w:szCs w:val="21"/>
                <w:u w:val="single" w:color="auto"/>
                <w:color w:val="0000FF"/>
              </w:rPr>
            </w:pPr>
            <w:hyperlink w:anchor="page32">
              <w:r>
                <w:rPr>
                  <w:rFonts w:ascii="Arial" w:cs="Arial" w:eastAsia="Arial" w:hAnsi="Arial"/>
                  <w:sz w:val="21"/>
                  <w:szCs w:val="21"/>
                  <w:u w:val="single" w:color="auto"/>
                  <w:color w:val="0000FF"/>
                </w:rPr>
                <w:t>30</w:t>
              </w:r>
            </w:hyperlink>
          </w:p>
        </w:tc>
      </w:tr>
      <w:tr>
        <w:trPr>
          <w:trHeight w:val="299"/>
        </w:trPr>
        <w:tc>
          <w:tcPr>
            <w:tcW w:w="1060" w:type="dxa"/>
            <w:vAlign w:val="bottom"/>
          </w:tcPr>
          <w:p>
            <w:pPr>
              <w:spacing w:after="0"/>
              <w:rPr>
                <w:sz w:val="24"/>
                <w:szCs w:val="24"/>
                <w:color w:val="auto"/>
              </w:rPr>
            </w:pPr>
          </w:p>
        </w:tc>
        <w:tc>
          <w:tcPr>
            <w:tcW w:w="9000" w:type="dxa"/>
            <w:vAlign w:val="bottom"/>
          </w:tcPr>
          <w:p>
            <w:pPr>
              <w:ind w:left="4100"/>
              <w:spacing w:after="0"/>
              <w:rPr>
                <w:rFonts w:ascii="Arial" w:cs="Arial" w:eastAsia="Arial" w:hAnsi="Arial"/>
                <w:sz w:val="21"/>
                <w:szCs w:val="21"/>
                <w:b w:val="1"/>
                <w:bCs w:val="1"/>
                <w:color w:val="auto"/>
              </w:rPr>
            </w:pPr>
            <w:hyperlink w:anchor="page32">
              <w:r>
                <w:rPr>
                  <w:rFonts w:ascii="Arial" w:cs="Arial" w:eastAsia="Arial" w:hAnsi="Arial"/>
                  <w:sz w:val="21"/>
                  <w:szCs w:val="21"/>
                  <w:b w:val="1"/>
                  <w:bCs w:val="1"/>
                  <w:color w:val="auto"/>
                </w:rPr>
                <w:t>PART II</w:t>
              </w:r>
            </w:hyperlink>
          </w:p>
        </w:tc>
        <w:tc>
          <w:tcPr>
            <w:tcW w:w="1180" w:type="dxa"/>
            <w:vAlign w:val="bottom"/>
          </w:tcPr>
          <w:p>
            <w:pPr>
              <w:spacing w:after="0"/>
              <w:rPr>
                <w:sz w:val="24"/>
                <w:szCs w:val="24"/>
                <w:color w:val="auto"/>
              </w:rPr>
            </w:pPr>
          </w:p>
        </w:tc>
      </w:tr>
      <w:tr>
        <w:trPr>
          <w:trHeight w:val="290"/>
        </w:trPr>
        <w:tc>
          <w:tcPr>
            <w:tcW w:w="1060" w:type="dxa"/>
            <w:vAlign w:val="bottom"/>
          </w:tcPr>
          <w:p>
            <w:pPr>
              <w:ind w:left="20"/>
              <w:spacing w:after="0"/>
              <w:rPr>
                <w:sz w:val="20"/>
                <w:szCs w:val="20"/>
                <w:color w:val="auto"/>
              </w:rPr>
            </w:pPr>
            <w:r>
              <w:rPr>
                <w:rFonts w:ascii="Arial" w:cs="Arial" w:eastAsia="Arial" w:hAnsi="Arial"/>
                <w:sz w:val="21"/>
                <w:szCs w:val="21"/>
                <w:color w:val="auto"/>
              </w:rPr>
              <w:t>Item 1.</w:t>
            </w:r>
          </w:p>
        </w:tc>
        <w:tc>
          <w:tcPr>
            <w:tcW w:w="9000" w:type="dxa"/>
            <w:vAlign w:val="bottom"/>
          </w:tcPr>
          <w:p>
            <w:pPr>
              <w:ind w:left="260"/>
              <w:spacing w:after="0"/>
              <w:rPr>
                <w:sz w:val="20"/>
                <w:szCs w:val="20"/>
                <w:color w:val="auto"/>
              </w:rPr>
            </w:pPr>
            <w:r>
              <w:rPr>
                <w:rFonts w:ascii="Arial" w:cs="Arial" w:eastAsia="Arial" w:hAnsi="Arial"/>
                <w:sz w:val="21"/>
                <w:szCs w:val="21"/>
                <w:color w:val="auto"/>
              </w:rPr>
              <w:t>Legal Proceedings</w:t>
            </w:r>
          </w:p>
        </w:tc>
        <w:tc>
          <w:tcPr>
            <w:tcW w:w="1180" w:type="dxa"/>
            <w:vAlign w:val="bottom"/>
          </w:tcPr>
          <w:p>
            <w:pPr>
              <w:jc w:val="center"/>
              <w:ind w:right="153"/>
              <w:spacing w:after="0"/>
              <w:rPr>
                <w:rFonts w:ascii="Arial" w:cs="Arial" w:eastAsia="Arial" w:hAnsi="Arial"/>
                <w:sz w:val="21"/>
                <w:szCs w:val="21"/>
                <w:u w:val="single" w:color="auto"/>
                <w:color w:val="0000FF"/>
              </w:rPr>
            </w:pPr>
            <w:hyperlink w:anchor="page32">
              <w:r>
                <w:rPr>
                  <w:rFonts w:ascii="Arial" w:cs="Arial" w:eastAsia="Arial" w:hAnsi="Arial"/>
                  <w:sz w:val="21"/>
                  <w:szCs w:val="21"/>
                  <w:u w:val="single" w:color="auto"/>
                  <w:color w:val="0000FF"/>
                </w:rPr>
                <w:t>30</w:t>
              </w:r>
            </w:hyperlink>
          </w:p>
        </w:tc>
      </w:tr>
      <w:tr>
        <w:trPr>
          <w:trHeight w:val="375"/>
        </w:trPr>
        <w:tc>
          <w:tcPr>
            <w:tcW w:w="1060" w:type="dxa"/>
            <w:vAlign w:val="bottom"/>
          </w:tcPr>
          <w:p>
            <w:pPr>
              <w:ind w:left="20"/>
              <w:spacing w:after="0"/>
              <w:rPr>
                <w:sz w:val="20"/>
                <w:szCs w:val="20"/>
                <w:color w:val="auto"/>
              </w:rPr>
            </w:pPr>
            <w:r>
              <w:rPr>
                <w:rFonts w:ascii="Arial" w:cs="Arial" w:eastAsia="Arial" w:hAnsi="Arial"/>
                <w:sz w:val="21"/>
                <w:szCs w:val="21"/>
                <w:color w:val="auto"/>
              </w:rPr>
              <w:t>Item 1A.</w:t>
            </w:r>
          </w:p>
        </w:tc>
        <w:tc>
          <w:tcPr>
            <w:tcW w:w="9000" w:type="dxa"/>
            <w:vAlign w:val="bottom"/>
          </w:tcPr>
          <w:p>
            <w:pPr>
              <w:ind w:left="260"/>
              <w:spacing w:after="0"/>
              <w:rPr>
                <w:sz w:val="20"/>
                <w:szCs w:val="20"/>
                <w:color w:val="auto"/>
              </w:rPr>
            </w:pPr>
            <w:r>
              <w:rPr>
                <w:rFonts w:ascii="Arial" w:cs="Arial" w:eastAsia="Arial" w:hAnsi="Arial"/>
                <w:sz w:val="21"/>
                <w:szCs w:val="21"/>
                <w:color w:val="auto"/>
              </w:rPr>
              <w:t>Risk Factors</w:t>
            </w:r>
          </w:p>
        </w:tc>
        <w:tc>
          <w:tcPr>
            <w:tcW w:w="1180" w:type="dxa"/>
            <w:vAlign w:val="bottom"/>
          </w:tcPr>
          <w:p>
            <w:pPr>
              <w:jc w:val="center"/>
              <w:ind w:right="153"/>
              <w:spacing w:after="0"/>
              <w:rPr>
                <w:rFonts w:ascii="Arial" w:cs="Arial" w:eastAsia="Arial" w:hAnsi="Arial"/>
                <w:sz w:val="21"/>
                <w:szCs w:val="21"/>
                <w:u w:val="single" w:color="auto"/>
                <w:color w:val="0000FF"/>
              </w:rPr>
            </w:pPr>
            <w:hyperlink w:anchor="page32">
              <w:r>
                <w:rPr>
                  <w:rFonts w:ascii="Arial" w:cs="Arial" w:eastAsia="Arial" w:hAnsi="Arial"/>
                  <w:sz w:val="21"/>
                  <w:szCs w:val="21"/>
                  <w:u w:val="single" w:color="auto"/>
                  <w:color w:val="0000FF"/>
                </w:rPr>
                <w:t>30</w:t>
              </w:r>
            </w:hyperlink>
          </w:p>
        </w:tc>
      </w:tr>
      <w:tr>
        <w:trPr>
          <w:trHeight w:val="375"/>
        </w:trPr>
        <w:tc>
          <w:tcPr>
            <w:tcW w:w="1060" w:type="dxa"/>
            <w:vAlign w:val="bottom"/>
          </w:tcPr>
          <w:p>
            <w:pPr>
              <w:ind w:left="20"/>
              <w:spacing w:after="0"/>
              <w:rPr>
                <w:rFonts w:ascii="Arial" w:cs="Arial" w:eastAsia="Arial" w:hAnsi="Arial"/>
                <w:sz w:val="21"/>
                <w:szCs w:val="21"/>
                <w:color w:val="auto"/>
              </w:rPr>
            </w:pPr>
            <w:hyperlink w:anchor="page32">
              <w:r>
                <w:rPr>
                  <w:rFonts w:ascii="Arial" w:cs="Arial" w:eastAsia="Arial" w:hAnsi="Arial"/>
                  <w:sz w:val="21"/>
                  <w:szCs w:val="21"/>
                  <w:color w:val="auto"/>
                </w:rPr>
                <w:t>Item 2.</w:t>
              </w:r>
            </w:hyperlink>
          </w:p>
        </w:tc>
        <w:tc>
          <w:tcPr>
            <w:tcW w:w="9000" w:type="dxa"/>
            <w:vAlign w:val="bottom"/>
          </w:tcPr>
          <w:p>
            <w:pPr>
              <w:ind w:left="260"/>
              <w:spacing w:after="0"/>
              <w:rPr>
                <w:sz w:val="20"/>
                <w:szCs w:val="20"/>
                <w:color w:val="auto"/>
              </w:rPr>
            </w:pPr>
            <w:r>
              <w:rPr>
                <w:rFonts w:ascii="Arial" w:cs="Arial" w:eastAsia="Arial" w:hAnsi="Arial"/>
                <w:sz w:val="21"/>
                <w:szCs w:val="21"/>
                <w:color w:val="auto"/>
              </w:rPr>
              <w:t>Unregistered Sales of Equity Securities and Use of Proceeds</w:t>
            </w:r>
          </w:p>
        </w:tc>
        <w:tc>
          <w:tcPr>
            <w:tcW w:w="1180" w:type="dxa"/>
            <w:vAlign w:val="bottom"/>
          </w:tcPr>
          <w:p>
            <w:pPr>
              <w:jc w:val="center"/>
              <w:ind w:right="153"/>
              <w:spacing w:after="0"/>
              <w:rPr>
                <w:rFonts w:ascii="Arial" w:cs="Arial" w:eastAsia="Arial" w:hAnsi="Arial"/>
                <w:sz w:val="21"/>
                <w:szCs w:val="21"/>
                <w:u w:val="single" w:color="auto"/>
                <w:color w:val="0000FF"/>
              </w:rPr>
            </w:pPr>
            <w:hyperlink w:anchor="page33">
              <w:r>
                <w:rPr>
                  <w:rFonts w:ascii="Arial" w:cs="Arial" w:eastAsia="Arial" w:hAnsi="Arial"/>
                  <w:sz w:val="21"/>
                  <w:szCs w:val="21"/>
                  <w:u w:val="single" w:color="auto"/>
                  <w:color w:val="0000FF"/>
                </w:rPr>
                <w:t>31</w:t>
              </w:r>
            </w:hyperlink>
          </w:p>
        </w:tc>
      </w:tr>
      <w:tr>
        <w:trPr>
          <w:trHeight w:val="375"/>
        </w:trPr>
        <w:tc>
          <w:tcPr>
            <w:tcW w:w="1060" w:type="dxa"/>
            <w:vAlign w:val="bottom"/>
          </w:tcPr>
          <w:p>
            <w:pPr>
              <w:ind w:left="20"/>
              <w:spacing w:after="0"/>
              <w:rPr>
                <w:sz w:val="20"/>
                <w:szCs w:val="20"/>
                <w:color w:val="auto"/>
              </w:rPr>
            </w:pPr>
            <w:r>
              <w:rPr>
                <w:rFonts w:ascii="Arial" w:cs="Arial" w:eastAsia="Arial" w:hAnsi="Arial"/>
                <w:sz w:val="21"/>
                <w:szCs w:val="21"/>
                <w:color w:val="auto"/>
              </w:rPr>
              <w:t>Item 3.</w:t>
            </w:r>
          </w:p>
        </w:tc>
        <w:tc>
          <w:tcPr>
            <w:tcW w:w="9000" w:type="dxa"/>
            <w:vAlign w:val="bottom"/>
          </w:tcPr>
          <w:p>
            <w:pPr>
              <w:ind w:left="260"/>
              <w:spacing w:after="0"/>
              <w:rPr>
                <w:sz w:val="20"/>
                <w:szCs w:val="20"/>
                <w:color w:val="auto"/>
              </w:rPr>
            </w:pPr>
            <w:r>
              <w:rPr>
                <w:rFonts w:ascii="Arial" w:cs="Arial" w:eastAsia="Arial" w:hAnsi="Arial"/>
                <w:sz w:val="21"/>
                <w:szCs w:val="21"/>
                <w:color w:val="auto"/>
              </w:rPr>
              <w:t>Defaults Upon Senior Securities</w:t>
            </w:r>
          </w:p>
        </w:tc>
        <w:tc>
          <w:tcPr>
            <w:tcW w:w="1180" w:type="dxa"/>
            <w:vAlign w:val="bottom"/>
          </w:tcPr>
          <w:p>
            <w:pPr>
              <w:jc w:val="center"/>
              <w:ind w:right="153"/>
              <w:spacing w:after="0"/>
              <w:rPr>
                <w:rFonts w:ascii="Arial" w:cs="Arial" w:eastAsia="Arial" w:hAnsi="Arial"/>
                <w:sz w:val="21"/>
                <w:szCs w:val="21"/>
                <w:u w:val="single" w:color="auto"/>
                <w:color w:val="0000FF"/>
              </w:rPr>
            </w:pPr>
            <w:hyperlink w:anchor="page33">
              <w:r>
                <w:rPr>
                  <w:rFonts w:ascii="Arial" w:cs="Arial" w:eastAsia="Arial" w:hAnsi="Arial"/>
                  <w:sz w:val="21"/>
                  <w:szCs w:val="21"/>
                  <w:u w:val="single" w:color="auto"/>
                  <w:color w:val="0000FF"/>
                </w:rPr>
                <w:t>31</w:t>
              </w:r>
            </w:hyperlink>
          </w:p>
        </w:tc>
      </w:tr>
      <w:tr>
        <w:trPr>
          <w:trHeight w:val="375"/>
        </w:trPr>
        <w:tc>
          <w:tcPr>
            <w:tcW w:w="1060" w:type="dxa"/>
            <w:vAlign w:val="bottom"/>
          </w:tcPr>
          <w:p>
            <w:pPr>
              <w:ind w:left="20"/>
              <w:spacing w:after="0"/>
              <w:rPr>
                <w:sz w:val="20"/>
                <w:szCs w:val="20"/>
                <w:color w:val="auto"/>
              </w:rPr>
            </w:pPr>
            <w:r>
              <w:rPr>
                <w:rFonts w:ascii="Arial" w:cs="Arial" w:eastAsia="Arial" w:hAnsi="Arial"/>
                <w:sz w:val="21"/>
                <w:szCs w:val="21"/>
                <w:color w:val="auto"/>
              </w:rPr>
              <w:t>Item 4.</w:t>
            </w:r>
          </w:p>
        </w:tc>
        <w:tc>
          <w:tcPr>
            <w:tcW w:w="9000" w:type="dxa"/>
            <w:vAlign w:val="bottom"/>
          </w:tcPr>
          <w:p>
            <w:pPr>
              <w:ind w:left="260"/>
              <w:spacing w:after="0"/>
              <w:rPr>
                <w:sz w:val="20"/>
                <w:szCs w:val="20"/>
                <w:color w:val="auto"/>
              </w:rPr>
            </w:pPr>
            <w:r>
              <w:rPr>
                <w:rFonts w:ascii="Arial" w:cs="Arial" w:eastAsia="Arial" w:hAnsi="Arial"/>
                <w:sz w:val="21"/>
                <w:szCs w:val="21"/>
                <w:color w:val="auto"/>
              </w:rPr>
              <w:t>Mine Safety Disclosures</w:t>
            </w:r>
          </w:p>
        </w:tc>
        <w:tc>
          <w:tcPr>
            <w:tcW w:w="1180" w:type="dxa"/>
            <w:vAlign w:val="bottom"/>
          </w:tcPr>
          <w:p>
            <w:pPr>
              <w:jc w:val="center"/>
              <w:ind w:right="153"/>
              <w:spacing w:after="0"/>
              <w:rPr>
                <w:rFonts w:ascii="Arial" w:cs="Arial" w:eastAsia="Arial" w:hAnsi="Arial"/>
                <w:sz w:val="21"/>
                <w:szCs w:val="21"/>
                <w:u w:val="single" w:color="auto"/>
                <w:color w:val="0000FF"/>
              </w:rPr>
            </w:pPr>
            <w:hyperlink w:anchor="page33">
              <w:r>
                <w:rPr>
                  <w:rFonts w:ascii="Arial" w:cs="Arial" w:eastAsia="Arial" w:hAnsi="Arial"/>
                  <w:sz w:val="21"/>
                  <w:szCs w:val="21"/>
                  <w:u w:val="single" w:color="auto"/>
                  <w:color w:val="0000FF"/>
                </w:rPr>
                <w:t>31</w:t>
              </w:r>
            </w:hyperlink>
          </w:p>
        </w:tc>
      </w:tr>
      <w:tr>
        <w:trPr>
          <w:trHeight w:val="375"/>
        </w:trPr>
        <w:tc>
          <w:tcPr>
            <w:tcW w:w="1060" w:type="dxa"/>
            <w:vAlign w:val="bottom"/>
          </w:tcPr>
          <w:p>
            <w:pPr>
              <w:ind w:left="20"/>
              <w:spacing w:after="0"/>
              <w:rPr>
                <w:rFonts w:ascii="Arial" w:cs="Arial" w:eastAsia="Arial" w:hAnsi="Arial"/>
                <w:sz w:val="21"/>
                <w:szCs w:val="21"/>
                <w:color w:val="auto"/>
              </w:rPr>
            </w:pPr>
            <w:hyperlink w:anchor="page32">
              <w:r>
                <w:rPr>
                  <w:rFonts w:ascii="Arial" w:cs="Arial" w:eastAsia="Arial" w:hAnsi="Arial"/>
                  <w:sz w:val="21"/>
                  <w:szCs w:val="21"/>
                  <w:color w:val="auto"/>
                </w:rPr>
                <w:t>Item 5.</w:t>
              </w:r>
            </w:hyperlink>
          </w:p>
        </w:tc>
        <w:tc>
          <w:tcPr>
            <w:tcW w:w="9000" w:type="dxa"/>
            <w:vAlign w:val="bottom"/>
          </w:tcPr>
          <w:p>
            <w:pPr>
              <w:ind w:left="260"/>
              <w:spacing w:after="0"/>
              <w:rPr>
                <w:rFonts w:ascii="Arial" w:cs="Arial" w:eastAsia="Arial" w:hAnsi="Arial"/>
                <w:sz w:val="21"/>
                <w:szCs w:val="21"/>
                <w:color w:val="auto"/>
              </w:rPr>
            </w:pPr>
            <w:hyperlink w:anchor="page33">
              <w:r>
                <w:rPr>
                  <w:rFonts w:ascii="Arial" w:cs="Arial" w:eastAsia="Arial" w:hAnsi="Arial"/>
                  <w:sz w:val="21"/>
                  <w:szCs w:val="21"/>
                  <w:color w:val="auto"/>
                </w:rPr>
                <w:t>Other Information</w:t>
              </w:r>
            </w:hyperlink>
          </w:p>
        </w:tc>
        <w:tc>
          <w:tcPr>
            <w:tcW w:w="1180" w:type="dxa"/>
            <w:vAlign w:val="bottom"/>
          </w:tcPr>
          <w:p>
            <w:pPr>
              <w:jc w:val="center"/>
              <w:ind w:right="153"/>
              <w:spacing w:after="0"/>
              <w:rPr>
                <w:rFonts w:ascii="Arial" w:cs="Arial" w:eastAsia="Arial" w:hAnsi="Arial"/>
                <w:sz w:val="21"/>
                <w:szCs w:val="21"/>
                <w:u w:val="single" w:color="auto"/>
                <w:color w:val="0000FF"/>
              </w:rPr>
            </w:pPr>
            <w:hyperlink w:anchor="page33">
              <w:r>
                <w:rPr>
                  <w:rFonts w:ascii="Arial" w:cs="Arial" w:eastAsia="Arial" w:hAnsi="Arial"/>
                  <w:sz w:val="21"/>
                  <w:szCs w:val="21"/>
                  <w:u w:val="single" w:color="auto"/>
                  <w:color w:val="0000FF"/>
                </w:rPr>
                <w:t>31</w:t>
              </w:r>
            </w:hyperlink>
          </w:p>
        </w:tc>
      </w:tr>
      <w:tr>
        <w:trPr>
          <w:trHeight w:val="375"/>
        </w:trPr>
        <w:tc>
          <w:tcPr>
            <w:tcW w:w="1060" w:type="dxa"/>
            <w:vAlign w:val="bottom"/>
          </w:tcPr>
          <w:p>
            <w:pPr>
              <w:ind w:left="20"/>
              <w:spacing w:after="0"/>
              <w:rPr>
                <w:rFonts w:ascii="Arial" w:cs="Arial" w:eastAsia="Arial" w:hAnsi="Arial"/>
                <w:sz w:val="21"/>
                <w:szCs w:val="21"/>
                <w:color w:val="auto"/>
              </w:rPr>
            </w:pPr>
            <w:hyperlink w:anchor="page3">
              <w:r>
                <w:rPr>
                  <w:rFonts w:ascii="Arial" w:cs="Arial" w:eastAsia="Arial" w:hAnsi="Arial"/>
                  <w:sz w:val="21"/>
                  <w:szCs w:val="21"/>
                  <w:color w:val="auto"/>
                </w:rPr>
                <w:t>Item 6.</w:t>
              </w:r>
            </w:hyperlink>
          </w:p>
        </w:tc>
        <w:tc>
          <w:tcPr>
            <w:tcW w:w="9000" w:type="dxa"/>
            <w:vAlign w:val="bottom"/>
          </w:tcPr>
          <w:p>
            <w:pPr>
              <w:ind w:left="260"/>
              <w:spacing w:after="0"/>
              <w:rPr>
                <w:sz w:val="20"/>
                <w:szCs w:val="20"/>
                <w:color w:val="auto"/>
              </w:rPr>
            </w:pPr>
            <w:r>
              <w:rPr>
                <w:rFonts w:ascii="Arial" w:cs="Arial" w:eastAsia="Arial" w:hAnsi="Arial"/>
                <w:sz w:val="21"/>
                <w:szCs w:val="21"/>
                <w:color w:val="auto"/>
              </w:rPr>
              <w:t>Exhibits</w:t>
            </w:r>
          </w:p>
        </w:tc>
        <w:tc>
          <w:tcPr>
            <w:tcW w:w="1180" w:type="dxa"/>
            <w:vAlign w:val="bottom"/>
          </w:tcPr>
          <w:p>
            <w:pPr>
              <w:jc w:val="center"/>
              <w:ind w:right="153"/>
              <w:spacing w:after="0"/>
              <w:rPr>
                <w:rFonts w:ascii="Arial" w:cs="Arial" w:eastAsia="Arial" w:hAnsi="Arial"/>
                <w:sz w:val="21"/>
                <w:szCs w:val="21"/>
                <w:u w:val="single" w:color="auto"/>
                <w:color w:val="0000FF"/>
              </w:rPr>
            </w:pPr>
            <w:hyperlink w:anchor="page33">
              <w:r>
                <w:rPr>
                  <w:rFonts w:ascii="Arial" w:cs="Arial" w:eastAsia="Arial" w:hAnsi="Arial"/>
                  <w:sz w:val="21"/>
                  <w:szCs w:val="21"/>
                  <w:u w:val="single" w:color="auto"/>
                  <w:color w:val="0000FF"/>
                </w:rPr>
                <w:t>32</w:t>
              </w:r>
            </w:hyperlink>
          </w:p>
        </w:tc>
      </w:tr>
      <w:tr>
        <w:trPr>
          <w:trHeight w:val="375"/>
        </w:trPr>
        <w:tc>
          <w:tcPr>
            <w:tcW w:w="1060" w:type="dxa"/>
            <w:vAlign w:val="bottom"/>
          </w:tcPr>
          <w:p>
            <w:pPr>
              <w:spacing w:after="0"/>
              <w:rPr>
                <w:sz w:val="24"/>
                <w:szCs w:val="24"/>
                <w:color w:val="auto"/>
              </w:rPr>
            </w:pPr>
          </w:p>
        </w:tc>
        <w:tc>
          <w:tcPr>
            <w:tcW w:w="9000" w:type="dxa"/>
            <w:vAlign w:val="bottom"/>
          </w:tcPr>
          <w:p>
            <w:pPr>
              <w:ind w:left="260"/>
              <w:spacing w:after="0"/>
              <w:rPr>
                <w:rFonts w:ascii="Arial" w:cs="Arial" w:eastAsia="Arial" w:hAnsi="Arial"/>
                <w:sz w:val="21"/>
                <w:szCs w:val="21"/>
                <w:color w:val="auto"/>
              </w:rPr>
            </w:pPr>
            <w:hyperlink w:anchor="page34">
              <w:r>
                <w:rPr>
                  <w:rFonts w:ascii="Arial" w:cs="Arial" w:eastAsia="Arial" w:hAnsi="Arial"/>
                  <w:sz w:val="21"/>
                  <w:szCs w:val="21"/>
                  <w:color w:val="auto"/>
                </w:rPr>
                <w:t>Signatures</w:t>
              </w:r>
            </w:hyperlink>
          </w:p>
        </w:tc>
        <w:tc>
          <w:tcPr>
            <w:tcW w:w="1180" w:type="dxa"/>
            <w:vAlign w:val="bottom"/>
          </w:tcPr>
          <w:p>
            <w:pPr>
              <w:jc w:val="center"/>
              <w:ind w:right="153"/>
              <w:spacing w:after="0"/>
              <w:rPr>
                <w:rFonts w:ascii="Arial" w:cs="Arial" w:eastAsia="Arial" w:hAnsi="Arial"/>
                <w:sz w:val="21"/>
                <w:szCs w:val="21"/>
                <w:u w:val="single" w:color="auto"/>
                <w:color w:val="0000FF"/>
              </w:rPr>
            </w:pPr>
            <w:hyperlink w:anchor="page34">
              <w:r>
                <w:rPr>
                  <w:rFonts w:ascii="Arial" w:cs="Arial" w:eastAsia="Arial" w:hAnsi="Arial"/>
                  <w:sz w:val="21"/>
                  <w:szCs w:val="21"/>
                  <w:u w:val="single" w:color="auto"/>
                  <w:color w:val="0000FF"/>
                </w:rPr>
                <w:t>33</w:t>
              </w:r>
            </w:hyperlink>
          </w:p>
        </w:tc>
      </w:tr>
      <w:tr>
        <w:trPr>
          <w:trHeight w:val="1840"/>
        </w:trPr>
        <w:tc>
          <w:tcPr>
            <w:tcW w:w="1060" w:type="dxa"/>
            <w:vAlign w:val="bottom"/>
            <w:tcBorders>
              <w:bottom w:val="single" w:sz="8" w:color="9A9A9A"/>
            </w:tcBorders>
          </w:tcPr>
          <w:p>
            <w:pPr>
              <w:spacing w:after="0"/>
              <w:rPr>
                <w:sz w:val="24"/>
                <w:szCs w:val="24"/>
                <w:color w:val="auto"/>
              </w:rPr>
            </w:pPr>
          </w:p>
        </w:tc>
        <w:tc>
          <w:tcPr>
            <w:tcW w:w="90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-7620</wp:posOffset>
            </wp:positionV>
            <wp:extent cx="82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2" w:name="page3"/>
    <w:bookmarkEnd w:id="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PART I</w:t>
      </w:r>
      <w:r>
        <w:rPr>
          <w:sz w:val="20"/>
          <w:szCs w:val="20"/>
          <w:color w:val="auto"/>
        </w:rPr>
        <w:tab/>
      </w:r>
      <w:r>
        <w:rPr>
          <w:rFonts w:ascii="Arial" w:cs="Arial" w:eastAsia="Arial" w:hAnsi="Arial"/>
          <w:sz w:val="17"/>
          <w:szCs w:val="17"/>
          <w:b w:val="1"/>
          <w:bCs w:val="1"/>
          <w:color w:val="auto"/>
        </w:rPr>
        <w:t>FINANCIAL INFORMATION</w:t>
      </w:r>
    </w:p>
    <w:p>
      <w:pPr>
        <w:spacing w:after="0" w:line="11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FINANCIAL STATEMENTS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6420" w:type="dxa"/>
            <w:vAlign w:val="bottom"/>
            <w:tcBorders>
              <w:top w:val="single" w:sz="8" w:color="auto"/>
            </w:tcBorders>
            <w:gridSpan w:val="5"/>
          </w:tcPr>
          <w:p>
            <w:pPr>
              <w:ind w:left="20"/>
              <w:spacing w:after="0" w:line="268" w:lineRule="exact"/>
              <w:rPr>
                <w:sz w:val="20"/>
                <w:szCs w:val="20"/>
                <w:color w:val="auto"/>
              </w:rPr>
            </w:pPr>
            <w:r>
              <w:rPr>
                <w:rFonts w:ascii="Arial" w:cs="Arial" w:eastAsia="Arial" w:hAnsi="Arial"/>
                <w:sz w:val="25"/>
                <w:szCs w:val="25"/>
                <w:b w:val="1"/>
                <w:bCs w:val="1"/>
                <w:color w:val="auto"/>
              </w:rPr>
              <w:t>CONSOLIDATED STATEMENTS OF OPERATIONS</w:t>
            </w:r>
          </w:p>
        </w:tc>
        <w:tc>
          <w:tcPr>
            <w:tcW w:w="48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2880" w:type="dxa"/>
            <w:vAlign w:val="bottom"/>
            <w:tcBorders>
              <w:top w:val="single" w:sz="8" w:color="auto"/>
            </w:tcBorders>
            <w:gridSpan w:val="4"/>
          </w:tcPr>
          <w:p>
            <w:pPr>
              <w:jc w:val="right"/>
              <w:spacing w:after="0"/>
              <w:rPr>
                <w:sz w:val="20"/>
                <w:szCs w:val="20"/>
                <w:color w:val="auto"/>
              </w:rPr>
            </w:pPr>
            <w:r>
              <w:rPr>
                <w:rFonts w:ascii="Arial" w:cs="Arial" w:eastAsia="Arial" w:hAnsi="Arial"/>
                <w:sz w:val="14"/>
                <w:szCs w:val="14"/>
                <w:color w:val="auto"/>
              </w:rPr>
              <w:t>(unaudited, in 000s, except</w:t>
            </w:r>
          </w:p>
        </w:tc>
        <w:tc>
          <w:tcPr>
            <w:tcW w:w="0" w:type="dxa"/>
            <w:vAlign w:val="bottom"/>
          </w:tcPr>
          <w:p>
            <w:pPr>
              <w:spacing w:after="0"/>
              <w:rPr>
                <w:sz w:val="1"/>
                <w:szCs w:val="1"/>
                <w:color w:val="auto"/>
              </w:rPr>
            </w:pPr>
          </w:p>
        </w:tc>
      </w:tr>
      <w:tr>
        <w:trPr>
          <w:trHeight w:val="134"/>
        </w:trPr>
        <w:tc>
          <w:tcPr>
            <w:tcW w:w="4780" w:type="dxa"/>
            <w:vAlign w:val="bottom"/>
            <w:gridSpan w:val="2"/>
          </w:tcPr>
          <w:p>
            <w:pPr>
              <w:ind w:left="20"/>
              <w:spacing w:after="0" w:line="134" w:lineRule="exact"/>
              <w:rPr>
                <w:sz w:val="20"/>
                <w:szCs w:val="20"/>
                <w:color w:val="auto"/>
              </w:rPr>
            </w:pPr>
            <w:r>
              <w:rPr>
                <w:rFonts w:ascii="Arial" w:cs="Arial" w:eastAsia="Arial" w:hAnsi="Arial"/>
                <w:sz w:val="15"/>
                <w:szCs w:val="15"/>
                <w:b w:val="1"/>
                <w:bCs w:val="1"/>
                <w:color w:val="auto"/>
              </w:rPr>
              <w:t>AND COMPREHENSIVE LOSS</w:t>
            </w:r>
          </w:p>
        </w:tc>
        <w:tc>
          <w:tcPr>
            <w:tcW w:w="2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vMerge w:val="restart"/>
          </w:tcPr>
          <w:p>
            <w:pPr>
              <w:jc w:val="right"/>
              <w:spacing w:after="0"/>
              <w:rPr>
                <w:sz w:val="20"/>
                <w:szCs w:val="20"/>
                <w:color w:val="auto"/>
              </w:rPr>
            </w:pPr>
            <w:r>
              <w:rPr>
                <w:rFonts w:ascii="Arial" w:cs="Arial" w:eastAsia="Arial" w:hAnsi="Arial"/>
                <w:sz w:val="14"/>
                <w:szCs w:val="14"/>
                <w:color w:val="auto"/>
              </w:rPr>
              <w:t>per share amounts)</w:t>
            </w:r>
          </w:p>
        </w:tc>
        <w:tc>
          <w:tcPr>
            <w:tcW w:w="0" w:type="dxa"/>
            <w:vAlign w:val="bottom"/>
          </w:tcPr>
          <w:p>
            <w:pPr>
              <w:spacing w:after="0"/>
              <w:rPr>
                <w:sz w:val="1"/>
                <w:szCs w:val="1"/>
                <w:color w:val="auto"/>
              </w:rPr>
            </w:pPr>
          </w:p>
        </w:tc>
      </w:tr>
      <w:tr>
        <w:trPr>
          <w:trHeight w:val="59"/>
        </w:trPr>
        <w:tc>
          <w:tcPr>
            <w:tcW w:w="4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46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3040" w:type="dxa"/>
            <w:vAlign w:val="bottom"/>
            <w:tcBorders>
              <w:bottom w:val="single" w:sz="8" w:color="auto"/>
            </w:tcBorders>
            <w:gridSpan w:val="5"/>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2880" w:type="dxa"/>
            <w:vAlign w:val="bottom"/>
            <w:tcBorders>
              <w:bottom w:val="single" w:sz="8" w:color="auto"/>
            </w:tcBorders>
            <w:gridSpan w:val="4"/>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4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40" w:type="dxa"/>
            <w:vAlign w:val="bottom"/>
            <w:gridSpan w:val="5"/>
          </w:tcPr>
          <w:p>
            <w:pPr>
              <w:ind w:left="160"/>
              <w:spacing w:after="0"/>
              <w:rPr>
                <w:sz w:val="20"/>
                <w:szCs w:val="20"/>
                <w:color w:val="auto"/>
              </w:rPr>
            </w:pPr>
            <w:r>
              <w:rPr>
                <w:rFonts w:ascii="Arial" w:cs="Arial" w:eastAsia="Arial" w:hAnsi="Arial"/>
                <w:sz w:val="16"/>
                <w:szCs w:val="16"/>
                <w:color w:val="auto"/>
              </w:rPr>
              <w:t>Three months ended October 31,</w:t>
            </w:r>
          </w:p>
        </w:tc>
        <w:tc>
          <w:tcPr>
            <w:tcW w:w="300" w:type="dxa"/>
            <w:vAlign w:val="bottom"/>
          </w:tcPr>
          <w:p>
            <w:pPr>
              <w:spacing w:after="0"/>
              <w:rPr>
                <w:sz w:val="18"/>
                <w:szCs w:val="18"/>
                <w:color w:val="auto"/>
              </w:rPr>
            </w:pPr>
          </w:p>
        </w:tc>
        <w:tc>
          <w:tcPr>
            <w:tcW w:w="2880" w:type="dxa"/>
            <w:vAlign w:val="bottom"/>
            <w:gridSpan w:val="4"/>
          </w:tcPr>
          <w:p>
            <w:pPr>
              <w:jc w:val="right"/>
              <w:ind w:right="424"/>
              <w:spacing w:after="0"/>
              <w:rPr>
                <w:sz w:val="20"/>
                <w:szCs w:val="20"/>
                <w:color w:val="auto"/>
              </w:rPr>
            </w:pPr>
            <w:r>
              <w:rPr>
                <w:rFonts w:ascii="Arial" w:cs="Arial" w:eastAsia="Arial" w:hAnsi="Arial"/>
                <w:sz w:val="16"/>
                <w:szCs w:val="16"/>
                <w:color w:val="auto"/>
              </w:rPr>
              <w:t>Six months ended October 31,</w:t>
            </w:r>
          </w:p>
        </w:tc>
        <w:tc>
          <w:tcPr>
            <w:tcW w:w="0" w:type="dxa"/>
            <w:vAlign w:val="bottom"/>
          </w:tcPr>
          <w:p>
            <w:pPr>
              <w:spacing w:after="0"/>
              <w:rPr>
                <w:sz w:val="1"/>
                <w:szCs w:val="1"/>
                <w:color w:val="auto"/>
              </w:rPr>
            </w:pPr>
          </w:p>
        </w:tc>
      </w:tr>
      <w:tr>
        <w:trPr>
          <w:trHeight w:val="208"/>
        </w:trPr>
        <w:tc>
          <w:tcPr>
            <w:tcW w:w="46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2019</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2019</w:t>
            </w:r>
          </w:p>
        </w:tc>
        <w:tc>
          <w:tcPr>
            <w:tcW w:w="0" w:type="dxa"/>
            <w:vAlign w:val="bottom"/>
          </w:tcPr>
          <w:p>
            <w:pPr>
              <w:spacing w:after="0"/>
              <w:rPr>
                <w:sz w:val="1"/>
                <w:szCs w:val="1"/>
                <w:color w:val="auto"/>
              </w:rPr>
            </w:pPr>
          </w:p>
        </w:tc>
      </w:tr>
      <w:tr>
        <w:trPr>
          <w:trHeight w:val="34"/>
        </w:trPr>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4780" w:type="dxa"/>
            <w:vAlign w:val="bottom"/>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REVENUES:</w:t>
            </w: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780" w:type="dxa"/>
            <w:vAlign w:val="bottom"/>
            <w:gridSpan w:val="2"/>
          </w:tcPr>
          <w:p>
            <w:pPr>
              <w:ind w:left="140"/>
              <w:spacing w:after="0"/>
              <w:rPr>
                <w:sz w:val="20"/>
                <w:szCs w:val="20"/>
                <w:color w:val="auto"/>
              </w:rPr>
            </w:pPr>
            <w:r>
              <w:rPr>
                <w:rFonts w:ascii="Arial" w:cs="Arial" w:eastAsia="Arial" w:hAnsi="Arial"/>
                <w:sz w:val="15"/>
                <w:szCs w:val="15"/>
                <w:color w:val="auto"/>
              </w:rPr>
              <w:t>Service revenues</w:t>
            </w:r>
          </w:p>
        </w:tc>
        <w:tc>
          <w:tcPr>
            <w:tcW w:w="240" w:type="dxa"/>
            <w:vAlign w:val="bottom"/>
          </w:tcPr>
          <w:p>
            <w:pPr>
              <w:jc w:val="right"/>
              <w:ind w:right="64"/>
              <w:spacing w:after="0"/>
              <w:rPr>
                <w:sz w:val="20"/>
                <w:szCs w:val="20"/>
                <w:color w:val="auto"/>
              </w:rPr>
            </w:pPr>
            <w:r>
              <w:rPr>
                <w:rFonts w:ascii="Arial" w:cs="Arial" w:eastAsia="Arial" w:hAnsi="Arial"/>
                <w:sz w:val="15"/>
                <w:szCs w:val="15"/>
                <w:b w:val="1"/>
                <w:bCs w:val="1"/>
                <w:color w:val="auto"/>
                <w:w w:val="95"/>
              </w:rPr>
              <w:t>$</w:t>
            </w:r>
          </w:p>
        </w:tc>
        <w:tc>
          <w:tcPr>
            <w:tcW w:w="1280" w:type="dxa"/>
            <w:vAlign w:val="bottom"/>
          </w:tcPr>
          <w:p>
            <w:pPr>
              <w:jc w:val="right"/>
              <w:spacing w:after="0"/>
              <w:rPr>
                <w:sz w:val="20"/>
                <w:szCs w:val="20"/>
                <w:color w:val="auto"/>
              </w:rPr>
            </w:pPr>
            <w:r>
              <w:rPr>
                <w:rFonts w:ascii="Arial" w:cs="Arial" w:eastAsia="Arial" w:hAnsi="Arial"/>
                <w:sz w:val="15"/>
                <w:szCs w:val="15"/>
                <w:b w:val="1"/>
                <w:bCs w:val="1"/>
                <w:color w:val="auto"/>
              </w:rPr>
              <w:t>160,962</w:t>
            </w:r>
          </w:p>
        </w:tc>
        <w:tc>
          <w:tcPr>
            <w:tcW w:w="120" w:type="dxa"/>
            <w:vAlign w:val="bottom"/>
          </w:tcPr>
          <w:p>
            <w:pPr>
              <w:spacing w:after="0"/>
              <w:rPr>
                <w:sz w:val="17"/>
                <w:szCs w:val="17"/>
                <w:color w:val="auto"/>
              </w:rPr>
            </w:pPr>
          </w:p>
        </w:tc>
        <w:tc>
          <w:tcPr>
            <w:tcW w:w="480" w:type="dxa"/>
            <w:vAlign w:val="bottom"/>
          </w:tcPr>
          <w:p>
            <w:pPr>
              <w:jc w:val="right"/>
              <w:ind w:right="304"/>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139,648</w:t>
            </w:r>
          </w:p>
        </w:tc>
        <w:tc>
          <w:tcPr>
            <w:tcW w:w="120" w:type="dxa"/>
            <w:vAlign w:val="bottom"/>
          </w:tcPr>
          <w:p>
            <w:pPr>
              <w:spacing w:after="0"/>
              <w:rPr>
                <w:sz w:val="17"/>
                <w:szCs w:val="17"/>
                <w:color w:val="auto"/>
              </w:rPr>
            </w:pPr>
          </w:p>
        </w:tc>
        <w:tc>
          <w:tcPr>
            <w:tcW w:w="300" w:type="dxa"/>
            <w:vAlign w:val="bottom"/>
          </w:tcPr>
          <w:p>
            <w:pPr>
              <w:jc w:val="right"/>
              <w:ind w:right="124"/>
              <w:spacing w:after="0"/>
              <w:rPr>
                <w:sz w:val="20"/>
                <w:szCs w:val="20"/>
                <w:color w:val="auto"/>
              </w:rPr>
            </w:pPr>
            <w:r>
              <w:rPr>
                <w:rFonts w:ascii="Arial" w:cs="Arial" w:eastAsia="Arial" w:hAnsi="Arial"/>
                <w:sz w:val="15"/>
                <w:szCs w:val="15"/>
                <w:b w:val="1"/>
                <w:bCs w:val="1"/>
                <w:color w:val="auto"/>
                <w:w w:val="95"/>
              </w:rPr>
              <w:t>$</w:t>
            </w:r>
          </w:p>
        </w:tc>
        <w:tc>
          <w:tcPr>
            <w:tcW w:w="1240" w:type="dxa"/>
            <w:vAlign w:val="bottom"/>
          </w:tcPr>
          <w:p>
            <w:pPr>
              <w:jc w:val="right"/>
              <w:ind w:right="4"/>
              <w:spacing w:after="0"/>
              <w:rPr>
                <w:sz w:val="20"/>
                <w:szCs w:val="20"/>
                <w:color w:val="auto"/>
              </w:rPr>
            </w:pPr>
            <w:r>
              <w:rPr>
                <w:rFonts w:ascii="Arial" w:cs="Arial" w:eastAsia="Arial" w:hAnsi="Arial"/>
                <w:sz w:val="15"/>
                <w:szCs w:val="15"/>
                <w:b w:val="1"/>
                <w:bCs w:val="1"/>
                <w:color w:val="auto"/>
              </w:rPr>
              <w:t>711,913</w:t>
            </w:r>
          </w:p>
        </w:tc>
        <w:tc>
          <w:tcPr>
            <w:tcW w:w="120" w:type="dxa"/>
            <w:vAlign w:val="bottom"/>
          </w:tcPr>
          <w:p>
            <w:pPr>
              <w:spacing w:after="0"/>
              <w:rPr>
                <w:sz w:val="17"/>
                <w:szCs w:val="17"/>
                <w:color w:val="auto"/>
              </w:rPr>
            </w:pP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271,807</w:t>
            </w:r>
          </w:p>
        </w:tc>
        <w:tc>
          <w:tcPr>
            <w:tcW w:w="0" w:type="dxa"/>
            <w:vAlign w:val="bottom"/>
          </w:tcPr>
          <w:p>
            <w:pPr>
              <w:spacing w:after="0"/>
              <w:rPr>
                <w:sz w:val="1"/>
                <w:szCs w:val="1"/>
                <w:color w:val="auto"/>
              </w:rPr>
            </w:pPr>
          </w:p>
        </w:tc>
      </w:tr>
      <w:tr>
        <w:trPr>
          <w:trHeight w:val="201"/>
        </w:trPr>
        <w:tc>
          <w:tcPr>
            <w:tcW w:w="47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Royalty, product and other revenues</w:t>
            </w:r>
          </w:p>
        </w:tc>
        <w:tc>
          <w:tcPr>
            <w:tcW w:w="24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15,588</w:t>
            </w:r>
          </w:p>
        </w:tc>
        <w:tc>
          <w:tcPr>
            <w:tcW w:w="12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21,153</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65,667</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39,356</w:t>
            </w:r>
          </w:p>
        </w:tc>
        <w:tc>
          <w:tcPr>
            <w:tcW w:w="0" w:type="dxa"/>
            <w:vAlign w:val="bottom"/>
          </w:tcPr>
          <w:p>
            <w:pPr>
              <w:spacing w:after="0"/>
              <w:rPr>
                <w:sz w:val="1"/>
                <w:szCs w:val="1"/>
                <w:color w:val="auto"/>
              </w:rPr>
            </w:pPr>
          </w:p>
        </w:tc>
      </w:tr>
      <w:tr>
        <w:trPr>
          <w:trHeight w:val="194"/>
        </w:trPr>
        <w:tc>
          <w:tcPr>
            <w:tcW w:w="46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176,550</w:t>
            </w:r>
          </w:p>
        </w:tc>
        <w:tc>
          <w:tcPr>
            <w:tcW w:w="12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160,801</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777,580</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311,163</w:t>
            </w:r>
          </w:p>
        </w:tc>
        <w:tc>
          <w:tcPr>
            <w:tcW w:w="0" w:type="dxa"/>
            <w:vAlign w:val="bottom"/>
          </w:tcPr>
          <w:p>
            <w:pPr>
              <w:spacing w:after="0"/>
              <w:rPr>
                <w:sz w:val="1"/>
                <w:szCs w:val="1"/>
                <w:color w:val="auto"/>
              </w:rPr>
            </w:pPr>
          </w:p>
        </w:tc>
      </w:tr>
      <w:tr>
        <w:trPr>
          <w:trHeight w:val="181"/>
        </w:trPr>
        <w:tc>
          <w:tcPr>
            <w:tcW w:w="4780" w:type="dxa"/>
            <w:vAlign w:val="bottom"/>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OPERATING EXPENSES:</w:t>
            </w:r>
          </w:p>
        </w:tc>
        <w:tc>
          <w:tcPr>
            <w:tcW w:w="2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780" w:type="dxa"/>
            <w:vAlign w:val="bottom"/>
            <w:gridSpan w:val="2"/>
          </w:tcPr>
          <w:p>
            <w:pPr>
              <w:ind w:left="140"/>
              <w:spacing w:after="0"/>
              <w:rPr>
                <w:sz w:val="20"/>
                <w:szCs w:val="20"/>
                <w:color w:val="auto"/>
              </w:rPr>
            </w:pPr>
            <w:r>
              <w:rPr>
                <w:rFonts w:ascii="Arial" w:cs="Arial" w:eastAsia="Arial" w:hAnsi="Arial"/>
                <w:sz w:val="15"/>
                <w:szCs w:val="15"/>
                <w:color w:val="auto"/>
              </w:rPr>
              <w:t>Costs of revenues</w:t>
            </w:r>
          </w:p>
        </w:tc>
        <w:tc>
          <w:tcPr>
            <w:tcW w:w="2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b w:val="1"/>
                <w:bCs w:val="1"/>
                <w:color w:val="auto"/>
              </w:rPr>
              <w:t>245,055</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253,206</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jc w:val="right"/>
              <w:ind w:right="4"/>
              <w:spacing w:after="0"/>
              <w:rPr>
                <w:sz w:val="20"/>
                <w:szCs w:val="20"/>
                <w:color w:val="auto"/>
              </w:rPr>
            </w:pPr>
            <w:r>
              <w:rPr>
                <w:rFonts w:ascii="Arial" w:cs="Arial" w:eastAsia="Arial" w:hAnsi="Arial"/>
                <w:sz w:val="15"/>
                <w:szCs w:val="15"/>
                <w:b w:val="1"/>
                <w:bCs w:val="1"/>
                <w:color w:val="auto"/>
              </w:rPr>
              <w:t>560,091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482,598</w:t>
            </w:r>
          </w:p>
        </w:tc>
        <w:tc>
          <w:tcPr>
            <w:tcW w:w="0" w:type="dxa"/>
            <w:vAlign w:val="bottom"/>
          </w:tcPr>
          <w:p>
            <w:pPr>
              <w:spacing w:after="0"/>
              <w:rPr>
                <w:sz w:val="1"/>
                <w:szCs w:val="1"/>
                <w:color w:val="auto"/>
              </w:rPr>
            </w:pPr>
          </w:p>
        </w:tc>
      </w:tr>
      <w:tr>
        <w:trPr>
          <w:trHeight w:val="201"/>
        </w:trPr>
        <w:tc>
          <w:tcPr>
            <w:tcW w:w="47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Selling, general and administrative</w:t>
            </w:r>
          </w:p>
        </w:tc>
        <w:tc>
          <w:tcPr>
            <w:tcW w:w="24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136,842</w:t>
            </w:r>
          </w:p>
        </w:tc>
        <w:tc>
          <w:tcPr>
            <w:tcW w:w="12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150,334</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269,880</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266,470</w:t>
            </w:r>
          </w:p>
        </w:tc>
        <w:tc>
          <w:tcPr>
            <w:tcW w:w="0" w:type="dxa"/>
            <w:vAlign w:val="bottom"/>
          </w:tcPr>
          <w:p>
            <w:pPr>
              <w:spacing w:after="0"/>
              <w:rPr>
                <w:sz w:val="1"/>
                <w:szCs w:val="1"/>
                <w:color w:val="auto"/>
              </w:rPr>
            </w:pPr>
          </w:p>
        </w:tc>
      </w:tr>
      <w:tr>
        <w:trPr>
          <w:trHeight w:val="194"/>
        </w:trPr>
        <w:tc>
          <w:tcPr>
            <w:tcW w:w="478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Total operating expenses</w:t>
            </w: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381,897</w:t>
            </w:r>
          </w:p>
        </w:tc>
        <w:tc>
          <w:tcPr>
            <w:tcW w:w="12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403,540</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829,971</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749,068</w:t>
            </w:r>
          </w:p>
        </w:tc>
        <w:tc>
          <w:tcPr>
            <w:tcW w:w="0" w:type="dxa"/>
            <w:vAlign w:val="bottom"/>
          </w:tcPr>
          <w:p>
            <w:pPr>
              <w:spacing w:after="0"/>
              <w:rPr>
                <w:sz w:val="1"/>
                <w:szCs w:val="1"/>
                <w:color w:val="auto"/>
              </w:rPr>
            </w:pPr>
          </w:p>
        </w:tc>
      </w:tr>
      <w:tr>
        <w:trPr>
          <w:trHeight w:val="194"/>
        </w:trPr>
        <w:tc>
          <w:tcPr>
            <w:tcW w:w="4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780" w:type="dxa"/>
            <w:vAlign w:val="bottom"/>
            <w:gridSpan w:val="2"/>
          </w:tcPr>
          <w:p>
            <w:pPr>
              <w:ind w:left="20"/>
              <w:spacing w:after="0"/>
              <w:rPr>
                <w:sz w:val="20"/>
                <w:szCs w:val="20"/>
                <w:color w:val="auto"/>
              </w:rPr>
            </w:pPr>
            <w:r>
              <w:rPr>
                <w:rFonts w:ascii="Arial" w:cs="Arial" w:eastAsia="Arial" w:hAnsi="Arial"/>
                <w:sz w:val="15"/>
                <w:szCs w:val="15"/>
                <w:color w:val="auto"/>
              </w:rPr>
              <w:t>Other income (expense), net</w:t>
            </w:r>
          </w:p>
        </w:tc>
        <w:tc>
          <w:tcPr>
            <w:tcW w:w="2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b w:val="1"/>
                <w:bCs w:val="1"/>
                <w:color w:val="auto"/>
              </w:rPr>
              <w:t>(819)</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2,739</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jc w:val="right"/>
              <w:ind w:right="4"/>
              <w:spacing w:after="0"/>
              <w:rPr>
                <w:sz w:val="20"/>
                <w:szCs w:val="20"/>
                <w:color w:val="auto"/>
              </w:rPr>
            </w:pPr>
            <w:r>
              <w:rPr>
                <w:rFonts w:ascii="Arial" w:cs="Arial" w:eastAsia="Arial" w:hAnsi="Arial"/>
                <w:sz w:val="15"/>
                <w:szCs w:val="15"/>
                <w:b w:val="1"/>
                <w:bCs w:val="1"/>
                <w:color w:val="auto"/>
              </w:rPr>
              <w:t>2,392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11,862</w:t>
            </w:r>
          </w:p>
        </w:tc>
        <w:tc>
          <w:tcPr>
            <w:tcW w:w="0" w:type="dxa"/>
            <w:vAlign w:val="bottom"/>
          </w:tcPr>
          <w:p>
            <w:pPr>
              <w:spacing w:after="0"/>
              <w:rPr>
                <w:sz w:val="1"/>
                <w:szCs w:val="1"/>
                <w:color w:val="auto"/>
              </w:rPr>
            </w:pPr>
          </w:p>
        </w:tc>
      </w:tr>
      <w:tr>
        <w:trPr>
          <w:trHeight w:val="201"/>
        </w:trPr>
        <w:tc>
          <w:tcPr>
            <w:tcW w:w="47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Interest expense on borrowings</w:t>
            </w:r>
          </w:p>
        </w:tc>
        <w:tc>
          <w:tcPr>
            <w:tcW w:w="24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(30,861)</w:t>
            </w:r>
          </w:p>
        </w:tc>
        <w:tc>
          <w:tcPr>
            <w:tcW w:w="12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(21,306)</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(62,986)</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(42,377)</w:t>
            </w:r>
          </w:p>
        </w:tc>
        <w:tc>
          <w:tcPr>
            <w:tcW w:w="0" w:type="dxa"/>
            <w:vAlign w:val="bottom"/>
          </w:tcPr>
          <w:p>
            <w:pPr>
              <w:spacing w:after="0"/>
              <w:rPr>
                <w:sz w:val="1"/>
                <w:szCs w:val="1"/>
                <w:color w:val="auto"/>
              </w:rPr>
            </w:pPr>
          </w:p>
        </w:tc>
      </w:tr>
      <w:tr>
        <w:trPr>
          <w:trHeight w:val="194"/>
        </w:trPr>
        <w:tc>
          <w:tcPr>
            <w:tcW w:w="4780" w:type="dxa"/>
            <w:vAlign w:val="bottom"/>
            <w:gridSpan w:val="2"/>
          </w:tcPr>
          <w:p>
            <w:pPr>
              <w:ind w:left="20"/>
              <w:spacing w:after="0"/>
              <w:rPr>
                <w:sz w:val="20"/>
                <w:szCs w:val="20"/>
                <w:color w:val="auto"/>
              </w:rPr>
            </w:pPr>
            <w:r>
              <w:rPr>
                <w:rFonts w:ascii="Arial" w:cs="Arial" w:eastAsia="Arial" w:hAnsi="Arial"/>
                <w:sz w:val="15"/>
                <w:szCs w:val="15"/>
                <w:color w:val="auto"/>
              </w:rPr>
              <w:t>Loss from continuing operations before income taxes (benefit)</w:t>
            </w:r>
          </w:p>
        </w:tc>
        <w:tc>
          <w:tcPr>
            <w:tcW w:w="2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b w:val="1"/>
                <w:bCs w:val="1"/>
                <w:color w:val="auto"/>
              </w:rPr>
              <w:t>(237,027)</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(261,306)</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b w:val="1"/>
                <w:bCs w:val="1"/>
                <w:color w:val="auto"/>
              </w:rPr>
              <w:t>(112,985)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(468,420)</w:t>
            </w:r>
          </w:p>
        </w:tc>
        <w:tc>
          <w:tcPr>
            <w:tcW w:w="0" w:type="dxa"/>
            <w:vAlign w:val="bottom"/>
          </w:tcPr>
          <w:p>
            <w:pPr>
              <w:spacing w:after="0"/>
              <w:rPr>
                <w:sz w:val="1"/>
                <w:szCs w:val="1"/>
                <w:color w:val="auto"/>
              </w:rPr>
            </w:pPr>
          </w:p>
        </w:tc>
      </w:tr>
      <w:tr>
        <w:trPr>
          <w:trHeight w:val="201"/>
        </w:trPr>
        <w:tc>
          <w:tcPr>
            <w:tcW w:w="47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Income taxes (benefit)</w:t>
            </w:r>
          </w:p>
        </w:tc>
        <w:tc>
          <w:tcPr>
            <w:tcW w:w="24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(14,547)</w:t>
            </w:r>
          </w:p>
        </w:tc>
        <w:tc>
          <w:tcPr>
            <w:tcW w:w="12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(77,752)</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15,939</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(139,142)</w:t>
            </w:r>
          </w:p>
        </w:tc>
        <w:tc>
          <w:tcPr>
            <w:tcW w:w="0" w:type="dxa"/>
            <w:vAlign w:val="bottom"/>
          </w:tcPr>
          <w:p>
            <w:pPr>
              <w:spacing w:after="0"/>
              <w:rPr>
                <w:sz w:val="1"/>
                <w:szCs w:val="1"/>
                <w:color w:val="auto"/>
              </w:rPr>
            </w:pPr>
          </w:p>
        </w:tc>
      </w:tr>
      <w:tr>
        <w:trPr>
          <w:trHeight w:val="194"/>
        </w:trPr>
        <w:tc>
          <w:tcPr>
            <w:tcW w:w="4780" w:type="dxa"/>
            <w:vAlign w:val="bottom"/>
            <w:gridSpan w:val="2"/>
          </w:tcPr>
          <w:p>
            <w:pPr>
              <w:ind w:left="20"/>
              <w:spacing w:after="0"/>
              <w:rPr>
                <w:sz w:val="20"/>
                <w:szCs w:val="20"/>
                <w:color w:val="auto"/>
              </w:rPr>
            </w:pPr>
            <w:r>
              <w:rPr>
                <w:rFonts w:ascii="Arial" w:cs="Arial" w:eastAsia="Arial" w:hAnsi="Arial"/>
                <w:sz w:val="15"/>
                <w:szCs w:val="15"/>
                <w:color w:val="auto"/>
              </w:rPr>
              <w:t>Net loss from continuing operations</w:t>
            </w:r>
          </w:p>
        </w:tc>
        <w:tc>
          <w:tcPr>
            <w:tcW w:w="2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b w:val="1"/>
                <w:bCs w:val="1"/>
                <w:color w:val="auto"/>
              </w:rPr>
              <w:t>(222,480)</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(183,554)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b w:val="1"/>
                <w:bCs w:val="1"/>
                <w:color w:val="auto"/>
              </w:rPr>
              <w:t>(128,924)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(329,278)</w:t>
            </w:r>
          </w:p>
        </w:tc>
        <w:tc>
          <w:tcPr>
            <w:tcW w:w="0" w:type="dxa"/>
            <w:vAlign w:val="bottom"/>
          </w:tcPr>
          <w:p>
            <w:pPr>
              <w:spacing w:after="0"/>
              <w:rPr>
                <w:sz w:val="1"/>
                <w:szCs w:val="1"/>
                <w:color w:val="auto"/>
              </w:rPr>
            </w:pPr>
          </w:p>
        </w:tc>
      </w:tr>
      <w:tr>
        <w:trPr>
          <w:trHeight w:val="147"/>
        </w:trPr>
        <w:tc>
          <w:tcPr>
            <w:tcW w:w="4780" w:type="dxa"/>
            <w:vAlign w:val="bottom"/>
            <w:gridSpan w:val="2"/>
            <w:shd w:val="clear" w:color="auto" w:fill="CCEEFF"/>
          </w:tcPr>
          <w:p>
            <w:pPr>
              <w:ind w:left="20"/>
              <w:spacing w:after="0" w:line="147" w:lineRule="exact"/>
              <w:rPr>
                <w:sz w:val="20"/>
                <w:szCs w:val="20"/>
                <w:color w:val="auto"/>
              </w:rPr>
            </w:pPr>
            <w:r>
              <w:rPr>
                <w:rFonts w:ascii="Arial" w:cs="Arial" w:eastAsia="Arial" w:hAnsi="Arial"/>
                <w:sz w:val="15"/>
                <w:szCs w:val="15"/>
                <w:color w:val="auto"/>
              </w:rPr>
              <w:t>Net loss from discontinued operations, net of tax benefits of $1,363,</w:t>
            </w:r>
          </w:p>
        </w:tc>
        <w:tc>
          <w:tcPr>
            <w:tcW w:w="240" w:type="dxa"/>
            <w:vAlign w:val="bottom"/>
            <w:shd w:val="clear" w:color="auto" w:fill="CCEEFF"/>
          </w:tcPr>
          <w:p>
            <w:pPr>
              <w:spacing w:after="0"/>
              <w:rPr>
                <w:sz w:val="12"/>
                <w:szCs w:val="12"/>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(1,246)</w:t>
            </w: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(4,445)</w:t>
            </w: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(3,543)</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(8,968)</w:t>
            </w:r>
          </w:p>
        </w:tc>
        <w:tc>
          <w:tcPr>
            <w:tcW w:w="0" w:type="dxa"/>
            <w:vAlign w:val="bottom"/>
          </w:tcPr>
          <w:p>
            <w:pPr>
              <w:spacing w:after="0"/>
              <w:rPr>
                <w:sz w:val="1"/>
                <w:szCs w:val="1"/>
                <w:color w:val="auto"/>
              </w:rPr>
            </w:pPr>
          </w:p>
        </w:tc>
      </w:tr>
      <w:tr>
        <w:trPr>
          <w:trHeight w:val="201"/>
        </w:trPr>
        <w:tc>
          <w:tcPr>
            <w:tcW w:w="478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$1,327, $2,048 and $2,685</w:t>
            </w:r>
          </w:p>
        </w:tc>
        <w:tc>
          <w:tcPr>
            <w:tcW w:w="24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478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b w:val="1"/>
                <w:bCs w:val="1"/>
                <w:color w:val="auto"/>
              </w:rPr>
              <w:t>NET LOSS</w:t>
            </w:r>
          </w:p>
        </w:tc>
        <w:tc>
          <w:tcPr>
            <w:tcW w:w="2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w w:val="95"/>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(223,726)</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jc w:val="right"/>
              <w:ind w:right="304"/>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(187,999)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b w:val="1"/>
                <w:bCs w:val="1"/>
                <w:color w:val="auto"/>
                <w:w w:val="95"/>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(132,467)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95"/>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(338,246)</w:t>
            </w:r>
          </w:p>
        </w:tc>
        <w:tc>
          <w:tcPr>
            <w:tcW w:w="0" w:type="dxa"/>
            <w:vAlign w:val="bottom"/>
          </w:tcPr>
          <w:p>
            <w:pPr>
              <w:spacing w:after="0"/>
              <w:rPr>
                <w:sz w:val="1"/>
                <w:szCs w:val="1"/>
                <w:color w:val="auto"/>
              </w:rPr>
            </w:pPr>
          </w:p>
        </w:tc>
      </w:tr>
      <w:tr>
        <w:trPr>
          <w:trHeight w:val="201"/>
        </w:trPr>
        <w:tc>
          <w:tcPr>
            <w:tcW w:w="4780" w:type="dxa"/>
            <w:vAlign w:val="bottom"/>
            <w:tcBorders>
              <w:top w:val="single" w:sz="8" w:color="CCEEFF"/>
            </w:tcBorders>
            <w:gridSpan w:val="2"/>
          </w:tcPr>
          <w:p>
            <w:pPr>
              <w:ind w:left="20"/>
              <w:spacing w:after="0"/>
              <w:rPr>
                <w:sz w:val="20"/>
                <w:szCs w:val="20"/>
                <w:color w:val="auto"/>
              </w:rPr>
            </w:pPr>
            <w:r>
              <w:rPr>
                <w:rFonts w:ascii="Arial" w:cs="Arial" w:eastAsia="Arial" w:hAnsi="Arial"/>
                <w:sz w:val="15"/>
                <w:szCs w:val="15"/>
                <w:b w:val="1"/>
                <w:bCs w:val="1"/>
                <w:color w:val="auto"/>
              </w:rPr>
              <w:t>BASIC AND DILUTED LOSS PER SHARE:</w:t>
            </w:r>
          </w:p>
        </w:tc>
        <w:tc>
          <w:tcPr>
            <w:tcW w:w="240" w:type="dxa"/>
            <w:vAlign w:val="bottom"/>
            <w:tcBorders>
              <w:top w:val="single" w:sz="8" w:color="CCEEFF"/>
            </w:tcBorders>
          </w:tcPr>
          <w:p>
            <w:pPr>
              <w:spacing w:after="0"/>
              <w:rPr>
                <w:sz w:val="17"/>
                <w:szCs w:val="17"/>
                <w:color w:val="auto"/>
              </w:rPr>
            </w:pPr>
          </w:p>
        </w:tc>
        <w:tc>
          <w:tcPr>
            <w:tcW w:w="12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80" w:type="dxa"/>
            <w:vAlign w:val="bottom"/>
            <w:tcBorders>
              <w:top w:val="single" w:sz="8" w:color="CCEEFF"/>
            </w:tcBorders>
          </w:tcPr>
          <w:p>
            <w:pPr>
              <w:spacing w:after="0"/>
              <w:rPr>
                <w:sz w:val="17"/>
                <w:szCs w:val="17"/>
                <w:color w:val="auto"/>
              </w:rPr>
            </w:pPr>
          </w:p>
        </w:tc>
        <w:tc>
          <w:tcPr>
            <w:tcW w:w="10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12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3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7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Continuing operations</w:t>
            </w: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b w:val="1"/>
                <w:bCs w:val="1"/>
                <w:color w:val="auto"/>
                <w:w w:val="95"/>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(1.17)</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04"/>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(0.93)</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4"/>
              <w:spacing w:after="0"/>
              <w:rPr>
                <w:sz w:val="20"/>
                <w:szCs w:val="20"/>
                <w:color w:val="auto"/>
              </w:rPr>
            </w:pPr>
            <w:r>
              <w:rPr>
                <w:rFonts w:ascii="Arial" w:cs="Arial" w:eastAsia="Arial" w:hAnsi="Arial"/>
                <w:sz w:val="15"/>
                <w:szCs w:val="15"/>
                <w:b w:val="1"/>
                <w:bCs w:val="1"/>
                <w:color w:val="auto"/>
                <w:w w:val="95"/>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(0.68)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(1.65)</w:t>
            </w:r>
          </w:p>
        </w:tc>
        <w:tc>
          <w:tcPr>
            <w:tcW w:w="0" w:type="dxa"/>
            <w:vAlign w:val="bottom"/>
          </w:tcPr>
          <w:p>
            <w:pPr>
              <w:spacing w:after="0"/>
              <w:rPr>
                <w:sz w:val="1"/>
                <w:szCs w:val="1"/>
                <w:color w:val="auto"/>
              </w:rPr>
            </w:pPr>
          </w:p>
        </w:tc>
      </w:tr>
      <w:tr>
        <w:trPr>
          <w:trHeight w:val="201"/>
        </w:trPr>
        <w:tc>
          <w:tcPr>
            <w:tcW w:w="4780" w:type="dxa"/>
            <w:vAlign w:val="bottom"/>
            <w:tcBorders>
              <w:bottom w:val="single" w:sz="8" w:color="CCEEFF"/>
            </w:tcBorders>
            <w:gridSpan w:val="2"/>
          </w:tcPr>
          <w:p>
            <w:pPr>
              <w:ind w:left="140"/>
              <w:spacing w:after="0"/>
              <w:rPr>
                <w:sz w:val="20"/>
                <w:szCs w:val="20"/>
                <w:color w:val="auto"/>
              </w:rPr>
            </w:pPr>
            <w:r>
              <w:rPr>
                <w:rFonts w:ascii="Arial" w:cs="Arial" w:eastAsia="Arial" w:hAnsi="Arial"/>
                <w:sz w:val="15"/>
                <w:szCs w:val="15"/>
                <w:color w:val="auto"/>
              </w:rPr>
              <w:t>Discontinued operations</w:t>
            </w: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(0.01)</w:t>
            </w:r>
          </w:p>
        </w:tc>
        <w:tc>
          <w:tcPr>
            <w:tcW w:w="1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(0.02)</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(0.02)</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(0.04)</w:t>
            </w:r>
          </w:p>
        </w:tc>
        <w:tc>
          <w:tcPr>
            <w:tcW w:w="0" w:type="dxa"/>
            <w:vAlign w:val="bottom"/>
          </w:tcPr>
          <w:p>
            <w:pPr>
              <w:spacing w:after="0"/>
              <w:rPr>
                <w:sz w:val="1"/>
                <w:szCs w:val="1"/>
                <w:color w:val="auto"/>
              </w:rPr>
            </w:pPr>
          </w:p>
        </w:tc>
      </w:tr>
      <w:tr>
        <w:trPr>
          <w:trHeight w:val="194"/>
        </w:trPr>
        <w:tc>
          <w:tcPr>
            <w:tcW w:w="47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Consolidated</w:t>
            </w:r>
          </w:p>
        </w:tc>
        <w:tc>
          <w:tcPr>
            <w:tcW w:w="2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b w:val="1"/>
                <w:bCs w:val="1"/>
                <w:color w:val="auto"/>
                <w:w w:val="9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(1.18)</w:t>
            </w:r>
          </w:p>
        </w:tc>
        <w:tc>
          <w:tcPr>
            <w:tcW w:w="12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304"/>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(0.95)</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b w:val="1"/>
                <w:bCs w:val="1"/>
                <w:color w:val="auto"/>
                <w:w w:val="9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(0.70)</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(1.69)</w:t>
            </w:r>
          </w:p>
        </w:tc>
        <w:tc>
          <w:tcPr>
            <w:tcW w:w="0" w:type="dxa"/>
            <w:vAlign w:val="bottom"/>
          </w:tcPr>
          <w:p>
            <w:pPr>
              <w:spacing w:after="0"/>
              <w:rPr>
                <w:sz w:val="1"/>
                <w:szCs w:val="1"/>
                <w:color w:val="auto"/>
              </w:rPr>
            </w:pPr>
          </w:p>
        </w:tc>
      </w:tr>
      <w:tr>
        <w:trPr>
          <w:trHeight w:val="34"/>
        </w:trPr>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4780" w:type="dxa"/>
            <w:vAlign w:val="bottom"/>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DIVIDENDS DECLARED PER SHARE</w:t>
            </w: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b w:val="1"/>
                <w:bCs w:val="1"/>
                <w:color w:val="auto"/>
                <w:w w:val="95"/>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0.26</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04"/>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0.26</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4"/>
              <w:spacing w:after="0"/>
              <w:rPr>
                <w:sz w:val="20"/>
                <w:szCs w:val="20"/>
                <w:color w:val="auto"/>
              </w:rPr>
            </w:pPr>
            <w:r>
              <w:rPr>
                <w:rFonts w:ascii="Arial" w:cs="Arial" w:eastAsia="Arial" w:hAnsi="Arial"/>
                <w:sz w:val="15"/>
                <w:szCs w:val="15"/>
                <w:b w:val="1"/>
                <w:bCs w:val="1"/>
                <w:color w:val="auto"/>
                <w:w w:val="95"/>
              </w:rPr>
              <w:t>$</w:t>
            </w:r>
          </w:p>
        </w:tc>
        <w:tc>
          <w:tcPr>
            <w:tcW w:w="1240" w:type="dxa"/>
            <w:vAlign w:val="bottom"/>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0.52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0.52</w:t>
            </w:r>
          </w:p>
        </w:tc>
        <w:tc>
          <w:tcPr>
            <w:tcW w:w="0" w:type="dxa"/>
            <w:vAlign w:val="bottom"/>
          </w:tcPr>
          <w:p>
            <w:pPr>
              <w:spacing w:after="0"/>
              <w:rPr>
                <w:sz w:val="1"/>
                <w:szCs w:val="1"/>
                <w:color w:val="auto"/>
              </w:rPr>
            </w:pPr>
          </w:p>
        </w:tc>
      </w:tr>
      <w:tr>
        <w:trPr>
          <w:trHeight w:val="54"/>
        </w:trPr>
        <w:tc>
          <w:tcPr>
            <w:tcW w:w="4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4780" w:type="dxa"/>
            <w:vAlign w:val="bottom"/>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COMPREHENSIVE LOSS:</w:t>
            </w: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780" w:type="dxa"/>
            <w:vAlign w:val="bottom"/>
            <w:gridSpan w:val="2"/>
          </w:tcPr>
          <w:p>
            <w:pPr>
              <w:ind w:left="140"/>
              <w:spacing w:after="0"/>
              <w:rPr>
                <w:sz w:val="20"/>
                <w:szCs w:val="20"/>
                <w:color w:val="auto"/>
              </w:rPr>
            </w:pPr>
            <w:r>
              <w:rPr>
                <w:rFonts w:ascii="Arial" w:cs="Arial" w:eastAsia="Arial" w:hAnsi="Arial"/>
                <w:sz w:val="15"/>
                <w:szCs w:val="15"/>
                <w:color w:val="auto"/>
              </w:rPr>
              <w:t>Net loss</w:t>
            </w:r>
          </w:p>
        </w:tc>
        <w:tc>
          <w:tcPr>
            <w:tcW w:w="240" w:type="dxa"/>
            <w:vAlign w:val="bottom"/>
          </w:tcPr>
          <w:p>
            <w:pPr>
              <w:jc w:val="right"/>
              <w:ind w:right="64"/>
              <w:spacing w:after="0"/>
              <w:rPr>
                <w:sz w:val="20"/>
                <w:szCs w:val="20"/>
                <w:color w:val="auto"/>
              </w:rPr>
            </w:pPr>
            <w:r>
              <w:rPr>
                <w:rFonts w:ascii="Arial" w:cs="Arial" w:eastAsia="Arial" w:hAnsi="Arial"/>
                <w:sz w:val="15"/>
                <w:szCs w:val="15"/>
                <w:b w:val="1"/>
                <w:bCs w:val="1"/>
                <w:color w:val="auto"/>
                <w:w w:val="95"/>
              </w:rPr>
              <w:t>$</w:t>
            </w:r>
          </w:p>
        </w:tc>
        <w:tc>
          <w:tcPr>
            <w:tcW w:w="1280" w:type="dxa"/>
            <w:vAlign w:val="bottom"/>
          </w:tcPr>
          <w:p>
            <w:pPr>
              <w:jc w:val="right"/>
              <w:spacing w:after="0"/>
              <w:rPr>
                <w:sz w:val="20"/>
                <w:szCs w:val="20"/>
                <w:color w:val="auto"/>
              </w:rPr>
            </w:pPr>
            <w:r>
              <w:rPr>
                <w:rFonts w:ascii="Arial" w:cs="Arial" w:eastAsia="Arial" w:hAnsi="Arial"/>
                <w:sz w:val="15"/>
                <w:szCs w:val="15"/>
                <w:b w:val="1"/>
                <w:bCs w:val="1"/>
                <w:color w:val="auto"/>
              </w:rPr>
              <w:t>(223,726)</w:t>
            </w:r>
          </w:p>
        </w:tc>
        <w:tc>
          <w:tcPr>
            <w:tcW w:w="120" w:type="dxa"/>
            <w:vAlign w:val="bottom"/>
          </w:tcPr>
          <w:p>
            <w:pPr>
              <w:spacing w:after="0"/>
              <w:rPr>
                <w:sz w:val="17"/>
                <w:szCs w:val="17"/>
                <w:color w:val="auto"/>
              </w:rPr>
            </w:pPr>
          </w:p>
        </w:tc>
        <w:tc>
          <w:tcPr>
            <w:tcW w:w="480" w:type="dxa"/>
            <w:vAlign w:val="bottom"/>
          </w:tcPr>
          <w:p>
            <w:pPr>
              <w:jc w:val="right"/>
              <w:ind w:right="304"/>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(187,999)</w:t>
            </w:r>
          </w:p>
        </w:tc>
        <w:tc>
          <w:tcPr>
            <w:tcW w:w="120" w:type="dxa"/>
            <w:vAlign w:val="bottom"/>
          </w:tcPr>
          <w:p>
            <w:pPr>
              <w:spacing w:after="0"/>
              <w:rPr>
                <w:sz w:val="17"/>
                <w:szCs w:val="17"/>
                <w:color w:val="auto"/>
              </w:rPr>
            </w:pPr>
          </w:p>
        </w:tc>
        <w:tc>
          <w:tcPr>
            <w:tcW w:w="300" w:type="dxa"/>
            <w:vAlign w:val="bottom"/>
          </w:tcPr>
          <w:p>
            <w:pPr>
              <w:jc w:val="right"/>
              <w:ind w:right="124"/>
              <w:spacing w:after="0"/>
              <w:rPr>
                <w:sz w:val="20"/>
                <w:szCs w:val="20"/>
                <w:color w:val="auto"/>
              </w:rPr>
            </w:pPr>
            <w:r>
              <w:rPr>
                <w:rFonts w:ascii="Arial" w:cs="Arial" w:eastAsia="Arial" w:hAnsi="Arial"/>
                <w:sz w:val="15"/>
                <w:szCs w:val="15"/>
                <w:b w:val="1"/>
                <w:bCs w:val="1"/>
                <w:color w:val="auto"/>
                <w:w w:val="95"/>
              </w:rPr>
              <w:t>$</w:t>
            </w:r>
          </w:p>
        </w:tc>
        <w:tc>
          <w:tcPr>
            <w:tcW w:w="1240" w:type="dxa"/>
            <w:vAlign w:val="bottom"/>
          </w:tcPr>
          <w:p>
            <w:pPr>
              <w:jc w:val="right"/>
              <w:spacing w:after="0"/>
              <w:rPr>
                <w:sz w:val="20"/>
                <w:szCs w:val="20"/>
                <w:color w:val="auto"/>
              </w:rPr>
            </w:pPr>
            <w:r>
              <w:rPr>
                <w:rFonts w:ascii="Arial" w:cs="Arial" w:eastAsia="Arial" w:hAnsi="Arial"/>
                <w:sz w:val="15"/>
                <w:szCs w:val="15"/>
                <w:b w:val="1"/>
                <w:bCs w:val="1"/>
                <w:color w:val="auto"/>
              </w:rPr>
              <w:t>(132,467)</w:t>
            </w:r>
          </w:p>
        </w:tc>
        <w:tc>
          <w:tcPr>
            <w:tcW w:w="120" w:type="dxa"/>
            <w:vAlign w:val="bottom"/>
          </w:tcPr>
          <w:p>
            <w:pPr>
              <w:spacing w:after="0"/>
              <w:rPr>
                <w:sz w:val="17"/>
                <w:szCs w:val="17"/>
                <w:color w:val="auto"/>
              </w:rPr>
            </w:pP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(338,246)</w:t>
            </w:r>
          </w:p>
        </w:tc>
        <w:tc>
          <w:tcPr>
            <w:tcW w:w="0" w:type="dxa"/>
            <w:vAlign w:val="bottom"/>
          </w:tcPr>
          <w:p>
            <w:pPr>
              <w:spacing w:after="0"/>
              <w:rPr>
                <w:sz w:val="1"/>
                <w:szCs w:val="1"/>
                <w:color w:val="auto"/>
              </w:rPr>
            </w:pPr>
          </w:p>
        </w:tc>
      </w:tr>
      <w:tr>
        <w:trPr>
          <w:trHeight w:val="201"/>
        </w:trPr>
        <w:tc>
          <w:tcPr>
            <w:tcW w:w="47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Change in foreign currency translation adjustments</w:t>
            </w:r>
          </w:p>
        </w:tc>
        <w:tc>
          <w:tcPr>
            <w:tcW w:w="24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2,330</w:t>
            </w:r>
          </w:p>
        </w:tc>
        <w:tc>
          <w:tcPr>
            <w:tcW w:w="12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919</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19,869</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(1,401)</w:t>
            </w:r>
          </w:p>
        </w:tc>
        <w:tc>
          <w:tcPr>
            <w:tcW w:w="0" w:type="dxa"/>
            <w:vAlign w:val="bottom"/>
          </w:tcPr>
          <w:p>
            <w:pPr>
              <w:spacing w:after="0"/>
              <w:rPr>
                <w:sz w:val="1"/>
                <w:szCs w:val="1"/>
                <w:color w:val="auto"/>
              </w:rPr>
            </w:pPr>
          </w:p>
        </w:tc>
      </w:tr>
      <w:tr>
        <w:trPr>
          <w:trHeight w:val="194"/>
        </w:trPr>
        <w:tc>
          <w:tcPr>
            <w:tcW w:w="4780" w:type="dxa"/>
            <w:vAlign w:val="bottom"/>
            <w:tcBorders>
              <w:bottom w:val="single" w:sz="8" w:color="CCEEFF"/>
            </w:tcBorders>
            <w:gridSpan w:val="2"/>
          </w:tcPr>
          <w:p>
            <w:pPr>
              <w:ind w:left="140"/>
              <w:spacing w:after="0"/>
              <w:rPr>
                <w:sz w:val="20"/>
                <w:szCs w:val="20"/>
                <w:color w:val="auto"/>
              </w:rPr>
            </w:pPr>
            <w:r>
              <w:rPr>
                <w:rFonts w:ascii="Arial" w:cs="Arial" w:eastAsia="Arial" w:hAnsi="Arial"/>
                <w:sz w:val="15"/>
                <w:szCs w:val="15"/>
                <w:color w:val="auto"/>
              </w:rPr>
              <w:t>Other comprehensive income (loss)</w:t>
            </w: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2,330</w:t>
            </w:r>
          </w:p>
        </w:tc>
        <w:tc>
          <w:tcPr>
            <w:tcW w:w="12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919</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19,869</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(1,401)</w:t>
            </w:r>
          </w:p>
        </w:tc>
        <w:tc>
          <w:tcPr>
            <w:tcW w:w="0" w:type="dxa"/>
            <w:vAlign w:val="bottom"/>
          </w:tcPr>
          <w:p>
            <w:pPr>
              <w:spacing w:after="0"/>
              <w:rPr>
                <w:sz w:val="1"/>
                <w:szCs w:val="1"/>
                <w:color w:val="auto"/>
              </w:rPr>
            </w:pPr>
          </w:p>
        </w:tc>
      </w:tr>
      <w:tr>
        <w:trPr>
          <w:trHeight w:val="194"/>
        </w:trPr>
        <w:tc>
          <w:tcPr>
            <w:tcW w:w="47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Comprehensive loss</w:t>
            </w:r>
          </w:p>
        </w:tc>
        <w:tc>
          <w:tcPr>
            <w:tcW w:w="2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b w:val="1"/>
                <w:bCs w:val="1"/>
                <w:color w:val="auto"/>
                <w:w w:val="9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(221,396)</w:t>
            </w:r>
          </w:p>
        </w:tc>
        <w:tc>
          <w:tcPr>
            <w:tcW w:w="12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304"/>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(187,080)</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b w:val="1"/>
                <w:bCs w:val="1"/>
                <w:color w:val="auto"/>
                <w:w w:val="9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(112,598)</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(339,647)</w:t>
            </w:r>
          </w:p>
        </w:tc>
        <w:tc>
          <w:tcPr>
            <w:tcW w:w="0" w:type="dxa"/>
            <w:vAlign w:val="bottom"/>
          </w:tcPr>
          <w:p>
            <w:pPr>
              <w:spacing w:after="0"/>
              <w:rPr>
                <w:sz w:val="1"/>
                <w:szCs w:val="1"/>
                <w:color w:val="auto"/>
              </w:rPr>
            </w:pPr>
          </w:p>
        </w:tc>
      </w:tr>
      <w:tr>
        <w:trPr>
          <w:trHeight w:val="34"/>
        </w:trPr>
        <w:tc>
          <w:tcPr>
            <w:tcW w:w="4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8240"/>
        <w:spacing w:after="0"/>
        <w:tabs>
          <w:tab w:leader="none" w:pos="11000" w:val="left"/>
        </w:tabs>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Q2 FY2021 Form 10-Q</w:t>
      </w:r>
      <w:r>
        <w:rPr>
          <w:sz w:val="20"/>
          <w:szCs w:val="20"/>
          <w:color w:val="auto"/>
        </w:rPr>
        <w:tab/>
      </w:r>
      <w:r>
        <w:rPr>
          <w:rFonts w:ascii="Arial" w:cs="Arial" w:eastAsia="Arial" w:hAnsi="Arial"/>
          <w:sz w:val="14"/>
          <w:szCs w:val="14"/>
          <w:color w:val="FFFFFF"/>
          <w:highlight w:val="black"/>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137160</wp:posOffset>
            </wp:positionV>
            <wp:extent cx="71335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3590" cy="17145"/>
                    </a:xfrm>
                    <a:prstGeom prst="rect">
                      <a:avLst/>
                    </a:prstGeom>
                    <a:noFill/>
                  </pic:spPr>
                </pic:pic>
              </a:graphicData>
            </a:graphic>
          </wp:anchor>
        </w:drawing>
        <w:drawing>
          <wp:anchor simplePos="0" relativeHeight="251657728" behindDoc="1" locked="0" layoutInCell="0" allowOverlap="1">
            <wp:simplePos x="0" y="0"/>
            <wp:positionH relativeFrom="column">
              <wp:posOffset>6917055</wp:posOffset>
            </wp:positionH>
            <wp:positionV relativeFrom="paragraph">
              <wp:posOffset>-100330</wp:posOffset>
            </wp:positionV>
            <wp:extent cx="220980" cy="1187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0980" cy="118745"/>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3" w:name="page4"/>
    <w:bookmarkEnd w:id="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25"/>
                <w:szCs w:val="25"/>
                <w:b w:val="1"/>
                <w:bCs w:val="1"/>
                <w:color w:val="auto"/>
              </w:rPr>
              <w:t>CONSOLIDATED BALANCE SHEETS</w:t>
            </w:r>
          </w:p>
        </w:tc>
        <w:tc>
          <w:tcPr>
            <w:tcW w:w="30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spacing w:after="0"/>
              <w:rPr>
                <w:sz w:val="13"/>
                <w:szCs w:val="13"/>
                <w:color w:val="auto"/>
              </w:rPr>
            </w:pPr>
          </w:p>
        </w:tc>
        <w:tc>
          <w:tcPr>
            <w:tcW w:w="180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color w:val="auto"/>
              </w:rPr>
              <w:t>(unaudited, in 000s, except</w:t>
            </w:r>
          </w:p>
        </w:tc>
        <w:tc>
          <w:tcPr>
            <w:tcW w:w="0" w:type="dxa"/>
            <w:vAlign w:val="bottom"/>
          </w:tcPr>
          <w:p>
            <w:pPr>
              <w:spacing w:after="0"/>
              <w:rPr>
                <w:sz w:val="1"/>
                <w:szCs w:val="1"/>
                <w:color w:val="auto"/>
              </w:rPr>
            </w:pPr>
          </w:p>
        </w:tc>
      </w:tr>
      <w:tr>
        <w:trPr>
          <w:trHeight w:val="174"/>
        </w:trPr>
        <w:tc>
          <w:tcPr>
            <w:tcW w:w="5860" w:type="dxa"/>
            <w:vAlign w:val="bottom"/>
            <w:tcBorders>
              <w:bottom w:val="single" w:sz="8" w:color="auto"/>
            </w:tcBorders>
            <w:gridSpan w:val="2"/>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2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share and per share amounts)</w:t>
            </w:r>
          </w:p>
        </w:tc>
        <w:tc>
          <w:tcPr>
            <w:tcW w:w="0" w:type="dxa"/>
            <w:vAlign w:val="bottom"/>
          </w:tcPr>
          <w:p>
            <w:pPr>
              <w:spacing w:after="0"/>
              <w:rPr>
                <w:sz w:val="1"/>
                <w:szCs w:val="1"/>
                <w:color w:val="auto"/>
              </w:rPr>
            </w:pPr>
          </w:p>
        </w:tc>
      </w:tr>
      <w:tr>
        <w:trPr>
          <w:trHeight w:val="208"/>
        </w:trPr>
        <w:tc>
          <w:tcPr>
            <w:tcW w:w="5860" w:type="dxa"/>
            <w:vAlign w:val="bottom"/>
            <w:gridSpan w:val="2"/>
          </w:tcPr>
          <w:p>
            <w:pPr>
              <w:ind w:left="20"/>
              <w:spacing w:after="0"/>
              <w:rPr>
                <w:sz w:val="20"/>
                <w:szCs w:val="20"/>
                <w:color w:val="auto"/>
              </w:rPr>
            </w:pPr>
            <w:r>
              <w:rPr>
                <w:rFonts w:ascii="Arial" w:cs="Arial" w:eastAsia="Arial" w:hAnsi="Arial"/>
                <w:sz w:val="16"/>
                <w:szCs w:val="16"/>
                <w:color w:val="auto"/>
              </w:rPr>
              <w:t>As of</w:t>
            </w:r>
          </w:p>
        </w:tc>
        <w:tc>
          <w:tcPr>
            <w:tcW w:w="300" w:type="dxa"/>
            <w:vAlign w:val="bottom"/>
          </w:tcPr>
          <w:p>
            <w:pPr>
              <w:spacing w:after="0"/>
              <w:rPr>
                <w:sz w:val="18"/>
                <w:szCs w:val="18"/>
                <w:color w:val="auto"/>
              </w:rPr>
            </w:pPr>
          </w:p>
        </w:tc>
        <w:tc>
          <w:tcPr>
            <w:tcW w:w="1620" w:type="dxa"/>
            <w:vAlign w:val="bottom"/>
            <w:gridSpan w:val="2"/>
          </w:tcPr>
          <w:p>
            <w:pPr>
              <w:ind w:left="200"/>
              <w:spacing w:after="0"/>
              <w:rPr>
                <w:sz w:val="20"/>
                <w:szCs w:val="20"/>
                <w:color w:val="auto"/>
              </w:rPr>
            </w:pPr>
            <w:r>
              <w:rPr>
                <w:rFonts w:ascii="Arial" w:cs="Arial" w:eastAsia="Arial" w:hAnsi="Arial"/>
                <w:sz w:val="16"/>
                <w:szCs w:val="16"/>
                <w:b w:val="1"/>
                <w:bCs w:val="1"/>
                <w:color w:val="auto"/>
              </w:rPr>
              <w:t>October 31, 2020</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October 31, 2019</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April 30, 2020</w:t>
            </w:r>
          </w:p>
        </w:tc>
        <w:tc>
          <w:tcPr>
            <w:tcW w:w="0" w:type="dxa"/>
            <w:vAlign w:val="bottom"/>
          </w:tcPr>
          <w:p>
            <w:pPr>
              <w:spacing w:after="0"/>
              <w:rPr>
                <w:sz w:val="1"/>
                <w:szCs w:val="1"/>
                <w:color w:val="auto"/>
              </w:rPr>
            </w:pPr>
          </w:p>
        </w:tc>
      </w:tr>
      <w:tr>
        <w:trPr>
          <w:trHeight w:val="141"/>
        </w:trPr>
        <w:tc>
          <w:tcPr>
            <w:tcW w:w="57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5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4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12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5860" w:type="dxa"/>
            <w:vAlign w:val="bottom"/>
            <w:gridSpan w:val="2"/>
          </w:tcPr>
          <w:p>
            <w:pPr>
              <w:ind w:left="2560"/>
              <w:spacing w:after="0"/>
              <w:rPr>
                <w:sz w:val="20"/>
                <w:szCs w:val="20"/>
                <w:color w:val="auto"/>
              </w:rPr>
            </w:pPr>
            <w:r>
              <w:rPr>
                <w:rFonts w:ascii="Arial" w:cs="Arial" w:eastAsia="Arial" w:hAnsi="Arial"/>
                <w:sz w:val="15"/>
                <w:szCs w:val="15"/>
                <w:b w:val="1"/>
                <w:bCs w:val="1"/>
                <w:color w:val="auto"/>
              </w:rPr>
              <w:t>ASSETS</w:t>
            </w:r>
          </w:p>
        </w:tc>
        <w:tc>
          <w:tcPr>
            <w:tcW w:w="3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86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Cash and cash equivalents</w:t>
            </w:r>
          </w:p>
        </w:tc>
        <w:tc>
          <w:tcPr>
            <w:tcW w:w="300" w:type="dxa"/>
            <w:vAlign w:val="bottom"/>
            <w:shd w:val="clear" w:color="auto" w:fill="CCEEFF"/>
          </w:tcPr>
          <w:p>
            <w:pPr>
              <w:jc w:val="right"/>
              <w:ind w:right="124"/>
              <w:spacing w:after="0"/>
              <w:rPr>
                <w:sz w:val="20"/>
                <w:szCs w:val="20"/>
                <w:color w:val="auto"/>
              </w:rPr>
            </w:pPr>
            <w:r>
              <w:rPr>
                <w:rFonts w:ascii="Arial" w:cs="Arial" w:eastAsia="Arial" w:hAnsi="Arial"/>
                <w:sz w:val="15"/>
                <w:szCs w:val="15"/>
                <w:b w:val="1"/>
                <w:bCs w:val="1"/>
                <w:color w:val="auto"/>
                <w:w w:val="95"/>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208,956</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245,312</w:t>
            </w:r>
          </w:p>
        </w:tc>
        <w:tc>
          <w:tcPr>
            <w:tcW w:w="520" w:type="dxa"/>
            <w:vAlign w:val="bottom"/>
            <w:gridSpan w:val="2"/>
            <w:shd w:val="clear" w:color="auto" w:fill="CCEEFF"/>
          </w:tcPr>
          <w:p>
            <w:pPr>
              <w:jc w:val="right"/>
              <w:ind w:right="224"/>
              <w:spacing w:after="0"/>
              <w:rPr>
                <w:sz w:val="20"/>
                <w:szCs w:val="20"/>
                <w:color w:val="auto"/>
              </w:rPr>
            </w:pPr>
            <w:r>
              <w:rPr>
                <w:rFonts w:ascii="Arial" w:cs="Arial" w:eastAsia="Arial" w:hAnsi="Arial"/>
                <w:sz w:val="15"/>
                <w:szCs w:val="15"/>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2,661,914</w:t>
            </w:r>
          </w:p>
        </w:tc>
        <w:tc>
          <w:tcPr>
            <w:tcW w:w="0" w:type="dxa"/>
            <w:vAlign w:val="bottom"/>
          </w:tcPr>
          <w:p>
            <w:pPr>
              <w:spacing w:after="0"/>
              <w:rPr>
                <w:sz w:val="1"/>
                <w:szCs w:val="1"/>
                <w:color w:val="auto"/>
              </w:rPr>
            </w:pPr>
          </w:p>
        </w:tc>
      </w:tr>
      <w:tr>
        <w:trPr>
          <w:trHeight w:val="201"/>
        </w:trPr>
        <w:tc>
          <w:tcPr>
            <w:tcW w:w="5860" w:type="dxa"/>
            <w:vAlign w:val="bottom"/>
            <w:gridSpan w:val="2"/>
          </w:tcPr>
          <w:p>
            <w:pPr>
              <w:ind w:left="140"/>
              <w:spacing w:after="0"/>
              <w:rPr>
                <w:sz w:val="20"/>
                <w:szCs w:val="20"/>
                <w:color w:val="auto"/>
              </w:rPr>
            </w:pPr>
            <w:r>
              <w:rPr>
                <w:rFonts w:ascii="Arial" w:cs="Arial" w:eastAsia="Arial" w:hAnsi="Arial"/>
                <w:sz w:val="15"/>
                <w:szCs w:val="15"/>
                <w:color w:val="auto"/>
              </w:rPr>
              <w:t>Cash and cash equivalents - restricted</w:t>
            </w:r>
          </w:p>
        </w:tc>
        <w:tc>
          <w:tcPr>
            <w:tcW w:w="3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b w:val="1"/>
                <w:bCs w:val="1"/>
                <w:color w:val="auto"/>
              </w:rPr>
              <w:t>178,368</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176,332</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211,106</w:t>
            </w:r>
          </w:p>
        </w:tc>
        <w:tc>
          <w:tcPr>
            <w:tcW w:w="0" w:type="dxa"/>
            <w:vAlign w:val="bottom"/>
          </w:tcPr>
          <w:p>
            <w:pPr>
              <w:spacing w:after="0"/>
              <w:rPr>
                <w:sz w:val="1"/>
                <w:szCs w:val="1"/>
                <w:color w:val="auto"/>
              </w:rPr>
            </w:pPr>
          </w:p>
        </w:tc>
      </w:tr>
      <w:tr>
        <w:trPr>
          <w:trHeight w:val="201"/>
        </w:trPr>
        <w:tc>
          <w:tcPr>
            <w:tcW w:w="58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Receivables, less allowance for credit losses of $66,808, $65,815 and $64,648</w:t>
            </w:r>
          </w:p>
        </w:tc>
        <w:tc>
          <w:tcPr>
            <w:tcW w:w="3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71,253</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74,710</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133,197</w:t>
            </w:r>
          </w:p>
        </w:tc>
        <w:tc>
          <w:tcPr>
            <w:tcW w:w="0" w:type="dxa"/>
            <w:vAlign w:val="bottom"/>
          </w:tcPr>
          <w:p>
            <w:pPr>
              <w:spacing w:after="0"/>
              <w:rPr>
                <w:sz w:val="1"/>
                <w:szCs w:val="1"/>
                <w:color w:val="auto"/>
              </w:rPr>
            </w:pPr>
          </w:p>
        </w:tc>
      </w:tr>
      <w:tr>
        <w:trPr>
          <w:trHeight w:val="201"/>
        </w:trPr>
        <w:tc>
          <w:tcPr>
            <w:tcW w:w="5860" w:type="dxa"/>
            <w:vAlign w:val="bottom"/>
            <w:tcBorders>
              <w:bottom w:val="single" w:sz="8" w:color="CCEEFF"/>
            </w:tcBorders>
            <w:gridSpan w:val="2"/>
          </w:tcPr>
          <w:p>
            <w:pPr>
              <w:ind w:left="140"/>
              <w:spacing w:after="0"/>
              <w:rPr>
                <w:sz w:val="20"/>
                <w:szCs w:val="20"/>
                <w:color w:val="auto"/>
              </w:rPr>
            </w:pPr>
            <w:r>
              <w:rPr>
                <w:rFonts w:ascii="Arial" w:cs="Arial" w:eastAsia="Arial" w:hAnsi="Arial"/>
                <w:sz w:val="15"/>
                <w:szCs w:val="15"/>
                <w:color w:val="auto"/>
              </w:rPr>
              <w:t>Prepaid expenses and other current assets</w:t>
            </w:r>
          </w:p>
        </w:tc>
        <w:tc>
          <w:tcPr>
            <w:tcW w:w="3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134,336</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105,058</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80,519</w:t>
            </w:r>
          </w:p>
        </w:tc>
        <w:tc>
          <w:tcPr>
            <w:tcW w:w="0" w:type="dxa"/>
            <w:vAlign w:val="bottom"/>
          </w:tcPr>
          <w:p>
            <w:pPr>
              <w:spacing w:after="0"/>
              <w:rPr>
                <w:sz w:val="1"/>
                <w:szCs w:val="1"/>
                <w:color w:val="auto"/>
              </w:rPr>
            </w:pPr>
          </w:p>
        </w:tc>
      </w:tr>
      <w:tr>
        <w:trPr>
          <w:trHeight w:val="194"/>
        </w:trPr>
        <w:tc>
          <w:tcPr>
            <w:tcW w:w="586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rPr>
              <w:t>Total current assets</w:t>
            </w:r>
          </w:p>
        </w:tc>
        <w:tc>
          <w:tcPr>
            <w:tcW w:w="30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592,913</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601,412</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3,086,736</w:t>
            </w:r>
          </w:p>
        </w:tc>
        <w:tc>
          <w:tcPr>
            <w:tcW w:w="0" w:type="dxa"/>
            <w:vAlign w:val="bottom"/>
          </w:tcPr>
          <w:p>
            <w:pPr>
              <w:spacing w:after="0"/>
              <w:rPr>
                <w:sz w:val="1"/>
                <w:szCs w:val="1"/>
                <w:color w:val="auto"/>
              </w:rPr>
            </w:pPr>
          </w:p>
        </w:tc>
      </w:tr>
      <w:tr>
        <w:trPr>
          <w:trHeight w:val="147"/>
        </w:trPr>
        <w:tc>
          <w:tcPr>
            <w:tcW w:w="5860" w:type="dxa"/>
            <w:vAlign w:val="bottom"/>
            <w:gridSpan w:val="2"/>
          </w:tcPr>
          <w:p>
            <w:pPr>
              <w:ind w:left="180"/>
              <w:spacing w:after="0" w:line="147" w:lineRule="exact"/>
              <w:rPr>
                <w:sz w:val="20"/>
                <w:szCs w:val="20"/>
                <w:color w:val="auto"/>
              </w:rPr>
            </w:pPr>
            <w:r>
              <w:rPr>
                <w:rFonts w:ascii="Arial" w:cs="Arial" w:eastAsia="Arial" w:hAnsi="Arial"/>
                <w:sz w:val="15"/>
                <w:szCs w:val="15"/>
                <w:color w:val="auto"/>
              </w:rPr>
              <w:t>Property and equipment, at cost, less accumulated depreciation and amortization</w:t>
            </w:r>
          </w:p>
        </w:tc>
        <w:tc>
          <w:tcPr>
            <w:tcW w:w="300" w:type="dxa"/>
            <w:vAlign w:val="bottom"/>
          </w:tcPr>
          <w:p>
            <w:pPr>
              <w:spacing w:after="0"/>
              <w:rPr>
                <w:sz w:val="12"/>
                <w:szCs w:val="12"/>
                <w:color w:val="auto"/>
              </w:rPr>
            </w:pPr>
          </w:p>
        </w:tc>
        <w:tc>
          <w:tcPr>
            <w:tcW w:w="150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164,742</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vMerge w:val="restart"/>
          </w:tcPr>
          <w:p>
            <w:pPr>
              <w:jc w:val="right"/>
              <w:spacing w:after="0"/>
              <w:rPr>
                <w:sz w:val="20"/>
                <w:szCs w:val="20"/>
                <w:color w:val="auto"/>
              </w:rPr>
            </w:pPr>
            <w:r>
              <w:rPr>
                <w:rFonts w:ascii="Arial" w:cs="Arial" w:eastAsia="Arial" w:hAnsi="Arial"/>
                <w:sz w:val="15"/>
                <w:szCs w:val="15"/>
                <w:color w:val="auto"/>
              </w:rPr>
              <w:t>206,216</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80" w:type="dxa"/>
            <w:vAlign w:val="bottom"/>
            <w:vMerge w:val="restart"/>
          </w:tcPr>
          <w:p>
            <w:pPr>
              <w:jc w:val="right"/>
              <w:spacing w:after="0"/>
              <w:rPr>
                <w:sz w:val="20"/>
                <w:szCs w:val="20"/>
                <w:color w:val="auto"/>
              </w:rPr>
            </w:pPr>
            <w:r>
              <w:rPr>
                <w:rFonts w:ascii="Arial" w:cs="Arial" w:eastAsia="Arial" w:hAnsi="Arial"/>
                <w:sz w:val="15"/>
                <w:szCs w:val="15"/>
                <w:color w:val="auto"/>
              </w:rPr>
              <w:t>184,367</w:t>
            </w:r>
          </w:p>
        </w:tc>
        <w:tc>
          <w:tcPr>
            <w:tcW w:w="0" w:type="dxa"/>
            <w:vAlign w:val="bottom"/>
          </w:tcPr>
          <w:p>
            <w:pPr>
              <w:spacing w:after="0"/>
              <w:rPr>
                <w:sz w:val="1"/>
                <w:szCs w:val="1"/>
                <w:color w:val="auto"/>
              </w:rPr>
            </w:pPr>
          </w:p>
        </w:tc>
      </w:tr>
      <w:tr>
        <w:trPr>
          <w:trHeight w:val="201"/>
        </w:trPr>
        <w:tc>
          <w:tcPr>
            <w:tcW w:w="5860" w:type="dxa"/>
            <w:vAlign w:val="bottom"/>
            <w:gridSpan w:val="2"/>
          </w:tcPr>
          <w:p>
            <w:pPr>
              <w:ind w:left="340"/>
              <w:spacing w:after="0"/>
              <w:rPr>
                <w:sz w:val="20"/>
                <w:szCs w:val="20"/>
                <w:color w:val="auto"/>
              </w:rPr>
            </w:pPr>
            <w:r>
              <w:rPr>
                <w:rFonts w:ascii="Arial" w:cs="Arial" w:eastAsia="Arial" w:hAnsi="Arial"/>
                <w:sz w:val="15"/>
                <w:szCs w:val="15"/>
                <w:color w:val="auto"/>
              </w:rPr>
              <w:t>of $832,080, $784,535 and $796,192</w:t>
            </w:r>
          </w:p>
        </w:tc>
        <w:tc>
          <w:tcPr>
            <w:tcW w:w="300" w:type="dxa"/>
            <w:vAlign w:val="bottom"/>
          </w:tcPr>
          <w:p>
            <w:pPr>
              <w:spacing w:after="0"/>
              <w:rPr>
                <w:sz w:val="17"/>
                <w:szCs w:val="17"/>
                <w:color w:val="auto"/>
              </w:rPr>
            </w:pPr>
          </w:p>
        </w:tc>
        <w:tc>
          <w:tcPr>
            <w:tcW w:w="15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86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Operating lease right of use asset</w:t>
            </w:r>
          </w:p>
        </w:tc>
        <w:tc>
          <w:tcPr>
            <w:tcW w:w="3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445,727</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475,969</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494,788</w:t>
            </w:r>
          </w:p>
        </w:tc>
        <w:tc>
          <w:tcPr>
            <w:tcW w:w="0" w:type="dxa"/>
            <w:vAlign w:val="bottom"/>
          </w:tcPr>
          <w:p>
            <w:pPr>
              <w:spacing w:after="0"/>
              <w:rPr>
                <w:sz w:val="1"/>
                <w:szCs w:val="1"/>
                <w:color w:val="auto"/>
              </w:rPr>
            </w:pPr>
          </w:p>
        </w:tc>
      </w:tr>
      <w:tr>
        <w:trPr>
          <w:trHeight w:val="201"/>
        </w:trPr>
        <w:tc>
          <w:tcPr>
            <w:tcW w:w="5860" w:type="dxa"/>
            <w:vAlign w:val="bottom"/>
            <w:gridSpan w:val="2"/>
          </w:tcPr>
          <w:p>
            <w:pPr>
              <w:ind w:left="140"/>
              <w:spacing w:after="0"/>
              <w:rPr>
                <w:sz w:val="20"/>
                <w:szCs w:val="20"/>
                <w:color w:val="auto"/>
              </w:rPr>
            </w:pPr>
            <w:r>
              <w:rPr>
                <w:rFonts w:ascii="Arial" w:cs="Arial" w:eastAsia="Arial" w:hAnsi="Arial"/>
                <w:sz w:val="15"/>
                <w:szCs w:val="15"/>
                <w:color w:val="auto"/>
              </w:rPr>
              <w:t>Intangible assets, net</w:t>
            </w:r>
          </w:p>
        </w:tc>
        <w:tc>
          <w:tcPr>
            <w:tcW w:w="3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b w:val="1"/>
                <w:bCs w:val="1"/>
                <w:color w:val="auto"/>
              </w:rPr>
              <w:t>390,371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425,377</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414,976</w:t>
            </w:r>
          </w:p>
        </w:tc>
        <w:tc>
          <w:tcPr>
            <w:tcW w:w="0" w:type="dxa"/>
            <w:vAlign w:val="bottom"/>
          </w:tcPr>
          <w:p>
            <w:pPr>
              <w:spacing w:after="0"/>
              <w:rPr>
                <w:sz w:val="1"/>
                <w:szCs w:val="1"/>
                <w:color w:val="auto"/>
              </w:rPr>
            </w:pPr>
          </w:p>
        </w:tc>
      </w:tr>
      <w:tr>
        <w:trPr>
          <w:trHeight w:val="201"/>
        </w:trPr>
        <w:tc>
          <w:tcPr>
            <w:tcW w:w="586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Goodwill</w:t>
            </w:r>
          </w:p>
        </w:tc>
        <w:tc>
          <w:tcPr>
            <w:tcW w:w="3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727,483</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815,331</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712,138</w:t>
            </w:r>
          </w:p>
        </w:tc>
        <w:tc>
          <w:tcPr>
            <w:tcW w:w="0" w:type="dxa"/>
            <w:vAlign w:val="bottom"/>
          </w:tcPr>
          <w:p>
            <w:pPr>
              <w:spacing w:after="0"/>
              <w:rPr>
                <w:sz w:val="1"/>
                <w:szCs w:val="1"/>
                <w:color w:val="auto"/>
              </w:rPr>
            </w:pPr>
          </w:p>
        </w:tc>
      </w:tr>
      <w:tr>
        <w:trPr>
          <w:trHeight w:val="201"/>
        </w:trPr>
        <w:tc>
          <w:tcPr>
            <w:tcW w:w="5860" w:type="dxa"/>
            <w:vAlign w:val="bottom"/>
            <w:gridSpan w:val="2"/>
          </w:tcPr>
          <w:p>
            <w:pPr>
              <w:ind w:left="140"/>
              <w:spacing w:after="0"/>
              <w:rPr>
                <w:sz w:val="20"/>
                <w:szCs w:val="20"/>
                <w:color w:val="auto"/>
              </w:rPr>
            </w:pPr>
            <w:r>
              <w:rPr>
                <w:rFonts w:ascii="Arial" w:cs="Arial" w:eastAsia="Arial" w:hAnsi="Arial"/>
                <w:sz w:val="15"/>
                <w:szCs w:val="15"/>
                <w:color w:val="auto"/>
              </w:rPr>
              <w:t>Deferred tax assets and income taxes receivable</w:t>
            </w:r>
          </w:p>
        </w:tc>
        <w:tc>
          <w:tcPr>
            <w:tcW w:w="3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b w:val="1"/>
                <w:bCs w:val="1"/>
                <w:color w:val="auto"/>
              </w:rPr>
              <w:t>172,842</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145,807</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151,195</w:t>
            </w:r>
          </w:p>
        </w:tc>
        <w:tc>
          <w:tcPr>
            <w:tcW w:w="0" w:type="dxa"/>
            <w:vAlign w:val="bottom"/>
          </w:tcPr>
          <w:p>
            <w:pPr>
              <w:spacing w:after="0"/>
              <w:rPr>
                <w:sz w:val="1"/>
                <w:szCs w:val="1"/>
                <w:color w:val="auto"/>
              </w:rPr>
            </w:pPr>
          </w:p>
        </w:tc>
      </w:tr>
      <w:tr>
        <w:trPr>
          <w:trHeight w:val="201"/>
        </w:trPr>
        <w:tc>
          <w:tcPr>
            <w:tcW w:w="586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Other noncurrent assets</w:t>
            </w:r>
          </w:p>
        </w:tc>
        <w:tc>
          <w:tcPr>
            <w:tcW w:w="30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62,351</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86,629</w:t>
            </w:r>
          </w:p>
        </w:tc>
        <w:tc>
          <w:tcPr>
            <w:tcW w:w="12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67,847</w:t>
            </w:r>
          </w:p>
        </w:tc>
        <w:tc>
          <w:tcPr>
            <w:tcW w:w="0" w:type="dxa"/>
            <w:vAlign w:val="bottom"/>
          </w:tcPr>
          <w:p>
            <w:pPr>
              <w:spacing w:after="0"/>
              <w:rPr>
                <w:sz w:val="1"/>
                <w:szCs w:val="1"/>
                <w:color w:val="auto"/>
              </w:rPr>
            </w:pPr>
          </w:p>
        </w:tc>
      </w:tr>
      <w:tr>
        <w:trPr>
          <w:trHeight w:val="194"/>
        </w:trPr>
        <w:tc>
          <w:tcPr>
            <w:tcW w:w="5860" w:type="dxa"/>
            <w:vAlign w:val="bottom"/>
            <w:tcBorders>
              <w:bottom w:val="single" w:sz="8" w:color="CCEEFF"/>
            </w:tcBorders>
            <w:gridSpan w:val="2"/>
          </w:tcPr>
          <w:p>
            <w:pPr>
              <w:ind w:left="340"/>
              <w:spacing w:after="0"/>
              <w:rPr>
                <w:sz w:val="20"/>
                <w:szCs w:val="20"/>
                <w:color w:val="auto"/>
              </w:rPr>
            </w:pPr>
            <w:r>
              <w:rPr>
                <w:rFonts w:ascii="Arial" w:cs="Arial" w:eastAsia="Arial" w:hAnsi="Arial"/>
                <w:sz w:val="15"/>
                <w:szCs w:val="15"/>
                <w:color w:val="auto"/>
              </w:rPr>
              <w:t>Total assets</w:t>
            </w:r>
          </w:p>
        </w:tc>
        <w:tc>
          <w:tcPr>
            <w:tcW w:w="30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b w:val="1"/>
                <w:bCs w:val="1"/>
                <w:color w:val="auto"/>
                <w:w w:val="95"/>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2,556,429</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95"/>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2,756,741</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5,112,047</w:t>
            </w:r>
          </w:p>
        </w:tc>
        <w:tc>
          <w:tcPr>
            <w:tcW w:w="0" w:type="dxa"/>
            <w:vAlign w:val="bottom"/>
          </w:tcPr>
          <w:p>
            <w:pPr>
              <w:spacing w:after="0"/>
              <w:rPr>
                <w:sz w:val="1"/>
                <w:szCs w:val="1"/>
                <w:color w:val="auto"/>
              </w:rPr>
            </w:pPr>
          </w:p>
        </w:tc>
      </w:tr>
      <w:tr>
        <w:trPr>
          <w:trHeight w:val="181"/>
        </w:trPr>
        <w:tc>
          <w:tcPr>
            <w:tcW w:w="5860" w:type="dxa"/>
            <w:vAlign w:val="bottom"/>
            <w:gridSpan w:val="2"/>
            <w:shd w:val="clear" w:color="auto" w:fill="CCEEFF"/>
          </w:tcPr>
          <w:p>
            <w:pPr>
              <w:ind w:left="1280"/>
              <w:spacing w:after="0"/>
              <w:rPr>
                <w:sz w:val="20"/>
                <w:szCs w:val="20"/>
                <w:color w:val="auto"/>
              </w:rPr>
            </w:pPr>
            <w:r>
              <w:rPr>
                <w:rFonts w:ascii="Arial" w:cs="Arial" w:eastAsia="Arial" w:hAnsi="Arial"/>
                <w:sz w:val="15"/>
                <w:szCs w:val="15"/>
                <w:b w:val="1"/>
                <w:bCs w:val="1"/>
                <w:color w:val="auto"/>
              </w:rPr>
              <w:t>LIABILITIES AND STOCKHOLDERS' EQUITY</w:t>
            </w:r>
          </w:p>
        </w:tc>
        <w:tc>
          <w:tcPr>
            <w:tcW w:w="30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5860" w:type="dxa"/>
            <w:vAlign w:val="bottom"/>
            <w:gridSpan w:val="2"/>
          </w:tcPr>
          <w:p>
            <w:pPr>
              <w:ind w:left="20"/>
              <w:spacing w:after="0"/>
              <w:rPr>
                <w:sz w:val="20"/>
                <w:szCs w:val="20"/>
                <w:color w:val="auto"/>
              </w:rPr>
            </w:pPr>
            <w:r>
              <w:rPr>
                <w:rFonts w:ascii="Arial" w:cs="Arial" w:eastAsia="Arial" w:hAnsi="Arial"/>
                <w:sz w:val="15"/>
                <w:szCs w:val="15"/>
                <w:b w:val="1"/>
                <w:bCs w:val="1"/>
                <w:color w:val="auto"/>
              </w:rPr>
              <w:t>LIABILITIES:</w:t>
            </w:r>
          </w:p>
        </w:tc>
        <w:tc>
          <w:tcPr>
            <w:tcW w:w="3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86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Accounts payable and accrued expenses</w:t>
            </w:r>
          </w:p>
        </w:tc>
        <w:tc>
          <w:tcPr>
            <w:tcW w:w="300" w:type="dxa"/>
            <w:vAlign w:val="bottom"/>
            <w:shd w:val="clear" w:color="auto" w:fill="CCEEFF"/>
          </w:tcPr>
          <w:p>
            <w:pPr>
              <w:jc w:val="right"/>
              <w:ind w:right="124"/>
              <w:spacing w:after="0"/>
              <w:rPr>
                <w:sz w:val="20"/>
                <w:szCs w:val="20"/>
                <w:color w:val="auto"/>
              </w:rPr>
            </w:pPr>
            <w:r>
              <w:rPr>
                <w:rFonts w:ascii="Arial" w:cs="Arial" w:eastAsia="Arial" w:hAnsi="Arial"/>
                <w:sz w:val="15"/>
                <w:szCs w:val="15"/>
                <w:b w:val="1"/>
                <w:bCs w:val="1"/>
                <w:color w:val="auto"/>
                <w:w w:val="95"/>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108,805</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111,439</w:t>
            </w:r>
          </w:p>
        </w:tc>
        <w:tc>
          <w:tcPr>
            <w:tcW w:w="520" w:type="dxa"/>
            <w:vAlign w:val="bottom"/>
            <w:gridSpan w:val="2"/>
            <w:shd w:val="clear" w:color="auto" w:fill="CCEEFF"/>
          </w:tcPr>
          <w:p>
            <w:pPr>
              <w:jc w:val="right"/>
              <w:ind w:right="224"/>
              <w:spacing w:after="0"/>
              <w:rPr>
                <w:sz w:val="20"/>
                <w:szCs w:val="20"/>
                <w:color w:val="auto"/>
              </w:rPr>
            </w:pPr>
            <w:r>
              <w:rPr>
                <w:rFonts w:ascii="Arial" w:cs="Arial" w:eastAsia="Arial" w:hAnsi="Arial"/>
                <w:sz w:val="15"/>
                <w:szCs w:val="15"/>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203,103</w:t>
            </w:r>
          </w:p>
        </w:tc>
        <w:tc>
          <w:tcPr>
            <w:tcW w:w="0" w:type="dxa"/>
            <w:vAlign w:val="bottom"/>
          </w:tcPr>
          <w:p>
            <w:pPr>
              <w:spacing w:after="0"/>
              <w:rPr>
                <w:sz w:val="1"/>
                <w:szCs w:val="1"/>
                <w:color w:val="auto"/>
              </w:rPr>
            </w:pPr>
          </w:p>
        </w:tc>
      </w:tr>
      <w:tr>
        <w:trPr>
          <w:trHeight w:val="201"/>
        </w:trPr>
        <w:tc>
          <w:tcPr>
            <w:tcW w:w="5860" w:type="dxa"/>
            <w:vAlign w:val="bottom"/>
            <w:gridSpan w:val="2"/>
          </w:tcPr>
          <w:p>
            <w:pPr>
              <w:ind w:left="140"/>
              <w:spacing w:after="0"/>
              <w:rPr>
                <w:sz w:val="20"/>
                <w:szCs w:val="20"/>
                <w:color w:val="auto"/>
              </w:rPr>
            </w:pPr>
            <w:r>
              <w:rPr>
                <w:rFonts w:ascii="Arial" w:cs="Arial" w:eastAsia="Arial" w:hAnsi="Arial"/>
                <w:sz w:val="15"/>
                <w:szCs w:val="15"/>
                <w:color w:val="auto"/>
              </w:rPr>
              <w:t>Accrued salaries, wages and payroll taxes</w:t>
            </w:r>
          </w:p>
        </w:tc>
        <w:tc>
          <w:tcPr>
            <w:tcW w:w="3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b w:val="1"/>
                <w:bCs w:val="1"/>
                <w:color w:val="auto"/>
              </w:rPr>
              <w:t>62,122</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57,602</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116,375</w:t>
            </w:r>
          </w:p>
        </w:tc>
        <w:tc>
          <w:tcPr>
            <w:tcW w:w="0" w:type="dxa"/>
            <w:vAlign w:val="bottom"/>
          </w:tcPr>
          <w:p>
            <w:pPr>
              <w:spacing w:after="0"/>
              <w:rPr>
                <w:sz w:val="1"/>
                <w:szCs w:val="1"/>
                <w:color w:val="auto"/>
              </w:rPr>
            </w:pPr>
          </w:p>
        </w:tc>
      </w:tr>
      <w:tr>
        <w:trPr>
          <w:trHeight w:val="201"/>
        </w:trPr>
        <w:tc>
          <w:tcPr>
            <w:tcW w:w="586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Accrued income taxes and reserves for uncertain tax positions</w:t>
            </w:r>
          </w:p>
        </w:tc>
        <w:tc>
          <w:tcPr>
            <w:tcW w:w="3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8,662</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106,125</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209,816</w:t>
            </w:r>
          </w:p>
        </w:tc>
        <w:tc>
          <w:tcPr>
            <w:tcW w:w="0" w:type="dxa"/>
            <w:vAlign w:val="bottom"/>
          </w:tcPr>
          <w:p>
            <w:pPr>
              <w:spacing w:after="0"/>
              <w:rPr>
                <w:sz w:val="1"/>
                <w:szCs w:val="1"/>
                <w:color w:val="auto"/>
              </w:rPr>
            </w:pPr>
          </w:p>
        </w:tc>
      </w:tr>
      <w:tr>
        <w:trPr>
          <w:trHeight w:val="201"/>
        </w:trPr>
        <w:tc>
          <w:tcPr>
            <w:tcW w:w="5860" w:type="dxa"/>
            <w:vAlign w:val="bottom"/>
            <w:gridSpan w:val="2"/>
          </w:tcPr>
          <w:p>
            <w:pPr>
              <w:ind w:left="140"/>
              <w:spacing w:after="0"/>
              <w:rPr>
                <w:sz w:val="20"/>
                <w:szCs w:val="20"/>
                <w:color w:val="auto"/>
              </w:rPr>
            </w:pPr>
            <w:r>
              <w:rPr>
                <w:rFonts w:ascii="Arial" w:cs="Arial" w:eastAsia="Arial" w:hAnsi="Arial"/>
                <w:sz w:val="15"/>
                <w:szCs w:val="15"/>
                <w:color w:val="auto"/>
              </w:rPr>
              <w:t>Current portion of long-term debt</w:t>
            </w:r>
          </w:p>
        </w:tc>
        <w:tc>
          <w:tcPr>
            <w:tcW w:w="300" w:type="dxa"/>
            <w:vAlign w:val="bottom"/>
          </w:tcPr>
          <w:p>
            <w:pPr>
              <w:spacing w:after="0"/>
              <w:rPr>
                <w:sz w:val="17"/>
                <w:szCs w:val="17"/>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w:t>
            </w:r>
          </w:p>
        </w:tc>
        <w:tc>
          <w:tcPr>
            <w:tcW w:w="2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648,651</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649,384</w:t>
            </w:r>
          </w:p>
        </w:tc>
        <w:tc>
          <w:tcPr>
            <w:tcW w:w="0" w:type="dxa"/>
            <w:vAlign w:val="bottom"/>
          </w:tcPr>
          <w:p>
            <w:pPr>
              <w:spacing w:after="0"/>
              <w:rPr>
                <w:sz w:val="1"/>
                <w:szCs w:val="1"/>
                <w:color w:val="auto"/>
              </w:rPr>
            </w:pPr>
          </w:p>
        </w:tc>
      </w:tr>
      <w:tr>
        <w:trPr>
          <w:trHeight w:val="201"/>
        </w:trPr>
        <w:tc>
          <w:tcPr>
            <w:tcW w:w="586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Operating lease liabilities</w:t>
            </w:r>
          </w:p>
        </w:tc>
        <w:tc>
          <w:tcPr>
            <w:tcW w:w="3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191,114</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162,897</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195,537</w:t>
            </w:r>
          </w:p>
        </w:tc>
        <w:tc>
          <w:tcPr>
            <w:tcW w:w="0" w:type="dxa"/>
            <w:vAlign w:val="bottom"/>
          </w:tcPr>
          <w:p>
            <w:pPr>
              <w:spacing w:after="0"/>
              <w:rPr>
                <w:sz w:val="1"/>
                <w:szCs w:val="1"/>
                <w:color w:val="auto"/>
              </w:rPr>
            </w:pPr>
          </w:p>
        </w:tc>
      </w:tr>
      <w:tr>
        <w:trPr>
          <w:trHeight w:val="201"/>
        </w:trPr>
        <w:tc>
          <w:tcPr>
            <w:tcW w:w="5860" w:type="dxa"/>
            <w:vAlign w:val="bottom"/>
            <w:tcBorders>
              <w:bottom w:val="single" w:sz="8" w:color="CCEEFF"/>
            </w:tcBorders>
            <w:gridSpan w:val="2"/>
          </w:tcPr>
          <w:p>
            <w:pPr>
              <w:ind w:left="140"/>
              <w:spacing w:after="0"/>
              <w:rPr>
                <w:sz w:val="20"/>
                <w:szCs w:val="20"/>
                <w:color w:val="auto"/>
              </w:rPr>
            </w:pPr>
            <w:r>
              <w:rPr>
                <w:rFonts w:ascii="Arial" w:cs="Arial" w:eastAsia="Arial" w:hAnsi="Arial"/>
                <w:sz w:val="15"/>
                <w:szCs w:val="15"/>
                <w:color w:val="auto"/>
              </w:rPr>
              <w:t>Deferred revenue and other current liabilities</w:t>
            </w:r>
          </w:p>
        </w:tc>
        <w:tc>
          <w:tcPr>
            <w:tcW w:w="3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181,900</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177,243</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201,401</w:t>
            </w:r>
          </w:p>
        </w:tc>
        <w:tc>
          <w:tcPr>
            <w:tcW w:w="0" w:type="dxa"/>
            <w:vAlign w:val="bottom"/>
          </w:tcPr>
          <w:p>
            <w:pPr>
              <w:spacing w:after="0"/>
              <w:rPr>
                <w:sz w:val="1"/>
                <w:szCs w:val="1"/>
                <w:color w:val="auto"/>
              </w:rPr>
            </w:pPr>
          </w:p>
        </w:tc>
      </w:tr>
      <w:tr>
        <w:trPr>
          <w:trHeight w:val="194"/>
        </w:trPr>
        <w:tc>
          <w:tcPr>
            <w:tcW w:w="586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rPr>
              <w:t>Total current liabilities</w:t>
            </w:r>
          </w:p>
        </w:tc>
        <w:tc>
          <w:tcPr>
            <w:tcW w:w="30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552,603</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1,263,957</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1,575,616</w:t>
            </w:r>
          </w:p>
        </w:tc>
        <w:tc>
          <w:tcPr>
            <w:tcW w:w="0" w:type="dxa"/>
            <w:vAlign w:val="bottom"/>
          </w:tcPr>
          <w:p>
            <w:pPr>
              <w:spacing w:after="0"/>
              <w:rPr>
                <w:sz w:val="1"/>
                <w:szCs w:val="1"/>
                <w:color w:val="auto"/>
              </w:rPr>
            </w:pPr>
          </w:p>
        </w:tc>
      </w:tr>
      <w:tr>
        <w:trPr>
          <w:trHeight w:val="201"/>
        </w:trPr>
        <w:tc>
          <w:tcPr>
            <w:tcW w:w="5860" w:type="dxa"/>
            <w:vAlign w:val="bottom"/>
            <w:gridSpan w:val="2"/>
          </w:tcPr>
          <w:p>
            <w:pPr>
              <w:ind w:left="140"/>
              <w:spacing w:after="0"/>
              <w:rPr>
                <w:sz w:val="20"/>
                <w:szCs w:val="20"/>
                <w:color w:val="auto"/>
              </w:rPr>
            </w:pPr>
            <w:r>
              <w:rPr>
                <w:rFonts w:ascii="Arial" w:cs="Arial" w:eastAsia="Arial" w:hAnsi="Arial"/>
                <w:sz w:val="15"/>
                <w:szCs w:val="15"/>
                <w:color w:val="auto"/>
              </w:rPr>
              <w:t>Long-term debt and line of credit borrowings</w:t>
            </w:r>
          </w:p>
        </w:tc>
        <w:tc>
          <w:tcPr>
            <w:tcW w:w="3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b w:val="1"/>
                <w:bCs w:val="1"/>
                <w:color w:val="auto"/>
              </w:rPr>
              <w:t>1,559,093</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980,299</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2,845,873</w:t>
            </w:r>
          </w:p>
        </w:tc>
        <w:tc>
          <w:tcPr>
            <w:tcW w:w="0" w:type="dxa"/>
            <w:vAlign w:val="bottom"/>
          </w:tcPr>
          <w:p>
            <w:pPr>
              <w:spacing w:after="0"/>
              <w:rPr>
                <w:sz w:val="1"/>
                <w:szCs w:val="1"/>
                <w:color w:val="auto"/>
              </w:rPr>
            </w:pPr>
          </w:p>
        </w:tc>
      </w:tr>
      <w:tr>
        <w:trPr>
          <w:trHeight w:val="201"/>
        </w:trPr>
        <w:tc>
          <w:tcPr>
            <w:tcW w:w="586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Deferred tax liabilities and reserves for uncertain tax positions</w:t>
            </w:r>
          </w:p>
        </w:tc>
        <w:tc>
          <w:tcPr>
            <w:tcW w:w="3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353,751</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180,362</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182,441</w:t>
            </w:r>
          </w:p>
        </w:tc>
        <w:tc>
          <w:tcPr>
            <w:tcW w:w="0" w:type="dxa"/>
            <w:vAlign w:val="bottom"/>
          </w:tcPr>
          <w:p>
            <w:pPr>
              <w:spacing w:after="0"/>
              <w:rPr>
                <w:sz w:val="1"/>
                <w:szCs w:val="1"/>
                <w:color w:val="auto"/>
              </w:rPr>
            </w:pPr>
          </w:p>
        </w:tc>
      </w:tr>
      <w:tr>
        <w:trPr>
          <w:trHeight w:val="201"/>
        </w:trPr>
        <w:tc>
          <w:tcPr>
            <w:tcW w:w="5860" w:type="dxa"/>
            <w:vAlign w:val="bottom"/>
            <w:gridSpan w:val="2"/>
          </w:tcPr>
          <w:p>
            <w:pPr>
              <w:ind w:left="140"/>
              <w:spacing w:after="0"/>
              <w:rPr>
                <w:sz w:val="20"/>
                <w:szCs w:val="20"/>
                <w:color w:val="auto"/>
              </w:rPr>
            </w:pPr>
            <w:r>
              <w:rPr>
                <w:rFonts w:ascii="Arial" w:cs="Arial" w:eastAsia="Arial" w:hAnsi="Arial"/>
                <w:sz w:val="15"/>
                <w:szCs w:val="15"/>
                <w:color w:val="auto"/>
              </w:rPr>
              <w:t>Operating lease liabilities</w:t>
            </w:r>
          </w:p>
        </w:tc>
        <w:tc>
          <w:tcPr>
            <w:tcW w:w="3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b w:val="1"/>
                <w:bCs w:val="1"/>
                <w:color w:val="auto"/>
              </w:rPr>
              <w:t>268,312</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326,691</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312,566</w:t>
            </w:r>
          </w:p>
        </w:tc>
        <w:tc>
          <w:tcPr>
            <w:tcW w:w="0" w:type="dxa"/>
            <w:vAlign w:val="bottom"/>
          </w:tcPr>
          <w:p>
            <w:pPr>
              <w:spacing w:after="0"/>
              <w:rPr>
                <w:sz w:val="1"/>
                <w:szCs w:val="1"/>
                <w:color w:val="auto"/>
              </w:rPr>
            </w:pPr>
          </w:p>
        </w:tc>
      </w:tr>
      <w:tr>
        <w:trPr>
          <w:trHeight w:val="201"/>
        </w:trPr>
        <w:tc>
          <w:tcPr>
            <w:tcW w:w="586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Deferred revenue and other noncurrent liabilities</w:t>
            </w:r>
          </w:p>
        </w:tc>
        <w:tc>
          <w:tcPr>
            <w:tcW w:w="30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102,636</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81,179</w:t>
            </w:r>
          </w:p>
        </w:tc>
        <w:tc>
          <w:tcPr>
            <w:tcW w:w="12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124,510</w:t>
            </w:r>
          </w:p>
        </w:tc>
        <w:tc>
          <w:tcPr>
            <w:tcW w:w="0" w:type="dxa"/>
            <w:vAlign w:val="bottom"/>
          </w:tcPr>
          <w:p>
            <w:pPr>
              <w:spacing w:after="0"/>
              <w:rPr>
                <w:sz w:val="1"/>
                <w:szCs w:val="1"/>
                <w:color w:val="auto"/>
              </w:rPr>
            </w:pPr>
          </w:p>
        </w:tc>
      </w:tr>
      <w:tr>
        <w:trPr>
          <w:trHeight w:val="194"/>
        </w:trPr>
        <w:tc>
          <w:tcPr>
            <w:tcW w:w="5860" w:type="dxa"/>
            <w:vAlign w:val="bottom"/>
            <w:tcBorders>
              <w:bottom w:val="single" w:sz="8" w:color="CCEEFF"/>
            </w:tcBorders>
            <w:gridSpan w:val="2"/>
          </w:tcPr>
          <w:p>
            <w:pPr>
              <w:ind w:left="340"/>
              <w:spacing w:after="0"/>
              <w:rPr>
                <w:sz w:val="20"/>
                <w:szCs w:val="20"/>
                <w:color w:val="auto"/>
              </w:rPr>
            </w:pPr>
            <w:r>
              <w:rPr>
                <w:rFonts w:ascii="Arial" w:cs="Arial" w:eastAsia="Arial" w:hAnsi="Arial"/>
                <w:sz w:val="15"/>
                <w:szCs w:val="15"/>
                <w:color w:val="auto"/>
              </w:rPr>
              <w:t>Total liabilities</w:t>
            </w: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2,836,395</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2,832,488</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5,041,006</w:t>
            </w:r>
          </w:p>
        </w:tc>
        <w:tc>
          <w:tcPr>
            <w:tcW w:w="0" w:type="dxa"/>
            <w:vAlign w:val="bottom"/>
          </w:tcPr>
          <w:p>
            <w:pPr>
              <w:spacing w:after="0"/>
              <w:rPr>
                <w:sz w:val="1"/>
                <w:szCs w:val="1"/>
                <w:color w:val="auto"/>
              </w:rPr>
            </w:pPr>
          </w:p>
        </w:tc>
      </w:tr>
      <w:tr>
        <w:trPr>
          <w:trHeight w:val="181"/>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COMMITMENTS AND CONTINGENCIES</w:t>
            </w:r>
          </w:p>
        </w:tc>
        <w:tc>
          <w:tcPr>
            <w:tcW w:w="30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5860" w:type="dxa"/>
            <w:vAlign w:val="bottom"/>
            <w:gridSpan w:val="2"/>
          </w:tcPr>
          <w:p>
            <w:pPr>
              <w:ind w:left="20"/>
              <w:spacing w:after="0"/>
              <w:rPr>
                <w:sz w:val="20"/>
                <w:szCs w:val="20"/>
                <w:color w:val="auto"/>
              </w:rPr>
            </w:pPr>
            <w:r>
              <w:rPr>
                <w:rFonts w:ascii="Arial" w:cs="Arial" w:eastAsia="Arial" w:hAnsi="Arial"/>
                <w:sz w:val="15"/>
                <w:szCs w:val="15"/>
                <w:b w:val="1"/>
                <w:bCs w:val="1"/>
                <w:color w:val="auto"/>
              </w:rPr>
              <w:t>STOCKHOLDERS' EQUITY:</w:t>
            </w:r>
          </w:p>
        </w:tc>
        <w:tc>
          <w:tcPr>
            <w:tcW w:w="3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5860" w:type="dxa"/>
            <w:vAlign w:val="bottom"/>
            <w:gridSpan w:val="2"/>
            <w:shd w:val="clear" w:color="auto" w:fill="CCEEFF"/>
          </w:tcPr>
          <w:p>
            <w:pPr>
              <w:ind w:left="100"/>
              <w:spacing w:after="0" w:line="147" w:lineRule="exact"/>
              <w:rPr>
                <w:sz w:val="20"/>
                <w:szCs w:val="20"/>
                <w:color w:val="auto"/>
              </w:rPr>
            </w:pPr>
            <w:r>
              <w:rPr>
                <w:rFonts w:ascii="Arial" w:cs="Arial" w:eastAsia="Arial" w:hAnsi="Arial"/>
                <w:sz w:val="15"/>
                <w:szCs w:val="15"/>
                <w:color w:val="auto"/>
              </w:rPr>
              <w:t>Common stock, no par, stated value $0.01 per share, 800,000,000 shares</w:t>
            </w:r>
          </w:p>
        </w:tc>
        <w:tc>
          <w:tcPr>
            <w:tcW w:w="300" w:type="dxa"/>
            <w:vAlign w:val="bottom"/>
            <w:shd w:val="clear" w:color="auto" w:fill="CCEEFF"/>
          </w:tcPr>
          <w:p>
            <w:pPr>
              <w:spacing w:after="0"/>
              <w:rPr>
                <w:sz w:val="12"/>
                <w:szCs w:val="12"/>
                <w:color w:val="auto"/>
              </w:rPr>
            </w:pP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2,187</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2,310</w:t>
            </w: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2,282</w:t>
            </w:r>
          </w:p>
        </w:tc>
        <w:tc>
          <w:tcPr>
            <w:tcW w:w="0" w:type="dxa"/>
            <w:vAlign w:val="bottom"/>
          </w:tcPr>
          <w:p>
            <w:pPr>
              <w:spacing w:after="0"/>
              <w:rPr>
                <w:sz w:val="1"/>
                <w:szCs w:val="1"/>
                <w:color w:val="auto"/>
              </w:rPr>
            </w:pPr>
          </w:p>
        </w:tc>
      </w:tr>
      <w:tr>
        <w:trPr>
          <w:trHeight w:val="201"/>
        </w:trPr>
        <w:tc>
          <w:tcPr>
            <w:tcW w:w="586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rPr>
              <w:t>authorized, shares issued of 218,719,439, 231,024,069 and 228,206,684</w:t>
            </w:r>
          </w:p>
        </w:tc>
        <w:tc>
          <w:tcPr>
            <w:tcW w:w="300" w:type="dxa"/>
            <w:vAlign w:val="bottom"/>
            <w:shd w:val="clear" w:color="auto" w:fill="CCEEFF"/>
          </w:tcPr>
          <w:p>
            <w:pPr>
              <w:spacing w:after="0"/>
              <w:rPr>
                <w:sz w:val="17"/>
                <w:szCs w:val="17"/>
                <w:color w:val="auto"/>
              </w:rPr>
            </w:pPr>
          </w:p>
        </w:tc>
        <w:tc>
          <w:tcPr>
            <w:tcW w:w="15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860" w:type="dxa"/>
            <w:vAlign w:val="bottom"/>
            <w:gridSpan w:val="2"/>
          </w:tcPr>
          <w:p>
            <w:pPr>
              <w:ind w:left="140"/>
              <w:spacing w:after="0"/>
              <w:rPr>
                <w:sz w:val="20"/>
                <w:szCs w:val="20"/>
                <w:color w:val="auto"/>
              </w:rPr>
            </w:pPr>
            <w:r>
              <w:rPr>
                <w:rFonts w:ascii="Arial" w:cs="Arial" w:eastAsia="Arial" w:hAnsi="Arial"/>
                <w:sz w:val="15"/>
                <w:szCs w:val="15"/>
                <w:color w:val="auto"/>
              </w:rPr>
              <w:t>Additional paid-in capital</w:t>
            </w:r>
          </w:p>
        </w:tc>
        <w:tc>
          <w:tcPr>
            <w:tcW w:w="3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b w:val="1"/>
                <w:bCs w:val="1"/>
                <w:color w:val="auto"/>
              </w:rPr>
              <w:t>773,691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765,220</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775,387</w:t>
            </w:r>
          </w:p>
        </w:tc>
        <w:tc>
          <w:tcPr>
            <w:tcW w:w="0" w:type="dxa"/>
            <w:vAlign w:val="bottom"/>
          </w:tcPr>
          <w:p>
            <w:pPr>
              <w:spacing w:after="0"/>
              <w:rPr>
                <w:sz w:val="1"/>
                <w:szCs w:val="1"/>
                <w:color w:val="auto"/>
              </w:rPr>
            </w:pPr>
          </w:p>
        </w:tc>
      </w:tr>
      <w:tr>
        <w:trPr>
          <w:trHeight w:val="201"/>
        </w:trPr>
        <w:tc>
          <w:tcPr>
            <w:tcW w:w="586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Accumulated other comprehensive loss</w:t>
            </w:r>
          </w:p>
        </w:tc>
        <w:tc>
          <w:tcPr>
            <w:tcW w:w="3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(31,707)</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(21,817)</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(51,576)</w:t>
            </w:r>
          </w:p>
        </w:tc>
        <w:tc>
          <w:tcPr>
            <w:tcW w:w="0" w:type="dxa"/>
            <w:vAlign w:val="bottom"/>
          </w:tcPr>
          <w:p>
            <w:pPr>
              <w:spacing w:after="0"/>
              <w:rPr>
                <w:sz w:val="1"/>
                <w:szCs w:val="1"/>
                <w:color w:val="auto"/>
              </w:rPr>
            </w:pPr>
          </w:p>
        </w:tc>
      </w:tr>
      <w:tr>
        <w:trPr>
          <w:trHeight w:val="201"/>
        </w:trPr>
        <w:tc>
          <w:tcPr>
            <w:tcW w:w="5860" w:type="dxa"/>
            <w:vAlign w:val="bottom"/>
            <w:gridSpan w:val="2"/>
          </w:tcPr>
          <w:p>
            <w:pPr>
              <w:ind w:left="140"/>
              <w:spacing w:after="0"/>
              <w:rPr>
                <w:sz w:val="20"/>
                <w:szCs w:val="20"/>
                <w:color w:val="auto"/>
              </w:rPr>
            </w:pPr>
            <w:r>
              <w:rPr>
                <w:rFonts w:ascii="Arial" w:cs="Arial" w:eastAsia="Arial" w:hAnsi="Arial"/>
                <w:sz w:val="15"/>
                <w:szCs w:val="15"/>
                <w:color w:val="auto"/>
              </w:rPr>
              <w:t>Retained earnings (deficit)</w:t>
            </w:r>
          </w:p>
        </w:tc>
        <w:tc>
          <w:tcPr>
            <w:tcW w:w="3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b w:val="1"/>
                <w:bCs w:val="1"/>
                <w:color w:val="auto"/>
              </w:rPr>
              <w:t>(335,617)</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(122,535)</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42,965</w:t>
            </w:r>
          </w:p>
        </w:tc>
        <w:tc>
          <w:tcPr>
            <w:tcW w:w="0" w:type="dxa"/>
            <w:vAlign w:val="bottom"/>
          </w:tcPr>
          <w:p>
            <w:pPr>
              <w:spacing w:after="0"/>
              <w:rPr>
                <w:sz w:val="1"/>
                <w:szCs w:val="1"/>
                <w:color w:val="auto"/>
              </w:rPr>
            </w:pPr>
          </w:p>
        </w:tc>
      </w:tr>
      <w:tr>
        <w:trPr>
          <w:trHeight w:val="201"/>
        </w:trPr>
        <w:tc>
          <w:tcPr>
            <w:tcW w:w="586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Less treasury shares, at cost, of 35,301,097, 35,778,404 and 35,731,376</w:t>
            </w:r>
          </w:p>
        </w:tc>
        <w:tc>
          <w:tcPr>
            <w:tcW w:w="30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(688,520)</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(698,925)</w:t>
            </w:r>
          </w:p>
        </w:tc>
        <w:tc>
          <w:tcPr>
            <w:tcW w:w="12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(698,017)</w:t>
            </w:r>
          </w:p>
        </w:tc>
        <w:tc>
          <w:tcPr>
            <w:tcW w:w="0" w:type="dxa"/>
            <w:vAlign w:val="bottom"/>
          </w:tcPr>
          <w:p>
            <w:pPr>
              <w:spacing w:after="0"/>
              <w:rPr>
                <w:sz w:val="1"/>
                <w:szCs w:val="1"/>
                <w:color w:val="auto"/>
              </w:rPr>
            </w:pPr>
          </w:p>
        </w:tc>
      </w:tr>
      <w:tr>
        <w:trPr>
          <w:trHeight w:val="194"/>
        </w:trPr>
        <w:tc>
          <w:tcPr>
            <w:tcW w:w="5860" w:type="dxa"/>
            <w:vAlign w:val="bottom"/>
            <w:tcBorders>
              <w:bottom w:val="single" w:sz="8" w:color="CCEEFF"/>
            </w:tcBorders>
            <w:gridSpan w:val="2"/>
          </w:tcPr>
          <w:p>
            <w:pPr>
              <w:ind w:left="340"/>
              <w:spacing w:after="0"/>
              <w:rPr>
                <w:sz w:val="20"/>
                <w:szCs w:val="20"/>
                <w:color w:val="auto"/>
              </w:rPr>
            </w:pPr>
            <w:r>
              <w:rPr>
                <w:rFonts w:ascii="Arial" w:cs="Arial" w:eastAsia="Arial" w:hAnsi="Arial"/>
                <w:sz w:val="15"/>
                <w:szCs w:val="15"/>
                <w:color w:val="auto"/>
              </w:rPr>
              <w:t>Total stockholders' equity (deficiency)</w:t>
            </w: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(279,966)</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(75,747)</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71,041</w:t>
            </w:r>
          </w:p>
        </w:tc>
        <w:tc>
          <w:tcPr>
            <w:tcW w:w="0" w:type="dxa"/>
            <w:vAlign w:val="bottom"/>
          </w:tcPr>
          <w:p>
            <w:pPr>
              <w:spacing w:after="0"/>
              <w:rPr>
                <w:sz w:val="1"/>
                <w:szCs w:val="1"/>
                <w:color w:val="auto"/>
              </w:rPr>
            </w:pPr>
          </w:p>
        </w:tc>
      </w:tr>
      <w:tr>
        <w:trPr>
          <w:trHeight w:val="194"/>
        </w:trPr>
        <w:tc>
          <w:tcPr>
            <w:tcW w:w="5860" w:type="dxa"/>
            <w:vAlign w:val="bottom"/>
            <w:gridSpan w:val="2"/>
            <w:shd w:val="clear" w:color="auto" w:fill="CCEEFF"/>
          </w:tcPr>
          <w:p>
            <w:pPr>
              <w:ind w:left="540"/>
              <w:spacing w:after="0"/>
              <w:rPr>
                <w:sz w:val="20"/>
                <w:szCs w:val="20"/>
                <w:color w:val="auto"/>
              </w:rPr>
            </w:pPr>
            <w:r>
              <w:rPr>
                <w:rFonts w:ascii="Arial" w:cs="Arial" w:eastAsia="Arial" w:hAnsi="Arial"/>
                <w:sz w:val="15"/>
                <w:szCs w:val="15"/>
                <w:color w:val="auto"/>
              </w:rPr>
              <w:t>Total liabilities and stockholders' equity</w:t>
            </w:r>
          </w:p>
        </w:tc>
        <w:tc>
          <w:tcPr>
            <w:tcW w:w="30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b w:val="1"/>
                <w:bCs w:val="1"/>
                <w:color w:val="auto"/>
                <w:w w:val="95"/>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2,556,429</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2,756,741</w:t>
            </w:r>
          </w:p>
        </w:tc>
        <w:tc>
          <w:tcPr>
            <w:tcW w:w="12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24"/>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5,112,047</w:t>
            </w:r>
          </w:p>
        </w:tc>
        <w:tc>
          <w:tcPr>
            <w:tcW w:w="0" w:type="dxa"/>
            <w:vAlign w:val="bottom"/>
          </w:tcPr>
          <w:p>
            <w:pPr>
              <w:spacing w:after="0"/>
              <w:rPr>
                <w:sz w:val="1"/>
                <w:szCs w:val="1"/>
                <w:color w:val="auto"/>
              </w:rPr>
            </w:pPr>
          </w:p>
        </w:tc>
      </w:tr>
      <w:tr>
        <w:trPr>
          <w:trHeight w:val="34"/>
        </w:trPr>
        <w:tc>
          <w:tcPr>
            <w:tcW w:w="5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80" w:hanging="239"/>
        <w:spacing w:after="0"/>
        <w:tabs>
          <w:tab w:leader="none" w:pos="380" w:val="left"/>
        </w:tabs>
        <w:numPr>
          <w:ilvl w:val="0"/>
          <w:numId w:val="3"/>
        </w:numPr>
        <w:rPr>
          <w:rFonts w:ascii="Arial" w:cs="Arial" w:eastAsia="Arial" w:hAnsi="Arial"/>
          <w:sz w:val="14"/>
          <w:szCs w:val="14"/>
          <w:color w:val="FFFFFF"/>
          <w:highlight w:val="black"/>
        </w:rPr>
      </w:pPr>
      <w:r>
        <w:rPr>
          <w:rFonts w:ascii="Arial" w:cs="Arial" w:eastAsia="Arial" w:hAnsi="Arial"/>
          <w:sz w:val="14"/>
          <w:szCs w:val="14"/>
          <w:color w:val="auto"/>
        </w:rPr>
        <w:t xml:space="preserve">Q2 FY2021 Form 10-Q | </w:t>
      </w:r>
      <w:r>
        <w:rPr>
          <w:rFonts w:ascii="Arial" w:cs="Arial" w:eastAsia="Arial" w:hAnsi="Arial"/>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145415</wp:posOffset>
            </wp:positionV>
            <wp:extent cx="713359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3590"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-100330</wp:posOffset>
            </wp:positionV>
            <wp:extent cx="220980" cy="1187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20980" cy="118745"/>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4" w:name="page5"/>
    <w:bookmarkEnd w:id="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772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CONSOLIDATED STATEMENTS OF CASH FLOWS</w:t>
            </w:r>
          </w:p>
        </w:tc>
        <w:tc>
          <w:tcPr>
            <w:tcW w:w="46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(unaudited, in 000s)</w:t>
            </w:r>
          </w:p>
        </w:tc>
      </w:tr>
      <w:tr>
        <w:trPr>
          <w:trHeight w:val="208"/>
        </w:trPr>
        <w:tc>
          <w:tcPr>
            <w:tcW w:w="7720" w:type="dxa"/>
            <w:vAlign w:val="bottom"/>
            <w:gridSpan w:val="2"/>
          </w:tcPr>
          <w:p>
            <w:pPr>
              <w:ind w:left="20"/>
              <w:spacing w:after="0"/>
              <w:rPr>
                <w:sz w:val="20"/>
                <w:szCs w:val="20"/>
                <w:color w:val="auto"/>
              </w:rPr>
            </w:pPr>
            <w:r>
              <w:rPr>
                <w:rFonts w:ascii="Arial" w:cs="Arial" w:eastAsia="Arial" w:hAnsi="Arial"/>
                <w:sz w:val="16"/>
                <w:szCs w:val="16"/>
                <w:color w:val="auto"/>
              </w:rPr>
              <w:t>Six months ended October 31,</w:t>
            </w:r>
          </w:p>
        </w:tc>
        <w:tc>
          <w:tcPr>
            <w:tcW w:w="4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2019</w:t>
            </w:r>
          </w:p>
        </w:tc>
      </w:tr>
      <w:tr>
        <w:trPr>
          <w:trHeight w:val="208"/>
        </w:trPr>
        <w:tc>
          <w:tcPr>
            <w:tcW w:w="7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r>
      <w:tr>
        <w:trPr>
          <w:trHeight w:val="214"/>
        </w:trPr>
        <w:tc>
          <w:tcPr>
            <w:tcW w:w="7720" w:type="dxa"/>
            <w:vAlign w:val="bottom"/>
            <w:gridSpan w:val="2"/>
          </w:tcPr>
          <w:p>
            <w:pPr>
              <w:ind w:left="140"/>
              <w:spacing w:after="0"/>
              <w:rPr>
                <w:sz w:val="20"/>
                <w:szCs w:val="20"/>
                <w:color w:val="auto"/>
              </w:rPr>
            </w:pPr>
            <w:r>
              <w:rPr>
                <w:rFonts w:ascii="Arial" w:cs="Arial" w:eastAsia="Arial" w:hAnsi="Arial"/>
                <w:sz w:val="16"/>
                <w:szCs w:val="16"/>
                <w:color w:val="auto"/>
              </w:rPr>
              <w:t>Net loss</w:t>
            </w:r>
          </w:p>
        </w:tc>
        <w:tc>
          <w:tcPr>
            <w:tcW w:w="460" w:type="dxa"/>
            <w:vAlign w:val="bottom"/>
          </w:tcPr>
          <w:p>
            <w:pPr>
              <w:jc w:val="right"/>
              <w:ind w:right="280"/>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(132,467)</w:t>
            </w:r>
          </w:p>
        </w:tc>
        <w:tc>
          <w:tcPr>
            <w:tcW w:w="120" w:type="dxa"/>
            <w:vAlign w:val="bottom"/>
          </w:tcPr>
          <w:p>
            <w:pPr>
              <w:spacing w:after="0"/>
              <w:rPr>
                <w:sz w:val="18"/>
                <w:szCs w:val="18"/>
                <w:color w:val="auto"/>
              </w:rPr>
            </w:pPr>
          </w:p>
        </w:tc>
        <w:tc>
          <w:tcPr>
            <w:tcW w:w="260" w:type="dxa"/>
            <w:vAlign w:val="bottom"/>
          </w:tcPr>
          <w:p>
            <w:pPr>
              <w:jc w:val="right"/>
              <w:ind w:right="80"/>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(338,246)</w:t>
            </w:r>
          </w:p>
        </w:tc>
      </w:tr>
      <w:tr>
        <w:trPr>
          <w:trHeight w:val="214"/>
        </w:trPr>
        <w:tc>
          <w:tcPr>
            <w:tcW w:w="77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4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4"/>
        </w:trPr>
        <w:tc>
          <w:tcPr>
            <w:tcW w:w="7720" w:type="dxa"/>
            <w:vAlign w:val="bottom"/>
            <w:gridSpan w:val="2"/>
          </w:tcPr>
          <w:p>
            <w:pPr>
              <w:ind w:left="340"/>
              <w:spacing w:after="0"/>
              <w:rPr>
                <w:sz w:val="20"/>
                <w:szCs w:val="20"/>
                <w:color w:val="auto"/>
              </w:rPr>
            </w:pPr>
            <w:r>
              <w:rPr>
                <w:rFonts w:ascii="Arial" w:cs="Arial" w:eastAsia="Arial" w:hAnsi="Arial"/>
                <w:sz w:val="16"/>
                <w:szCs w:val="16"/>
                <w:color w:val="auto"/>
              </w:rPr>
              <w:t>Depreciation and amortization</w:t>
            </w:r>
          </w:p>
        </w:tc>
        <w:tc>
          <w:tcPr>
            <w:tcW w:w="4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77,307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81,262</w:t>
            </w:r>
          </w:p>
        </w:tc>
      </w:tr>
      <w:tr>
        <w:trPr>
          <w:trHeight w:val="214"/>
        </w:trPr>
        <w:tc>
          <w:tcPr>
            <w:tcW w:w="77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Provision</w:t>
            </w:r>
          </w:p>
        </w:tc>
        <w:tc>
          <w:tcPr>
            <w:tcW w:w="4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4,578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1,890</w:t>
            </w:r>
          </w:p>
        </w:tc>
      </w:tr>
      <w:tr>
        <w:trPr>
          <w:trHeight w:val="214"/>
        </w:trPr>
        <w:tc>
          <w:tcPr>
            <w:tcW w:w="7720" w:type="dxa"/>
            <w:vAlign w:val="bottom"/>
            <w:gridSpan w:val="2"/>
          </w:tcPr>
          <w:p>
            <w:pPr>
              <w:ind w:left="340"/>
              <w:spacing w:after="0"/>
              <w:rPr>
                <w:sz w:val="20"/>
                <w:szCs w:val="20"/>
                <w:color w:val="auto"/>
              </w:rPr>
            </w:pPr>
            <w:r>
              <w:rPr>
                <w:rFonts w:ascii="Arial" w:cs="Arial" w:eastAsia="Arial" w:hAnsi="Arial"/>
                <w:sz w:val="16"/>
                <w:szCs w:val="16"/>
                <w:color w:val="auto"/>
              </w:rPr>
              <w:t>Deferred taxes</w:t>
            </w:r>
          </w:p>
        </w:tc>
        <w:tc>
          <w:tcPr>
            <w:tcW w:w="4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7,855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12,595</w:t>
            </w:r>
          </w:p>
        </w:tc>
      </w:tr>
      <w:tr>
        <w:trPr>
          <w:trHeight w:val="214"/>
        </w:trPr>
        <w:tc>
          <w:tcPr>
            <w:tcW w:w="77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Stock-based compensation</w:t>
            </w:r>
          </w:p>
        </w:tc>
        <w:tc>
          <w:tcPr>
            <w:tcW w:w="4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14,935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16,094</w:t>
            </w:r>
          </w:p>
        </w:tc>
      </w:tr>
      <w:tr>
        <w:trPr>
          <w:trHeight w:val="214"/>
        </w:trPr>
        <w:tc>
          <w:tcPr>
            <w:tcW w:w="7720" w:type="dxa"/>
            <w:vAlign w:val="bottom"/>
            <w:gridSpan w:val="2"/>
          </w:tcPr>
          <w:p>
            <w:pPr>
              <w:ind w:left="340"/>
              <w:spacing w:after="0"/>
              <w:rPr>
                <w:sz w:val="20"/>
                <w:szCs w:val="20"/>
                <w:color w:val="auto"/>
              </w:rPr>
            </w:pPr>
            <w:r>
              <w:rPr>
                <w:rFonts w:ascii="Arial" w:cs="Arial" w:eastAsia="Arial" w:hAnsi="Arial"/>
                <w:sz w:val="16"/>
                <w:szCs w:val="16"/>
                <w:color w:val="auto"/>
              </w:rPr>
              <w:t>Changes in assets and liabilities, net of acquisitions:</w:t>
            </w:r>
          </w:p>
        </w:tc>
        <w:tc>
          <w:tcPr>
            <w:tcW w:w="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4"/>
        </w:trPr>
        <w:tc>
          <w:tcPr>
            <w:tcW w:w="772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Receivables</w:t>
            </w:r>
          </w:p>
        </w:tc>
        <w:tc>
          <w:tcPr>
            <w:tcW w:w="4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51,584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71,859</w:t>
            </w:r>
          </w:p>
        </w:tc>
      </w:tr>
      <w:tr>
        <w:trPr>
          <w:trHeight w:val="214"/>
        </w:trPr>
        <w:tc>
          <w:tcPr>
            <w:tcW w:w="7720" w:type="dxa"/>
            <w:vAlign w:val="bottom"/>
            <w:gridSpan w:val="2"/>
          </w:tcPr>
          <w:p>
            <w:pPr>
              <w:ind w:left="460"/>
              <w:spacing w:after="0"/>
              <w:rPr>
                <w:sz w:val="20"/>
                <w:szCs w:val="20"/>
                <w:color w:val="auto"/>
              </w:rPr>
            </w:pPr>
            <w:r>
              <w:rPr>
                <w:rFonts w:ascii="Arial" w:cs="Arial" w:eastAsia="Arial" w:hAnsi="Arial"/>
                <w:sz w:val="16"/>
                <w:szCs w:val="16"/>
                <w:color w:val="auto"/>
              </w:rPr>
              <w:t>Prepaid expenses, other current and noncurrent assets</w:t>
            </w:r>
          </w:p>
        </w:tc>
        <w:tc>
          <w:tcPr>
            <w:tcW w:w="4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(16,271)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13,889</w:t>
            </w:r>
          </w:p>
        </w:tc>
      </w:tr>
      <w:tr>
        <w:trPr>
          <w:trHeight w:val="214"/>
        </w:trPr>
        <w:tc>
          <w:tcPr>
            <w:tcW w:w="772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Accounts payable, accrued expenses, salaries, wages and payroll taxes</w:t>
            </w:r>
          </w:p>
        </w:tc>
        <w:tc>
          <w:tcPr>
            <w:tcW w:w="4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(141,905)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(267,257)</w:t>
            </w:r>
          </w:p>
        </w:tc>
      </w:tr>
      <w:tr>
        <w:trPr>
          <w:trHeight w:val="214"/>
        </w:trPr>
        <w:tc>
          <w:tcPr>
            <w:tcW w:w="7720" w:type="dxa"/>
            <w:vAlign w:val="bottom"/>
            <w:gridSpan w:val="2"/>
          </w:tcPr>
          <w:p>
            <w:pPr>
              <w:ind w:left="460"/>
              <w:spacing w:after="0"/>
              <w:rPr>
                <w:sz w:val="20"/>
                <w:szCs w:val="20"/>
                <w:color w:val="auto"/>
              </w:rPr>
            </w:pPr>
            <w:r>
              <w:rPr>
                <w:rFonts w:ascii="Arial" w:cs="Arial" w:eastAsia="Arial" w:hAnsi="Arial"/>
                <w:sz w:val="16"/>
                <w:szCs w:val="16"/>
                <w:color w:val="auto"/>
              </w:rPr>
              <w:t>Deferred revenue, other current and noncurrent liabilities</w:t>
            </w:r>
          </w:p>
        </w:tc>
        <w:tc>
          <w:tcPr>
            <w:tcW w:w="4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(41,855)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(74,996)</w:t>
            </w:r>
          </w:p>
        </w:tc>
      </w:tr>
      <w:tr>
        <w:trPr>
          <w:trHeight w:val="214"/>
        </w:trPr>
        <w:tc>
          <w:tcPr>
            <w:tcW w:w="772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Income tax receivables, accrued income taxes and income tax reserves</w:t>
            </w:r>
          </w:p>
        </w:tc>
        <w:tc>
          <w:tcPr>
            <w:tcW w:w="4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(87,333)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(206,278)</w:t>
            </w:r>
          </w:p>
        </w:tc>
      </w:tr>
      <w:tr>
        <w:trPr>
          <w:trHeight w:val="214"/>
        </w:trPr>
        <w:tc>
          <w:tcPr>
            <w:tcW w:w="7720" w:type="dxa"/>
            <w:vAlign w:val="bottom"/>
            <w:tcBorders>
              <w:bottom w:val="single" w:sz="8" w:color="CCEEFF"/>
            </w:tcBorders>
            <w:gridSpan w:val="2"/>
          </w:tcPr>
          <w:p>
            <w:pPr>
              <w:ind w:left="460"/>
              <w:spacing w:after="0"/>
              <w:rPr>
                <w:sz w:val="20"/>
                <w:szCs w:val="20"/>
                <w:color w:val="auto"/>
              </w:rPr>
            </w:pPr>
            <w:r>
              <w:rPr>
                <w:rFonts w:ascii="Arial" w:cs="Arial" w:eastAsia="Arial" w:hAnsi="Arial"/>
                <w:sz w:val="16"/>
                <w:szCs w:val="16"/>
                <w:color w:val="auto"/>
              </w:rPr>
              <w:t>Other, net</w:t>
            </w:r>
          </w:p>
        </w:tc>
        <w:tc>
          <w:tcPr>
            <w:tcW w:w="4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833</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(4,128)</w:t>
            </w:r>
          </w:p>
        </w:tc>
      </w:tr>
      <w:tr>
        <w:trPr>
          <w:trHeight w:val="208"/>
        </w:trPr>
        <w:tc>
          <w:tcPr>
            <w:tcW w:w="772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Net cash used in operating activities</w:t>
            </w:r>
          </w:p>
        </w:tc>
        <w:tc>
          <w:tcPr>
            <w:tcW w:w="4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(262,739)</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(693,316)</w:t>
            </w:r>
          </w:p>
        </w:tc>
      </w:tr>
      <w:tr>
        <w:trPr>
          <w:trHeight w:val="34"/>
        </w:trPr>
        <w:tc>
          <w:tcPr>
            <w:tcW w:w="7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14"/>
        </w:trPr>
        <w:tc>
          <w:tcPr>
            <w:tcW w:w="77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4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4"/>
        </w:trPr>
        <w:tc>
          <w:tcPr>
            <w:tcW w:w="7720" w:type="dxa"/>
            <w:vAlign w:val="bottom"/>
            <w:gridSpan w:val="2"/>
          </w:tcPr>
          <w:p>
            <w:pPr>
              <w:ind w:left="140"/>
              <w:spacing w:after="0"/>
              <w:rPr>
                <w:sz w:val="20"/>
                <w:szCs w:val="20"/>
                <w:color w:val="auto"/>
              </w:rPr>
            </w:pPr>
            <w:r>
              <w:rPr>
                <w:rFonts w:ascii="Arial" w:cs="Arial" w:eastAsia="Arial" w:hAnsi="Arial"/>
                <w:sz w:val="16"/>
                <w:szCs w:val="16"/>
                <w:color w:val="auto"/>
              </w:rPr>
              <w:t>Capital expenditures</w:t>
            </w:r>
          </w:p>
        </w:tc>
        <w:tc>
          <w:tcPr>
            <w:tcW w:w="4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(26,584)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(42,854)</w:t>
            </w:r>
          </w:p>
        </w:tc>
      </w:tr>
      <w:tr>
        <w:trPr>
          <w:trHeight w:val="214"/>
        </w:trPr>
        <w:tc>
          <w:tcPr>
            <w:tcW w:w="77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Payments made for business acquisitions, net of cash acquired</w:t>
            </w:r>
          </w:p>
        </w:tc>
        <w:tc>
          <w:tcPr>
            <w:tcW w:w="4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(3,674)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(416,925)</w:t>
            </w:r>
          </w:p>
        </w:tc>
      </w:tr>
      <w:tr>
        <w:trPr>
          <w:trHeight w:val="214"/>
        </w:trPr>
        <w:tc>
          <w:tcPr>
            <w:tcW w:w="7720" w:type="dxa"/>
            <w:vAlign w:val="bottom"/>
            <w:gridSpan w:val="2"/>
          </w:tcPr>
          <w:p>
            <w:pPr>
              <w:ind w:left="140"/>
              <w:spacing w:after="0"/>
              <w:rPr>
                <w:sz w:val="20"/>
                <w:szCs w:val="20"/>
                <w:color w:val="auto"/>
              </w:rPr>
            </w:pPr>
            <w:r>
              <w:rPr>
                <w:rFonts w:ascii="Arial" w:cs="Arial" w:eastAsia="Arial" w:hAnsi="Arial"/>
                <w:sz w:val="16"/>
                <w:szCs w:val="16"/>
                <w:color w:val="auto"/>
              </w:rPr>
              <w:t>Franchise loans funded</w:t>
            </w:r>
          </w:p>
        </w:tc>
        <w:tc>
          <w:tcPr>
            <w:tcW w:w="4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(11,922)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(16,021)</w:t>
            </w:r>
          </w:p>
        </w:tc>
      </w:tr>
      <w:tr>
        <w:trPr>
          <w:trHeight w:val="214"/>
        </w:trPr>
        <w:tc>
          <w:tcPr>
            <w:tcW w:w="77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Payments from franchisees</w:t>
            </w:r>
          </w:p>
        </w:tc>
        <w:tc>
          <w:tcPr>
            <w:tcW w:w="4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18,321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7,902</w:t>
            </w:r>
          </w:p>
        </w:tc>
      </w:tr>
      <w:tr>
        <w:trPr>
          <w:trHeight w:val="214"/>
        </w:trPr>
        <w:tc>
          <w:tcPr>
            <w:tcW w:w="772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Other, net</w:t>
            </w:r>
          </w:p>
        </w:tc>
        <w:tc>
          <w:tcPr>
            <w:tcW w:w="4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427</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50,839</w:t>
            </w:r>
          </w:p>
        </w:tc>
      </w:tr>
      <w:tr>
        <w:trPr>
          <w:trHeight w:val="208"/>
        </w:trPr>
        <w:tc>
          <w:tcPr>
            <w:tcW w:w="77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Net cash used in investing activities</w:t>
            </w:r>
          </w:p>
        </w:tc>
        <w:tc>
          <w:tcPr>
            <w:tcW w:w="4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(23,432)</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(417,059)</w:t>
            </w:r>
          </w:p>
        </w:tc>
      </w:tr>
      <w:tr>
        <w:trPr>
          <w:trHeight w:val="34"/>
        </w:trPr>
        <w:tc>
          <w:tcPr>
            <w:tcW w:w="7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14"/>
        </w:trPr>
        <w:tc>
          <w:tcPr>
            <w:tcW w:w="77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4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4"/>
        </w:trPr>
        <w:tc>
          <w:tcPr>
            <w:tcW w:w="7720" w:type="dxa"/>
            <w:vAlign w:val="bottom"/>
            <w:gridSpan w:val="2"/>
          </w:tcPr>
          <w:p>
            <w:pPr>
              <w:ind w:left="140"/>
              <w:spacing w:after="0"/>
              <w:rPr>
                <w:sz w:val="20"/>
                <w:szCs w:val="20"/>
                <w:color w:val="auto"/>
              </w:rPr>
            </w:pPr>
            <w:r>
              <w:rPr>
                <w:rFonts w:ascii="Arial" w:cs="Arial" w:eastAsia="Arial" w:hAnsi="Arial"/>
                <w:sz w:val="16"/>
                <w:szCs w:val="16"/>
                <w:color w:val="auto"/>
              </w:rPr>
              <w:t>Repayments of line of credit borrowings</w:t>
            </w:r>
          </w:p>
        </w:tc>
        <w:tc>
          <w:tcPr>
            <w:tcW w:w="4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(2,000,000)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77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Proceeds from line of credit borrowings</w:t>
            </w:r>
          </w:p>
        </w:tc>
        <w:tc>
          <w:tcPr>
            <w:tcW w:w="4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70,000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135,000</w:t>
            </w:r>
          </w:p>
        </w:tc>
      </w:tr>
      <w:tr>
        <w:trPr>
          <w:trHeight w:val="214"/>
        </w:trPr>
        <w:tc>
          <w:tcPr>
            <w:tcW w:w="7720" w:type="dxa"/>
            <w:vAlign w:val="bottom"/>
            <w:gridSpan w:val="2"/>
          </w:tcPr>
          <w:p>
            <w:pPr>
              <w:ind w:left="140"/>
              <w:spacing w:after="0"/>
              <w:rPr>
                <w:sz w:val="20"/>
                <w:szCs w:val="20"/>
                <w:color w:val="auto"/>
              </w:rPr>
            </w:pPr>
            <w:r>
              <w:rPr>
                <w:rFonts w:ascii="Arial" w:cs="Arial" w:eastAsia="Arial" w:hAnsi="Arial"/>
                <w:sz w:val="16"/>
                <w:szCs w:val="16"/>
                <w:color w:val="auto"/>
              </w:rPr>
              <w:t>Repayments of long-term debt</w:t>
            </w:r>
          </w:p>
        </w:tc>
        <w:tc>
          <w:tcPr>
            <w:tcW w:w="4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(650,000)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77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Proceeds from issuance of long-term debt</w:t>
            </w:r>
          </w:p>
        </w:tc>
        <w:tc>
          <w:tcPr>
            <w:tcW w:w="4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647,965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7720" w:type="dxa"/>
            <w:vAlign w:val="bottom"/>
            <w:gridSpan w:val="2"/>
          </w:tcPr>
          <w:p>
            <w:pPr>
              <w:ind w:left="140"/>
              <w:spacing w:after="0"/>
              <w:rPr>
                <w:sz w:val="20"/>
                <w:szCs w:val="20"/>
                <w:color w:val="auto"/>
              </w:rPr>
            </w:pPr>
            <w:r>
              <w:rPr>
                <w:rFonts w:ascii="Arial" w:cs="Arial" w:eastAsia="Arial" w:hAnsi="Arial"/>
                <w:sz w:val="16"/>
                <w:szCs w:val="16"/>
                <w:color w:val="auto"/>
              </w:rPr>
              <w:t>Dividends paid</w:t>
            </w:r>
          </w:p>
        </w:tc>
        <w:tc>
          <w:tcPr>
            <w:tcW w:w="4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(100,198)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(104,063)</w:t>
            </w:r>
          </w:p>
        </w:tc>
      </w:tr>
      <w:tr>
        <w:trPr>
          <w:trHeight w:val="214"/>
        </w:trPr>
        <w:tc>
          <w:tcPr>
            <w:tcW w:w="77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Repurchase of common stock, including shares surrendered</w:t>
            </w:r>
          </w:p>
        </w:tc>
        <w:tc>
          <w:tcPr>
            <w:tcW w:w="4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(153,154)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(190,369)</w:t>
            </w:r>
          </w:p>
        </w:tc>
      </w:tr>
      <w:tr>
        <w:trPr>
          <w:trHeight w:val="214"/>
        </w:trPr>
        <w:tc>
          <w:tcPr>
            <w:tcW w:w="7720" w:type="dxa"/>
            <w:vAlign w:val="bottom"/>
            <w:gridSpan w:val="2"/>
          </w:tcPr>
          <w:p>
            <w:pPr>
              <w:ind w:left="140"/>
              <w:spacing w:after="0"/>
              <w:rPr>
                <w:sz w:val="20"/>
                <w:szCs w:val="20"/>
                <w:color w:val="auto"/>
              </w:rPr>
            </w:pPr>
            <w:r>
              <w:rPr>
                <w:rFonts w:ascii="Arial" w:cs="Arial" w:eastAsia="Arial" w:hAnsi="Arial"/>
                <w:sz w:val="16"/>
                <w:szCs w:val="16"/>
                <w:color w:val="auto"/>
              </w:rPr>
              <w:t>Proceeds from exercise of stock options</w:t>
            </w:r>
          </w:p>
        </w:tc>
        <w:tc>
          <w:tcPr>
            <w:tcW w:w="4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1,133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1,215</w:t>
            </w:r>
          </w:p>
        </w:tc>
      </w:tr>
      <w:tr>
        <w:trPr>
          <w:trHeight w:val="214"/>
        </w:trPr>
        <w:tc>
          <w:tcPr>
            <w:tcW w:w="77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Other, net</w:t>
            </w:r>
          </w:p>
        </w:tc>
        <w:tc>
          <w:tcPr>
            <w:tcW w:w="4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(21,691)</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(18,544)</w:t>
            </w:r>
          </w:p>
        </w:tc>
      </w:tr>
      <w:tr>
        <w:trPr>
          <w:trHeight w:val="246"/>
        </w:trPr>
        <w:tc>
          <w:tcPr>
            <w:tcW w:w="772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Net cash used in financing activities</w:t>
            </w:r>
          </w:p>
        </w:tc>
        <w:tc>
          <w:tcPr>
            <w:tcW w:w="4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(2,205,945)</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(176,761)</w:t>
            </w:r>
          </w:p>
        </w:tc>
      </w:tr>
      <w:tr>
        <w:trPr>
          <w:trHeight w:val="248"/>
        </w:trPr>
        <w:tc>
          <w:tcPr>
            <w:tcW w:w="7720" w:type="dxa"/>
            <w:vAlign w:val="bottom"/>
            <w:tcBorders>
              <w:top w:val="single" w:sz="8" w:color="CCEEFF"/>
              <w:bottom w:val="single" w:sz="8" w:color="CCEEFF"/>
            </w:tcBorders>
            <w:gridSpan w:val="2"/>
          </w:tcPr>
          <w:p>
            <w:pPr>
              <w:ind w:left="20"/>
              <w:spacing w:after="0"/>
              <w:rPr>
                <w:sz w:val="20"/>
                <w:szCs w:val="20"/>
                <w:color w:val="auto"/>
              </w:rPr>
            </w:pPr>
            <w:r>
              <w:rPr>
                <w:rFonts w:ascii="Arial" w:cs="Arial" w:eastAsia="Arial" w:hAnsi="Arial"/>
                <w:sz w:val="16"/>
                <w:szCs w:val="16"/>
                <w:color w:val="auto"/>
              </w:rPr>
              <w:t>Effects of exchange rate changes on cash</w:t>
            </w:r>
          </w:p>
        </w:tc>
        <w:tc>
          <w:tcPr>
            <w:tcW w:w="460" w:type="dxa"/>
            <w:vAlign w:val="bottom"/>
            <w:tcBorders>
              <w:top w:val="single" w:sz="8" w:color="CCEEFF"/>
              <w:bottom w:val="single" w:sz="8" w:color="CCEEFF"/>
            </w:tcBorders>
          </w:tcPr>
          <w:p>
            <w:pPr>
              <w:spacing w:after="0"/>
              <w:rPr>
                <w:sz w:val="21"/>
                <w:szCs w:val="21"/>
                <w:color w:val="auto"/>
              </w:rPr>
            </w:pPr>
          </w:p>
        </w:tc>
        <w:tc>
          <w:tcPr>
            <w:tcW w:w="122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6,420</w:t>
            </w:r>
          </w:p>
        </w:tc>
        <w:tc>
          <w:tcPr>
            <w:tcW w:w="120" w:type="dxa"/>
            <w:vAlign w:val="bottom"/>
            <w:tcBorders>
              <w:top w:val="single" w:sz="8" w:color="CCEEFF"/>
              <w:bottom w:val="single" w:sz="8" w:color="CCEEFF"/>
            </w:tcBorders>
          </w:tcPr>
          <w:p>
            <w:pPr>
              <w:spacing w:after="0"/>
              <w:rPr>
                <w:sz w:val="21"/>
                <w:szCs w:val="21"/>
                <w:color w:val="auto"/>
              </w:rPr>
            </w:pPr>
          </w:p>
        </w:tc>
        <w:tc>
          <w:tcPr>
            <w:tcW w:w="260" w:type="dxa"/>
            <w:vAlign w:val="bottom"/>
            <w:tcBorders>
              <w:top w:val="single" w:sz="8" w:color="CCEEFF"/>
              <w:bottom w:val="single" w:sz="8" w:color="CCEEFF"/>
            </w:tcBorders>
          </w:tcPr>
          <w:p>
            <w:pPr>
              <w:spacing w:after="0"/>
              <w:rPr>
                <w:sz w:val="21"/>
                <w:szCs w:val="21"/>
                <w:color w:val="auto"/>
              </w:rPr>
            </w:pPr>
          </w:p>
        </w:tc>
        <w:tc>
          <w:tcPr>
            <w:tcW w:w="142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rPr>
              <w:t>1,053</w:t>
            </w:r>
          </w:p>
        </w:tc>
      </w:tr>
      <w:tr>
        <w:trPr>
          <w:trHeight w:val="214"/>
        </w:trPr>
        <w:tc>
          <w:tcPr>
            <w:tcW w:w="7720" w:type="dxa"/>
            <w:vAlign w:val="bottom"/>
            <w:gridSpan w:val="2"/>
          </w:tcPr>
          <w:p>
            <w:pPr>
              <w:ind w:left="20"/>
              <w:spacing w:after="0"/>
              <w:rPr>
                <w:sz w:val="20"/>
                <w:szCs w:val="20"/>
                <w:color w:val="auto"/>
              </w:rPr>
            </w:pPr>
            <w:r>
              <w:rPr>
                <w:rFonts w:ascii="Arial" w:cs="Arial" w:eastAsia="Arial" w:hAnsi="Arial"/>
                <w:sz w:val="16"/>
                <w:szCs w:val="16"/>
                <w:color w:val="auto"/>
              </w:rPr>
              <w:t>Net decrease in cash and cash equivalents, including restricted balances</w:t>
            </w:r>
          </w:p>
        </w:tc>
        <w:tc>
          <w:tcPr>
            <w:tcW w:w="4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(2,485,696)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(1,286,083)</w:t>
            </w:r>
          </w:p>
        </w:tc>
      </w:tr>
      <w:tr>
        <w:trPr>
          <w:trHeight w:val="214"/>
        </w:trPr>
        <w:tc>
          <w:tcPr>
            <w:tcW w:w="7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beginning of period</w:t>
            </w:r>
          </w:p>
        </w:tc>
        <w:tc>
          <w:tcPr>
            <w:tcW w:w="4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2,873,020</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1,707,727</w:t>
            </w:r>
          </w:p>
        </w:tc>
      </w:tr>
      <w:tr>
        <w:trPr>
          <w:trHeight w:val="246"/>
        </w:trPr>
        <w:tc>
          <w:tcPr>
            <w:tcW w:w="77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Cash, cash equivalents and restricted cash, end of period</w:t>
            </w:r>
          </w:p>
        </w:tc>
        <w:tc>
          <w:tcPr>
            <w:tcW w:w="46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387,324</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421,644</w:t>
            </w:r>
          </w:p>
        </w:tc>
      </w:tr>
      <w:tr>
        <w:trPr>
          <w:trHeight w:val="214"/>
        </w:trPr>
        <w:tc>
          <w:tcPr>
            <w:tcW w:w="7720" w:type="dxa"/>
            <w:vAlign w:val="bottom"/>
            <w:tcBorders>
              <w:top w:val="single" w:sz="8" w:color="CCEEFF"/>
            </w:tcBorders>
            <w:gridSpan w:val="2"/>
          </w:tcPr>
          <w:p>
            <w:pPr>
              <w:ind w:left="20"/>
              <w:spacing w:after="0"/>
              <w:rPr>
                <w:sz w:val="20"/>
                <w:szCs w:val="20"/>
                <w:color w:val="auto"/>
              </w:rPr>
            </w:pPr>
            <w:r>
              <w:rPr>
                <w:rFonts w:ascii="Arial" w:cs="Arial" w:eastAsia="Arial" w:hAnsi="Arial"/>
                <w:sz w:val="16"/>
                <w:szCs w:val="16"/>
                <w:b w:val="1"/>
                <w:bCs w:val="1"/>
                <w:color w:val="auto"/>
              </w:rPr>
              <w:t>SUPPLEMENTARY CASH FLOW DATA:</w:t>
            </w:r>
          </w:p>
        </w:tc>
        <w:tc>
          <w:tcPr>
            <w:tcW w:w="46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r>
      <w:tr>
        <w:trPr>
          <w:trHeight w:val="214"/>
        </w:trPr>
        <w:tc>
          <w:tcPr>
            <w:tcW w:w="77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Income taxes paid, net of refunds received</w:t>
            </w:r>
          </w:p>
        </w:tc>
        <w:tc>
          <w:tcPr>
            <w:tcW w:w="460" w:type="dxa"/>
            <w:vAlign w:val="bottom"/>
            <w:shd w:val="clear" w:color="auto" w:fill="CCEEFF"/>
          </w:tcPr>
          <w:p>
            <w:pPr>
              <w:jc w:val="right"/>
              <w:ind w:right="280"/>
              <w:spacing w:after="0"/>
              <w:rPr>
                <w:sz w:val="20"/>
                <w:szCs w:val="20"/>
                <w:color w:val="auto"/>
              </w:rPr>
            </w:pPr>
            <w:r>
              <w:rPr>
                <w:rFonts w:ascii="Arial" w:cs="Arial" w:eastAsia="Arial" w:hAnsi="Arial"/>
                <w:sz w:val="16"/>
                <w:szCs w:val="16"/>
                <w:b w:val="1"/>
                <w:bCs w:val="1"/>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94,066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54,109</w:t>
            </w:r>
          </w:p>
        </w:tc>
      </w:tr>
      <w:tr>
        <w:trPr>
          <w:trHeight w:val="214"/>
        </w:trPr>
        <w:tc>
          <w:tcPr>
            <w:tcW w:w="7720" w:type="dxa"/>
            <w:vAlign w:val="bottom"/>
            <w:gridSpan w:val="2"/>
          </w:tcPr>
          <w:p>
            <w:pPr>
              <w:ind w:left="140"/>
              <w:spacing w:after="0"/>
              <w:rPr>
                <w:sz w:val="20"/>
                <w:szCs w:val="20"/>
                <w:color w:val="auto"/>
              </w:rPr>
            </w:pPr>
            <w:r>
              <w:rPr>
                <w:rFonts w:ascii="Arial" w:cs="Arial" w:eastAsia="Arial" w:hAnsi="Arial"/>
                <w:sz w:val="16"/>
                <w:szCs w:val="16"/>
                <w:color w:val="auto"/>
              </w:rPr>
              <w:t>Interest paid on borrowings</w:t>
            </w:r>
          </w:p>
        </w:tc>
        <w:tc>
          <w:tcPr>
            <w:tcW w:w="4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61,183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39,952</w:t>
            </w:r>
          </w:p>
        </w:tc>
      </w:tr>
      <w:tr>
        <w:trPr>
          <w:trHeight w:val="214"/>
        </w:trPr>
        <w:tc>
          <w:tcPr>
            <w:tcW w:w="77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Accrued additions to property and equipment</w:t>
            </w:r>
          </w:p>
        </w:tc>
        <w:tc>
          <w:tcPr>
            <w:tcW w:w="4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3,092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3,409</w:t>
            </w:r>
          </w:p>
        </w:tc>
      </w:tr>
      <w:tr>
        <w:trPr>
          <w:trHeight w:val="248"/>
        </w:trPr>
        <w:tc>
          <w:tcPr>
            <w:tcW w:w="772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New operating right of use assets and related lease liabilities</w:t>
            </w:r>
          </w:p>
        </w:tc>
        <w:tc>
          <w:tcPr>
            <w:tcW w:w="460" w:type="dxa"/>
            <w:vAlign w:val="bottom"/>
            <w:tcBorders>
              <w:bottom w:val="single" w:sz="8" w:color="CCEEFF"/>
            </w:tcBorders>
          </w:tcPr>
          <w:p>
            <w:pPr>
              <w:spacing w:after="0"/>
              <w:rPr>
                <w:sz w:val="21"/>
                <w:szCs w:val="21"/>
                <w:color w:val="auto"/>
              </w:rPr>
            </w:pPr>
          </w:p>
        </w:tc>
        <w:tc>
          <w:tcPr>
            <w:tcW w:w="122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71,537</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204,962</w:t>
            </w:r>
          </w:p>
        </w:tc>
      </w:tr>
      <w:tr>
        <w:trPr>
          <w:trHeight w:val="20"/>
        </w:trPr>
        <w:tc>
          <w:tcPr>
            <w:tcW w:w="76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r>
    </w:tbl>
    <w:p>
      <w:pPr>
        <w:spacing w:after="0" w:line="18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8240"/>
        <w:spacing w:after="0"/>
        <w:tabs>
          <w:tab w:leader="none" w:pos="11000" w:val="left"/>
        </w:tabs>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Q2 FY2021 Form 10-Q</w:t>
      </w:r>
      <w:r>
        <w:rPr>
          <w:sz w:val="20"/>
          <w:szCs w:val="20"/>
          <w:color w:val="auto"/>
        </w:rPr>
        <w:tab/>
      </w:r>
      <w:r>
        <w:rPr>
          <w:rFonts w:ascii="Arial" w:cs="Arial" w:eastAsia="Arial" w:hAnsi="Arial"/>
          <w:sz w:val="14"/>
          <w:szCs w:val="14"/>
          <w:color w:val="FFFFFF"/>
          <w:highlight w:val="black"/>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145415</wp:posOffset>
            </wp:positionV>
            <wp:extent cx="713359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3590" cy="17145"/>
                    </a:xfrm>
                    <a:prstGeom prst="rect">
                      <a:avLst/>
                    </a:prstGeom>
                    <a:noFill/>
                  </pic:spPr>
                </pic:pic>
              </a:graphicData>
            </a:graphic>
          </wp:anchor>
        </w:drawing>
        <w:drawing>
          <wp:anchor simplePos="0" relativeHeight="251657728" behindDoc="1" locked="0" layoutInCell="0" allowOverlap="1">
            <wp:simplePos x="0" y="0"/>
            <wp:positionH relativeFrom="column">
              <wp:posOffset>6917055</wp:posOffset>
            </wp:positionH>
            <wp:positionV relativeFrom="paragraph">
              <wp:posOffset>-100330</wp:posOffset>
            </wp:positionV>
            <wp:extent cx="220980" cy="1187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0980" cy="118745"/>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5" w:name="page6"/>
    <w:bookmarkEnd w:id="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6320" w:type="dxa"/>
            <w:vAlign w:val="bottom"/>
            <w:tcBorders>
              <w:top w:val="single" w:sz="8" w:color="auto"/>
              <w:bottom w:val="single" w:sz="8" w:color="auto"/>
            </w:tcBorders>
            <w:gridSpan w:val="11"/>
          </w:tcPr>
          <w:p>
            <w:pPr>
              <w:ind w:left="20"/>
              <w:spacing w:after="0"/>
              <w:rPr>
                <w:sz w:val="20"/>
                <w:szCs w:val="20"/>
                <w:color w:val="auto"/>
              </w:rPr>
            </w:pPr>
            <w:r>
              <w:rPr>
                <w:rFonts w:ascii="Arial" w:cs="Arial" w:eastAsia="Arial" w:hAnsi="Arial"/>
                <w:sz w:val="21"/>
                <w:szCs w:val="21"/>
                <w:b w:val="1"/>
                <w:bCs w:val="1"/>
                <w:color w:val="auto"/>
              </w:rPr>
              <w:t>CONSOLIDATED STATEMENTS OF STOCKHOLDERS' EQUITY</w:t>
            </w:r>
          </w:p>
        </w:tc>
        <w:tc>
          <w:tcPr>
            <w:tcW w:w="10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2820" w:type="dxa"/>
            <w:vAlign w:val="bottom"/>
            <w:tcBorders>
              <w:top w:val="single" w:sz="8" w:color="auto"/>
              <w:bottom w:val="single" w:sz="8" w:color="auto"/>
            </w:tcBorders>
            <w:gridSpan w:val="7"/>
          </w:tcPr>
          <w:p>
            <w:pPr>
              <w:jc w:val="right"/>
              <w:spacing w:after="0"/>
              <w:rPr>
                <w:sz w:val="20"/>
                <w:szCs w:val="20"/>
                <w:color w:val="auto"/>
              </w:rPr>
            </w:pPr>
            <w:r>
              <w:rPr>
                <w:rFonts w:ascii="Arial" w:cs="Arial" w:eastAsia="Arial" w:hAnsi="Arial"/>
                <w:sz w:val="12"/>
                <w:szCs w:val="12"/>
                <w:color w:val="auto"/>
              </w:rPr>
              <w:t>(amounts in 000s, except per share amounts)</w:t>
            </w:r>
          </w:p>
        </w:tc>
        <w:tc>
          <w:tcPr>
            <w:tcW w:w="0" w:type="dxa"/>
            <w:vAlign w:val="bottom"/>
          </w:tcPr>
          <w:p>
            <w:pPr>
              <w:spacing w:after="0"/>
              <w:rPr>
                <w:sz w:val="1"/>
                <w:szCs w:val="1"/>
                <w:color w:val="auto"/>
              </w:rPr>
            </w:pPr>
          </w:p>
        </w:tc>
      </w:tr>
      <w:tr>
        <w:trPr>
          <w:trHeight w:val="141"/>
        </w:trPr>
        <w:tc>
          <w:tcPr>
            <w:tcW w:w="3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gridSpan w:val="5"/>
            <w:vMerge w:val="restart"/>
          </w:tcPr>
          <w:p>
            <w:pPr>
              <w:ind w:left="420"/>
              <w:spacing w:after="0"/>
              <w:rPr>
                <w:sz w:val="20"/>
                <w:szCs w:val="20"/>
                <w:color w:val="auto"/>
              </w:rPr>
            </w:pPr>
            <w:r>
              <w:rPr>
                <w:rFonts w:ascii="Arial" w:cs="Arial" w:eastAsia="Arial" w:hAnsi="Arial"/>
                <w:sz w:val="14"/>
                <w:szCs w:val="14"/>
                <w:color w:val="auto"/>
              </w:rPr>
              <w:t>Common Stock</w:t>
            </w:r>
          </w:p>
        </w:tc>
        <w:tc>
          <w:tcPr>
            <w:tcW w:w="180" w:type="dxa"/>
            <w:vAlign w:val="bottom"/>
          </w:tcPr>
          <w:p>
            <w:pPr>
              <w:spacing w:after="0"/>
              <w:rPr>
                <w:sz w:val="12"/>
                <w:szCs w:val="12"/>
                <w:color w:val="auto"/>
              </w:rPr>
            </w:pPr>
          </w:p>
        </w:tc>
        <w:tc>
          <w:tcPr>
            <w:tcW w:w="80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Additional</w:t>
            </w:r>
          </w:p>
        </w:tc>
        <w:tc>
          <w:tcPr>
            <w:tcW w:w="220" w:type="dxa"/>
            <w:vAlign w:val="bottom"/>
          </w:tcPr>
          <w:p>
            <w:pPr>
              <w:spacing w:after="0"/>
              <w:rPr>
                <w:sz w:val="12"/>
                <w:szCs w:val="12"/>
                <w:color w:val="auto"/>
              </w:rPr>
            </w:pPr>
          </w:p>
        </w:tc>
        <w:tc>
          <w:tcPr>
            <w:tcW w:w="1120" w:type="dxa"/>
            <w:vAlign w:val="bottom"/>
            <w:gridSpan w:val="2"/>
          </w:tcPr>
          <w:p>
            <w:pPr>
              <w:jc w:val="right"/>
              <w:ind w:right="120"/>
              <w:spacing w:after="0" w:line="141" w:lineRule="exact"/>
              <w:rPr>
                <w:sz w:val="20"/>
                <w:szCs w:val="20"/>
                <w:color w:val="auto"/>
              </w:rPr>
            </w:pPr>
            <w:r>
              <w:rPr>
                <w:rFonts w:ascii="Arial" w:cs="Arial" w:eastAsia="Arial" w:hAnsi="Arial"/>
                <w:sz w:val="14"/>
                <w:szCs w:val="14"/>
                <w:color w:val="auto"/>
              </w:rPr>
              <w:t>Accumulated</w:t>
            </w:r>
          </w:p>
        </w:tc>
        <w:tc>
          <w:tcPr>
            <w:tcW w:w="180" w:type="dxa"/>
            <w:vAlign w:val="bottom"/>
          </w:tcPr>
          <w:p>
            <w:pPr>
              <w:spacing w:after="0"/>
              <w:rPr>
                <w:sz w:val="12"/>
                <w:szCs w:val="12"/>
                <w:color w:val="auto"/>
              </w:rPr>
            </w:pPr>
          </w:p>
        </w:tc>
        <w:tc>
          <w:tcPr>
            <w:tcW w:w="80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Retained</w:t>
            </w:r>
          </w:p>
        </w:tc>
        <w:tc>
          <w:tcPr>
            <w:tcW w:w="1920" w:type="dxa"/>
            <w:vAlign w:val="bottom"/>
            <w:gridSpan w:val="5"/>
            <w:vMerge w:val="restart"/>
          </w:tcPr>
          <w:p>
            <w:pPr>
              <w:ind w:left="440"/>
              <w:spacing w:after="0"/>
              <w:rPr>
                <w:sz w:val="20"/>
                <w:szCs w:val="20"/>
                <w:color w:val="auto"/>
              </w:rPr>
            </w:pPr>
            <w:r>
              <w:rPr>
                <w:rFonts w:ascii="Arial" w:cs="Arial" w:eastAsia="Arial" w:hAnsi="Arial"/>
                <w:sz w:val="14"/>
                <w:szCs w:val="14"/>
                <w:color w:val="auto"/>
              </w:rPr>
              <w:t>Treasury Stock</w:t>
            </w:r>
          </w:p>
        </w:tc>
        <w:tc>
          <w:tcPr>
            <w:tcW w:w="1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34"/>
        </w:trPr>
        <w:tc>
          <w:tcPr>
            <w:tcW w:w="3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00" w:type="dxa"/>
            <w:vAlign w:val="bottom"/>
            <w:gridSpan w:val="5"/>
            <w:vMerge w:val="continue"/>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2"/>
          </w:tcPr>
          <w:p>
            <w:pPr>
              <w:ind w:left="620"/>
              <w:spacing w:after="0" w:line="134" w:lineRule="exact"/>
              <w:rPr>
                <w:sz w:val="20"/>
                <w:szCs w:val="20"/>
                <w:color w:val="auto"/>
              </w:rPr>
            </w:pPr>
            <w:r>
              <w:rPr>
                <w:rFonts w:ascii="Arial" w:cs="Arial" w:eastAsia="Arial" w:hAnsi="Arial"/>
                <w:sz w:val="14"/>
                <w:szCs w:val="14"/>
                <w:color w:val="auto"/>
              </w:rPr>
              <w:t>Other</w:t>
            </w:r>
          </w:p>
        </w:tc>
        <w:tc>
          <w:tcPr>
            <w:tcW w:w="18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920" w:type="dxa"/>
            <w:vAlign w:val="bottom"/>
            <w:gridSpan w:val="5"/>
            <w:vMerge w:val="continue"/>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3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gridSpan w:val="2"/>
            <w:vMerge w:val="restart"/>
          </w:tcPr>
          <w:p>
            <w:pPr>
              <w:jc w:val="right"/>
              <w:ind w:right="120"/>
              <w:spacing w:after="0" w:line="134" w:lineRule="exact"/>
              <w:rPr>
                <w:sz w:val="20"/>
                <w:szCs w:val="20"/>
                <w:color w:val="auto"/>
              </w:rPr>
            </w:pPr>
            <w:r>
              <w:rPr>
                <w:rFonts w:ascii="Arial" w:cs="Arial" w:eastAsia="Arial" w:hAnsi="Arial"/>
                <w:sz w:val="14"/>
                <w:szCs w:val="14"/>
                <w:color w:val="auto"/>
              </w:rPr>
              <w:t>Paid-in</w:t>
            </w:r>
          </w:p>
        </w:tc>
        <w:tc>
          <w:tcPr>
            <w:tcW w:w="220" w:type="dxa"/>
            <w:vAlign w:val="bottom"/>
          </w:tcPr>
          <w:p>
            <w:pPr>
              <w:spacing w:after="0"/>
              <w:rPr>
                <w:sz w:val="3"/>
                <w:szCs w:val="3"/>
                <w:color w:val="auto"/>
              </w:rPr>
            </w:pPr>
          </w:p>
        </w:tc>
        <w:tc>
          <w:tcPr>
            <w:tcW w:w="1120" w:type="dxa"/>
            <w:vAlign w:val="bottom"/>
            <w:gridSpan w:val="2"/>
            <w:vMerge w:val="restart"/>
          </w:tcPr>
          <w:p>
            <w:pPr>
              <w:jc w:val="right"/>
              <w:ind w:right="120"/>
              <w:spacing w:after="0" w:line="134" w:lineRule="exact"/>
              <w:rPr>
                <w:sz w:val="20"/>
                <w:szCs w:val="20"/>
                <w:color w:val="auto"/>
              </w:rPr>
            </w:pPr>
            <w:r>
              <w:rPr>
                <w:rFonts w:ascii="Arial" w:cs="Arial" w:eastAsia="Arial" w:hAnsi="Arial"/>
                <w:sz w:val="14"/>
                <w:szCs w:val="14"/>
                <w:color w:val="auto"/>
                <w:w w:val="99"/>
              </w:rPr>
              <w:t>Comprehensive</w:t>
            </w:r>
          </w:p>
        </w:tc>
        <w:tc>
          <w:tcPr>
            <w:tcW w:w="180" w:type="dxa"/>
            <w:vAlign w:val="bottom"/>
          </w:tcPr>
          <w:p>
            <w:pPr>
              <w:spacing w:after="0"/>
              <w:rPr>
                <w:sz w:val="3"/>
                <w:szCs w:val="3"/>
                <w:color w:val="auto"/>
              </w:rPr>
            </w:pPr>
          </w:p>
        </w:tc>
        <w:tc>
          <w:tcPr>
            <w:tcW w:w="800" w:type="dxa"/>
            <w:vAlign w:val="bottom"/>
            <w:gridSpan w:val="2"/>
            <w:vMerge w:val="restart"/>
          </w:tcPr>
          <w:p>
            <w:pPr>
              <w:ind w:left="100"/>
              <w:spacing w:after="0" w:line="134" w:lineRule="exact"/>
              <w:rPr>
                <w:sz w:val="20"/>
                <w:szCs w:val="20"/>
                <w:color w:val="auto"/>
              </w:rPr>
            </w:pPr>
            <w:r>
              <w:rPr>
                <w:rFonts w:ascii="Arial" w:cs="Arial" w:eastAsia="Arial" w:hAnsi="Arial"/>
                <w:sz w:val="14"/>
                <w:szCs w:val="14"/>
                <w:color w:val="auto"/>
              </w:rPr>
              <w:t>Earnings</w:t>
            </w: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gridSpan w:val="2"/>
            <w:vMerge w:val="restart"/>
          </w:tcPr>
          <w:p>
            <w:pPr>
              <w:jc w:val="right"/>
              <w:spacing w:after="0" w:line="134" w:lineRule="exact"/>
              <w:rPr>
                <w:sz w:val="20"/>
                <w:szCs w:val="20"/>
                <w:color w:val="auto"/>
              </w:rPr>
            </w:pPr>
            <w:r>
              <w:rPr>
                <w:rFonts w:ascii="Arial" w:cs="Arial" w:eastAsia="Arial" w:hAnsi="Arial"/>
                <w:sz w:val="14"/>
                <w:szCs w:val="14"/>
                <w:color w:val="auto"/>
              </w:rPr>
              <w:t>Stockholders’</w:t>
            </w:r>
          </w:p>
        </w:tc>
        <w:tc>
          <w:tcPr>
            <w:tcW w:w="0" w:type="dxa"/>
            <w:vAlign w:val="bottom"/>
          </w:tcPr>
          <w:p>
            <w:pPr>
              <w:spacing w:after="0"/>
              <w:rPr>
                <w:sz w:val="1"/>
                <w:szCs w:val="1"/>
                <w:color w:val="auto"/>
              </w:rPr>
            </w:pPr>
          </w:p>
        </w:tc>
      </w:tr>
      <w:tr>
        <w:trPr>
          <w:trHeight w:val="74"/>
        </w:trPr>
        <w:tc>
          <w:tcPr>
            <w:tcW w:w="3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Shares</w:t>
            </w:r>
          </w:p>
        </w:tc>
        <w:tc>
          <w:tcPr>
            <w:tcW w:w="100" w:type="dxa"/>
            <w:vAlign w:val="bottom"/>
            <w:vMerge w:val="restart"/>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Amount</w:t>
            </w:r>
          </w:p>
        </w:tc>
        <w:tc>
          <w:tcPr>
            <w:tcW w:w="100" w:type="dxa"/>
            <w:vAlign w:val="bottom"/>
            <w:vMerge w:val="restart"/>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Shares</w:t>
            </w:r>
          </w:p>
        </w:tc>
        <w:tc>
          <w:tcPr>
            <w:tcW w:w="100" w:type="dxa"/>
            <w:vAlign w:val="bottom"/>
            <w:vMerge w:val="restart"/>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Amount</w:t>
            </w:r>
          </w:p>
        </w:tc>
        <w:tc>
          <w:tcPr>
            <w:tcW w:w="80" w:type="dxa"/>
            <w:vAlign w:val="bottom"/>
            <w:vMerge w:val="restart"/>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4"/>
        </w:trPr>
        <w:tc>
          <w:tcPr>
            <w:tcW w:w="31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Capital</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Income (Loss)</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(Deficit)</w:t>
            </w:r>
          </w:p>
        </w:tc>
        <w:tc>
          <w:tcPr>
            <w:tcW w:w="8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181"/>
        </w:trPr>
        <w:tc>
          <w:tcPr>
            <w:tcW w:w="3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Balances as of May 1, 2020</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228,207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b w:val="1"/>
                <w:bCs w:val="1"/>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2,282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775,387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(51,576)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42,965</w:t>
            </w: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(35,731)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(698,017)</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71,041</w:t>
            </w:r>
          </w:p>
        </w:tc>
        <w:tc>
          <w:tcPr>
            <w:tcW w:w="0" w:type="dxa"/>
            <w:vAlign w:val="bottom"/>
          </w:tcPr>
          <w:p>
            <w:pPr>
              <w:spacing w:after="0"/>
              <w:rPr>
                <w:sz w:val="1"/>
                <w:szCs w:val="1"/>
                <w:color w:val="auto"/>
              </w:rPr>
            </w:pPr>
          </w:p>
        </w:tc>
      </w:tr>
      <w:tr>
        <w:trPr>
          <w:trHeight w:val="187"/>
        </w:trPr>
        <w:tc>
          <w:tcPr>
            <w:tcW w:w="3220" w:type="dxa"/>
            <w:vAlign w:val="bottom"/>
            <w:gridSpan w:val="2"/>
          </w:tcPr>
          <w:p>
            <w:pPr>
              <w:ind w:left="20"/>
              <w:spacing w:after="0"/>
              <w:rPr>
                <w:sz w:val="20"/>
                <w:szCs w:val="20"/>
                <w:color w:val="auto"/>
              </w:rPr>
            </w:pPr>
            <w:r>
              <w:rPr>
                <w:rFonts w:ascii="Arial" w:cs="Arial" w:eastAsia="Arial" w:hAnsi="Arial"/>
                <w:sz w:val="14"/>
                <w:szCs w:val="14"/>
                <w:color w:val="auto"/>
              </w:rPr>
              <w:t>Net income</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720" w:type="dxa"/>
            <w:vAlign w:val="bottom"/>
          </w:tcPr>
          <w:p>
            <w:pPr>
              <w:jc w:val="right"/>
              <w:ind w:right="9"/>
              <w:spacing w:after="0"/>
              <w:rPr>
                <w:sz w:val="20"/>
                <w:szCs w:val="20"/>
                <w:color w:val="auto"/>
              </w:rPr>
            </w:pPr>
            <w:r>
              <w:rPr>
                <w:rFonts w:ascii="Arial" w:cs="Arial" w:eastAsia="Arial" w:hAnsi="Arial"/>
                <w:sz w:val="14"/>
                <w:szCs w:val="14"/>
                <w:b w:val="1"/>
                <w:bCs w:val="1"/>
                <w:color w:val="auto"/>
              </w:rPr>
              <w:t>91,259</w:t>
            </w:r>
          </w:p>
        </w:tc>
        <w:tc>
          <w:tcPr>
            <w:tcW w:w="8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91,259</w:t>
            </w:r>
          </w:p>
        </w:tc>
        <w:tc>
          <w:tcPr>
            <w:tcW w:w="0" w:type="dxa"/>
            <w:vAlign w:val="bottom"/>
          </w:tcPr>
          <w:p>
            <w:pPr>
              <w:spacing w:after="0"/>
              <w:rPr>
                <w:sz w:val="1"/>
                <w:szCs w:val="1"/>
                <w:color w:val="auto"/>
              </w:rPr>
            </w:pPr>
          </w:p>
        </w:tc>
      </w:tr>
      <w:tr>
        <w:trPr>
          <w:trHeight w:val="187"/>
        </w:trPr>
        <w:tc>
          <w:tcPr>
            <w:tcW w:w="3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comprehensive income</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17,539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17,539</w:t>
            </w:r>
          </w:p>
        </w:tc>
        <w:tc>
          <w:tcPr>
            <w:tcW w:w="0" w:type="dxa"/>
            <w:vAlign w:val="bottom"/>
          </w:tcPr>
          <w:p>
            <w:pPr>
              <w:spacing w:after="0"/>
              <w:rPr>
                <w:sz w:val="1"/>
                <w:szCs w:val="1"/>
                <w:color w:val="auto"/>
              </w:rPr>
            </w:pPr>
          </w:p>
        </w:tc>
      </w:tr>
      <w:tr>
        <w:trPr>
          <w:trHeight w:val="187"/>
        </w:trPr>
        <w:tc>
          <w:tcPr>
            <w:tcW w:w="3220" w:type="dxa"/>
            <w:vAlign w:val="bottom"/>
            <w:gridSpan w:val="2"/>
          </w:tcPr>
          <w:p>
            <w:pPr>
              <w:ind w:left="20"/>
              <w:spacing w:after="0"/>
              <w:rPr>
                <w:sz w:val="20"/>
                <w:szCs w:val="20"/>
                <w:color w:val="auto"/>
              </w:rPr>
            </w:pPr>
            <w:r>
              <w:rPr>
                <w:rFonts w:ascii="Arial" w:cs="Arial" w:eastAsia="Arial" w:hAnsi="Arial"/>
                <w:sz w:val="14"/>
                <w:szCs w:val="14"/>
                <w:color w:val="auto"/>
              </w:rPr>
              <w:t>Stock-based compensation</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7,422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7,422</w:t>
            </w:r>
          </w:p>
        </w:tc>
        <w:tc>
          <w:tcPr>
            <w:tcW w:w="0" w:type="dxa"/>
            <w:vAlign w:val="bottom"/>
          </w:tcPr>
          <w:p>
            <w:pPr>
              <w:spacing w:after="0"/>
              <w:rPr>
                <w:sz w:val="1"/>
                <w:szCs w:val="1"/>
                <w:color w:val="auto"/>
              </w:rPr>
            </w:pPr>
          </w:p>
        </w:tc>
      </w:tr>
      <w:tr>
        <w:trPr>
          <w:trHeight w:val="187"/>
        </w:trPr>
        <w:tc>
          <w:tcPr>
            <w:tcW w:w="3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Stock-based awards exercised or vested</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(10,027)</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(1,247)</w:t>
            </w: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627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12,247</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973</w:t>
            </w:r>
          </w:p>
        </w:tc>
        <w:tc>
          <w:tcPr>
            <w:tcW w:w="0" w:type="dxa"/>
            <w:vAlign w:val="bottom"/>
          </w:tcPr>
          <w:p>
            <w:pPr>
              <w:spacing w:after="0"/>
              <w:rPr>
                <w:sz w:val="1"/>
                <w:szCs w:val="1"/>
                <w:color w:val="auto"/>
              </w:rPr>
            </w:pPr>
          </w:p>
        </w:tc>
      </w:tr>
      <w:tr>
        <w:trPr>
          <w:trHeight w:val="187"/>
        </w:trPr>
        <w:tc>
          <w:tcPr>
            <w:tcW w:w="3220" w:type="dxa"/>
            <w:vAlign w:val="bottom"/>
            <w:gridSpan w:val="2"/>
          </w:tcPr>
          <w:p>
            <w:pPr>
              <w:ind w:left="20"/>
              <w:spacing w:after="0" w:line="188" w:lineRule="exact"/>
              <w:rPr>
                <w:sz w:val="20"/>
                <w:szCs w:val="20"/>
                <w:color w:val="auto"/>
              </w:rPr>
            </w:pPr>
            <w:r>
              <w:rPr>
                <w:rFonts w:ascii="Arial" w:cs="Arial" w:eastAsia="Arial" w:hAnsi="Arial"/>
                <w:sz w:val="14"/>
                <w:szCs w:val="14"/>
                <w:color w:val="auto"/>
              </w:rPr>
              <w:t>Acquisition of treasury shares</w:t>
            </w:r>
            <w:r>
              <w:rPr>
                <w:rFonts w:ascii="Arial" w:cs="Arial" w:eastAsia="Arial" w:hAnsi="Arial"/>
                <w:sz w:val="18"/>
                <w:szCs w:val="18"/>
                <w:color w:val="auto"/>
                <w:vertAlign w:val="superscript"/>
              </w:rPr>
              <w:t>(1)</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(2,913)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(2,913)</w:t>
            </w:r>
          </w:p>
        </w:tc>
        <w:tc>
          <w:tcPr>
            <w:tcW w:w="0" w:type="dxa"/>
            <w:vAlign w:val="bottom"/>
          </w:tcPr>
          <w:p>
            <w:pPr>
              <w:spacing w:after="0"/>
              <w:rPr>
                <w:sz w:val="1"/>
                <w:szCs w:val="1"/>
                <w:color w:val="auto"/>
              </w:rPr>
            </w:pPr>
          </w:p>
        </w:tc>
      </w:tr>
      <w:tr>
        <w:trPr>
          <w:trHeight w:val="187"/>
        </w:trPr>
        <w:tc>
          <w:tcPr>
            <w:tcW w:w="3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dividends declared - $0.26 per share</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(50,044)</w:t>
            </w: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(50,044)</w:t>
            </w:r>
          </w:p>
        </w:tc>
        <w:tc>
          <w:tcPr>
            <w:tcW w:w="0" w:type="dxa"/>
            <w:vAlign w:val="bottom"/>
          </w:tcPr>
          <w:p>
            <w:pPr>
              <w:spacing w:after="0"/>
              <w:rPr>
                <w:sz w:val="1"/>
                <w:szCs w:val="1"/>
                <w:color w:val="auto"/>
              </w:rPr>
            </w:pPr>
          </w:p>
        </w:tc>
      </w:tr>
      <w:tr>
        <w:trPr>
          <w:trHeight w:val="181"/>
        </w:trPr>
        <w:tc>
          <w:tcPr>
            <w:tcW w:w="3220" w:type="dxa"/>
            <w:vAlign w:val="bottom"/>
            <w:gridSpan w:val="2"/>
          </w:tcPr>
          <w:p>
            <w:pPr>
              <w:ind w:left="20"/>
              <w:spacing w:after="0"/>
              <w:rPr>
                <w:sz w:val="20"/>
                <w:szCs w:val="20"/>
                <w:color w:val="auto"/>
              </w:rPr>
            </w:pPr>
            <w:r>
              <w:rPr>
                <w:rFonts w:ascii="Arial" w:cs="Arial" w:eastAsia="Arial" w:hAnsi="Arial"/>
                <w:sz w:val="14"/>
                <w:szCs w:val="14"/>
                <w:color w:val="auto"/>
              </w:rPr>
              <w:t>Balances as of July 31, 2020</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228,207</w:t>
            </w:r>
          </w:p>
        </w:tc>
        <w:tc>
          <w:tcPr>
            <w:tcW w:w="100" w:type="dxa"/>
            <w:vAlign w:val="bottom"/>
          </w:tcPr>
          <w:p>
            <w:pPr>
              <w:spacing w:after="0"/>
              <w:rPr>
                <w:sz w:val="15"/>
                <w:szCs w:val="15"/>
                <w:color w:val="auto"/>
              </w:rPr>
            </w:pPr>
          </w:p>
        </w:tc>
        <w:tc>
          <w:tcPr>
            <w:tcW w:w="22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b w:val="1"/>
                <w:bCs w:val="1"/>
                <w:color w:val="auto"/>
                <w:w w:val="76"/>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2,282</w:t>
            </w:r>
          </w:p>
        </w:tc>
        <w:tc>
          <w:tcPr>
            <w:tcW w:w="100" w:type="dxa"/>
            <w:vAlign w:val="bottom"/>
          </w:tcPr>
          <w:p>
            <w:pPr>
              <w:spacing w:after="0"/>
              <w:rPr>
                <w:sz w:val="15"/>
                <w:szCs w:val="15"/>
                <w:color w:val="auto"/>
              </w:rPr>
            </w:pPr>
          </w:p>
        </w:tc>
        <w:tc>
          <w:tcPr>
            <w:tcW w:w="18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772,782</w:t>
            </w:r>
          </w:p>
        </w:tc>
        <w:tc>
          <w:tcPr>
            <w:tcW w:w="100" w:type="dxa"/>
            <w:vAlign w:val="bottom"/>
          </w:tcPr>
          <w:p>
            <w:pPr>
              <w:spacing w:after="0"/>
              <w:rPr>
                <w:sz w:val="15"/>
                <w:szCs w:val="15"/>
                <w:color w:val="auto"/>
              </w:rPr>
            </w:pPr>
          </w:p>
        </w:tc>
        <w:tc>
          <w:tcPr>
            <w:tcW w:w="22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(34,037)</w:t>
            </w:r>
          </w:p>
        </w:tc>
        <w:tc>
          <w:tcPr>
            <w:tcW w:w="100" w:type="dxa"/>
            <w:vAlign w:val="bottom"/>
          </w:tcPr>
          <w:p>
            <w:pPr>
              <w:spacing w:after="0"/>
              <w:rPr>
                <w:sz w:val="15"/>
                <w:szCs w:val="15"/>
                <w:color w:val="auto"/>
              </w:rPr>
            </w:pPr>
          </w:p>
        </w:tc>
        <w:tc>
          <w:tcPr>
            <w:tcW w:w="18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82,933</w:t>
            </w:r>
          </w:p>
        </w:tc>
        <w:tc>
          <w:tcPr>
            <w:tcW w:w="80" w:type="dxa"/>
            <w:vAlign w:val="bottom"/>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(35,308)</w:t>
            </w:r>
          </w:p>
        </w:tc>
        <w:tc>
          <w:tcPr>
            <w:tcW w:w="100" w:type="dxa"/>
            <w:vAlign w:val="bottom"/>
          </w:tcPr>
          <w:p>
            <w:pPr>
              <w:spacing w:after="0"/>
              <w:rPr>
                <w:sz w:val="15"/>
                <w:szCs w:val="15"/>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(688,683)</w:t>
            </w:r>
          </w:p>
        </w:tc>
        <w:tc>
          <w:tcPr>
            <w:tcW w:w="80" w:type="dxa"/>
            <w:vAlign w:val="bottom"/>
          </w:tcPr>
          <w:p>
            <w:pPr>
              <w:spacing w:after="0"/>
              <w:rPr>
                <w:sz w:val="15"/>
                <w:szCs w:val="15"/>
                <w:color w:val="auto"/>
              </w:rPr>
            </w:pPr>
          </w:p>
        </w:tc>
        <w:tc>
          <w:tcPr>
            <w:tcW w:w="18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135,277</w:t>
            </w:r>
          </w:p>
        </w:tc>
        <w:tc>
          <w:tcPr>
            <w:tcW w:w="0" w:type="dxa"/>
            <w:vAlign w:val="bottom"/>
          </w:tcPr>
          <w:p>
            <w:pPr>
              <w:spacing w:after="0"/>
              <w:rPr>
                <w:sz w:val="1"/>
                <w:szCs w:val="1"/>
                <w:color w:val="auto"/>
              </w:rPr>
            </w:pPr>
          </w:p>
        </w:tc>
      </w:tr>
      <w:tr>
        <w:trPr>
          <w:trHeight w:val="187"/>
        </w:trPr>
        <w:tc>
          <w:tcPr>
            <w:tcW w:w="3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(223,726)</w:t>
            </w: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(223,726)</w:t>
            </w:r>
          </w:p>
        </w:tc>
        <w:tc>
          <w:tcPr>
            <w:tcW w:w="0" w:type="dxa"/>
            <w:vAlign w:val="bottom"/>
          </w:tcPr>
          <w:p>
            <w:pPr>
              <w:spacing w:after="0"/>
              <w:rPr>
                <w:sz w:val="1"/>
                <w:szCs w:val="1"/>
                <w:color w:val="auto"/>
              </w:rPr>
            </w:pPr>
          </w:p>
        </w:tc>
      </w:tr>
      <w:tr>
        <w:trPr>
          <w:trHeight w:val="187"/>
        </w:trPr>
        <w:tc>
          <w:tcPr>
            <w:tcW w:w="3220" w:type="dxa"/>
            <w:vAlign w:val="bottom"/>
            <w:gridSpan w:val="2"/>
          </w:tcPr>
          <w:p>
            <w:pPr>
              <w:ind w:left="20"/>
              <w:spacing w:after="0"/>
              <w:rPr>
                <w:sz w:val="20"/>
                <w:szCs w:val="20"/>
                <w:color w:val="auto"/>
              </w:rPr>
            </w:pPr>
            <w:r>
              <w:rPr>
                <w:rFonts w:ascii="Arial" w:cs="Arial" w:eastAsia="Arial" w:hAnsi="Arial"/>
                <w:sz w:val="14"/>
                <w:szCs w:val="14"/>
                <w:color w:val="auto"/>
              </w:rPr>
              <w:t>Other comprehensive income</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2,330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2,330</w:t>
            </w:r>
          </w:p>
        </w:tc>
        <w:tc>
          <w:tcPr>
            <w:tcW w:w="0" w:type="dxa"/>
            <w:vAlign w:val="bottom"/>
          </w:tcPr>
          <w:p>
            <w:pPr>
              <w:spacing w:after="0"/>
              <w:rPr>
                <w:sz w:val="1"/>
                <w:szCs w:val="1"/>
                <w:color w:val="auto"/>
              </w:rPr>
            </w:pPr>
          </w:p>
        </w:tc>
      </w:tr>
      <w:tr>
        <w:trPr>
          <w:trHeight w:val="187"/>
        </w:trPr>
        <w:tc>
          <w:tcPr>
            <w:tcW w:w="3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6,768</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6,768</w:t>
            </w:r>
          </w:p>
        </w:tc>
        <w:tc>
          <w:tcPr>
            <w:tcW w:w="0" w:type="dxa"/>
            <w:vAlign w:val="bottom"/>
          </w:tcPr>
          <w:p>
            <w:pPr>
              <w:spacing w:after="0"/>
              <w:rPr>
                <w:sz w:val="1"/>
                <w:szCs w:val="1"/>
                <w:color w:val="auto"/>
              </w:rPr>
            </w:pPr>
          </w:p>
        </w:tc>
      </w:tr>
      <w:tr>
        <w:trPr>
          <w:trHeight w:val="187"/>
        </w:trPr>
        <w:tc>
          <w:tcPr>
            <w:tcW w:w="3220" w:type="dxa"/>
            <w:vAlign w:val="bottom"/>
            <w:gridSpan w:val="2"/>
          </w:tcPr>
          <w:p>
            <w:pPr>
              <w:ind w:left="20"/>
              <w:spacing w:after="0"/>
              <w:rPr>
                <w:sz w:val="20"/>
                <w:szCs w:val="20"/>
                <w:color w:val="auto"/>
              </w:rPr>
            </w:pPr>
            <w:r>
              <w:rPr>
                <w:rFonts w:ascii="Arial" w:cs="Arial" w:eastAsia="Arial" w:hAnsi="Arial"/>
                <w:sz w:val="14"/>
                <w:szCs w:val="14"/>
                <w:color w:val="auto"/>
              </w:rPr>
              <w:t>Stock-based awards exercised or vested</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(262)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(220)</w:t>
            </w: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ind w:right="9"/>
              <w:spacing w:after="0"/>
              <w:rPr>
                <w:sz w:val="20"/>
                <w:szCs w:val="20"/>
                <w:color w:val="auto"/>
              </w:rPr>
            </w:pPr>
            <w:r>
              <w:rPr>
                <w:rFonts w:ascii="Arial" w:cs="Arial" w:eastAsia="Arial" w:hAnsi="Arial"/>
                <w:sz w:val="14"/>
                <w:szCs w:val="14"/>
                <w:b w:val="1"/>
                <w:bCs w:val="1"/>
                <w:color w:val="auto"/>
              </w:rPr>
              <w:t>262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(220)</w:t>
            </w:r>
          </w:p>
        </w:tc>
        <w:tc>
          <w:tcPr>
            <w:tcW w:w="0" w:type="dxa"/>
            <w:vAlign w:val="bottom"/>
          </w:tcPr>
          <w:p>
            <w:pPr>
              <w:spacing w:after="0"/>
              <w:rPr>
                <w:sz w:val="1"/>
                <w:szCs w:val="1"/>
                <w:color w:val="auto"/>
              </w:rPr>
            </w:pPr>
          </w:p>
        </w:tc>
      </w:tr>
      <w:tr>
        <w:trPr>
          <w:trHeight w:val="187"/>
        </w:trPr>
        <w:tc>
          <w:tcPr>
            <w:tcW w:w="3220" w:type="dxa"/>
            <w:vAlign w:val="bottom"/>
            <w:gridSpan w:val="2"/>
            <w:shd w:val="clear" w:color="auto" w:fill="CCEEFF"/>
          </w:tcPr>
          <w:p>
            <w:pPr>
              <w:ind w:left="20"/>
              <w:spacing w:after="0" w:line="188" w:lineRule="exact"/>
              <w:rPr>
                <w:sz w:val="20"/>
                <w:szCs w:val="20"/>
                <w:color w:val="auto"/>
              </w:rPr>
            </w:pPr>
            <w:r>
              <w:rPr>
                <w:rFonts w:ascii="Arial" w:cs="Arial" w:eastAsia="Arial" w:hAnsi="Arial"/>
                <w:sz w:val="14"/>
                <w:szCs w:val="14"/>
                <w:color w:val="auto"/>
              </w:rPr>
              <w:t>Acquisition of treasury shares</w:t>
            </w:r>
            <w:r>
              <w:rPr>
                <w:rFonts w:ascii="Arial" w:cs="Arial" w:eastAsia="Arial" w:hAnsi="Arial"/>
                <w:sz w:val="18"/>
                <w:szCs w:val="18"/>
                <w:color w:val="auto"/>
                <w:vertAlign w:val="superscript"/>
              </w:rPr>
              <w:t>(1)</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(99)</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(99)</w:t>
            </w:r>
          </w:p>
        </w:tc>
        <w:tc>
          <w:tcPr>
            <w:tcW w:w="0" w:type="dxa"/>
            <w:vAlign w:val="bottom"/>
          </w:tcPr>
          <w:p>
            <w:pPr>
              <w:spacing w:after="0"/>
              <w:rPr>
                <w:sz w:val="1"/>
                <w:szCs w:val="1"/>
                <w:color w:val="auto"/>
              </w:rPr>
            </w:pPr>
          </w:p>
        </w:tc>
      </w:tr>
      <w:tr>
        <w:trPr>
          <w:trHeight w:val="187"/>
        </w:trPr>
        <w:tc>
          <w:tcPr>
            <w:tcW w:w="3220" w:type="dxa"/>
            <w:vAlign w:val="bottom"/>
            <w:gridSpan w:val="2"/>
          </w:tcPr>
          <w:p>
            <w:pPr>
              <w:ind w:left="20"/>
              <w:spacing w:after="0"/>
              <w:rPr>
                <w:sz w:val="20"/>
                <w:szCs w:val="20"/>
                <w:color w:val="auto"/>
              </w:rPr>
            </w:pPr>
            <w:r>
              <w:rPr>
                <w:rFonts w:ascii="Arial" w:cs="Arial" w:eastAsia="Arial" w:hAnsi="Arial"/>
                <w:sz w:val="14"/>
                <w:szCs w:val="14"/>
                <w:color w:val="auto"/>
              </w:rPr>
              <w:t>Repurchase and retirement of common shares</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(9,488)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(95)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(5,597)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(144,450)</w:t>
            </w:r>
          </w:p>
        </w:tc>
        <w:tc>
          <w:tcPr>
            <w:tcW w:w="8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(150,142)</w:t>
            </w:r>
          </w:p>
        </w:tc>
        <w:tc>
          <w:tcPr>
            <w:tcW w:w="0" w:type="dxa"/>
            <w:vAlign w:val="bottom"/>
          </w:tcPr>
          <w:p>
            <w:pPr>
              <w:spacing w:after="0"/>
              <w:rPr>
                <w:sz w:val="1"/>
                <w:szCs w:val="1"/>
                <w:color w:val="auto"/>
              </w:rPr>
            </w:pPr>
          </w:p>
        </w:tc>
      </w:tr>
      <w:tr>
        <w:trPr>
          <w:trHeight w:val="187"/>
        </w:trPr>
        <w:tc>
          <w:tcPr>
            <w:tcW w:w="3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dividends declared - $0.26 per share</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(50,154)</w:t>
            </w: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(50,154)</w:t>
            </w:r>
          </w:p>
        </w:tc>
        <w:tc>
          <w:tcPr>
            <w:tcW w:w="0" w:type="dxa"/>
            <w:vAlign w:val="bottom"/>
          </w:tcPr>
          <w:p>
            <w:pPr>
              <w:spacing w:after="0"/>
              <w:rPr>
                <w:sz w:val="1"/>
                <w:szCs w:val="1"/>
                <w:color w:val="auto"/>
              </w:rPr>
            </w:pPr>
          </w:p>
        </w:tc>
      </w:tr>
      <w:tr>
        <w:trPr>
          <w:trHeight w:val="219"/>
        </w:trPr>
        <w:tc>
          <w:tcPr>
            <w:tcW w:w="32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Balances as of October 31, 2020</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218,719</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w w:val="76"/>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2,187</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773,691</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(31,707)</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(335,617)</w:t>
            </w:r>
          </w:p>
        </w:tc>
        <w:tc>
          <w:tcPr>
            <w:tcW w:w="8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(35,301)</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(688,520)</w:t>
            </w:r>
          </w:p>
        </w:tc>
        <w:tc>
          <w:tcPr>
            <w:tcW w:w="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(279,966)</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86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000000"/>
          </w:tcPr>
          <w:p>
            <w:pPr>
              <w:spacing w:after="0" w:line="20" w:lineRule="exact"/>
              <w:rPr>
                <w:sz w:val="1"/>
                <w:szCs w:val="1"/>
                <w:color w:val="auto"/>
              </w:rPr>
            </w:pPr>
          </w:p>
        </w:tc>
        <w:tc>
          <w:tcPr>
            <w:tcW w:w="62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000000"/>
          </w:tcPr>
          <w:p>
            <w:pPr>
              <w:spacing w:after="0" w:line="20" w:lineRule="exact"/>
              <w:rPr>
                <w:sz w:val="1"/>
                <w:szCs w:val="1"/>
                <w:color w:val="auto"/>
              </w:rPr>
            </w:pPr>
          </w:p>
        </w:tc>
        <w:tc>
          <w:tcPr>
            <w:tcW w:w="70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000000"/>
          </w:tcPr>
          <w:p>
            <w:pPr>
              <w:spacing w:after="0" w:line="20" w:lineRule="exact"/>
              <w:rPr>
                <w:sz w:val="1"/>
                <w:szCs w:val="1"/>
                <w:color w:val="auto"/>
              </w:rPr>
            </w:pPr>
          </w:p>
        </w:tc>
        <w:tc>
          <w:tcPr>
            <w:tcW w:w="102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000000"/>
          </w:tcPr>
          <w:p>
            <w:pPr>
              <w:spacing w:after="0" w:line="20" w:lineRule="exact"/>
              <w:rPr>
                <w:sz w:val="1"/>
                <w:szCs w:val="1"/>
                <w:color w:val="auto"/>
              </w:rPr>
            </w:pPr>
          </w:p>
        </w:tc>
        <w:tc>
          <w:tcPr>
            <w:tcW w:w="72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86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000000"/>
          </w:tcPr>
          <w:p>
            <w:pPr>
              <w:spacing w:after="0" w:line="20" w:lineRule="exact"/>
              <w:rPr>
                <w:sz w:val="1"/>
                <w:szCs w:val="1"/>
                <w:color w:val="auto"/>
              </w:rPr>
            </w:pPr>
          </w:p>
        </w:tc>
        <w:tc>
          <w:tcPr>
            <w:tcW w:w="72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000000"/>
          </w:tcPr>
          <w:p>
            <w:pPr>
              <w:spacing w:after="0" w:line="20" w:lineRule="exact"/>
              <w:rPr>
                <w:sz w:val="1"/>
                <w:szCs w:val="1"/>
                <w:color w:val="auto"/>
              </w:rPr>
            </w:pPr>
          </w:p>
        </w:tc>
        <w:tc>
          <w:tcPr>
            <w:tcW w:w="720" w:type="dxa"/>
            <w:vAlign w:val="bottom"/>
            <w:tcBorders>
              <w:top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2" w:lineRule="exact"/>
        <w:rPr>
          <w:sz w:val="20"/>
          <w:szCs w:val="20"/>
          <w:color w:val="auto"/>
        </w:rPr>
      </w:pPr>
    </w:p>
    <w:p>
      <w:pPr>
        <w:ind w:left="280" w:hanging="273"/>
        <w:spacing w:after="0"/>
        <w:tabs>
          <w:tab w:leader="none" w:pos="280" w:val="left"/>
        </w:tabs>
        <w:numPr>
          <w:ilvl w:val="0"/>
          <w:numId w:val="4"/>
        </w:numPr>
        <w:rPr>
          <w:rFonts w:ascii="Arial" w:cs="Arial" w:eastAsia="Arial" w:hAnsi="Arial"/>
          <w:sz w:val="19"/>
          <w:szCs w:val="19"/>
          <w:color w:val="auto"/>
          <w:vertAlign w:val="superscript"/>
        </w:rPr>
      </w:pPr>
      <w:r>
        <w:rPr>
          <w:rFonts w:ascii="Arial" w:cs="Arial" w:eastAsia="Arial" w:hAnsi="Arial"/>
          <w:sz w:val="14"/>
          <w:szCs w:val="14"/>
          <w:color w:val="auto"/>
        </w:rPr>
        <w:t>Represents shares swapped or surrendered to us in connection with the vesting or exercise of stock-based awards.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80"/>
        <w:spacing w:after="0"/>
        <w:rPr>
          <w:sz w:val="20"/>
          <w:szCs w:val="20"/>
          <w:color w:val="auto"/>
        </w:rPr>
      </w:pPr>
      <w:r>
        <w:rPr>
          <w:rFonts w:ascii="Arial" w:cs="Arial" w:eastAsia="Arial" w:hAnsi="Arial"/>
          <w:sz w:val="14"/>
          <w:szCs w:val="14"/>
          <w:color w:val="auto"/>
        </w:rPr>
        <w:t xml:space="preserve">Q2 FY2021 Form 10-Q | </w:t>
      </w:r>
      <w:r>
        <w:rPr>
          <w:rFonts w:ascii="Arial" w:cs="Arial" w:eastAsia="Arial" w:hAnsi="Arial"/>
          <w:sz w:val="14"/>
          <w:szCs w:val="14"/>
          <w:b w:val="1"/>
          <w:bCs w:val="1"/>
          <w:color w:val="auto"/>
        </w:rPr>
        <w:t>H&amp;R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-95885</wp:posOffset>
            </wp:positionV>
            <wp:extent cx="161290" cy="2038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1290" cy="203835"/>
                    </a:xfrm>
                    <a:prstGeom prst="rect">
                      <a:avLst/>
                    </a:prstGeom>
                    <a:noFill/>
                  </pic:spPr>
                </pic:pic>
              </a:graphicData>
            </a:graphic>
          </wp:anchor>
        </w:drawing>
      </w:r>
    </w:p>
    <w:p>
      <w:pPr>
        <w:ind w:left="280" w:hanging="185"/>
        <w:spacing w:after="0"/>
        <w:tabs>
          <w:tab w:leader="none" w:pos="280" w:val="left"/>
        </w:tabs>
        <w:numPr>
          <w:ilvl w:val="0"/>
          <w:numId w:val="5"/>
        </w:numPr>
        <w:rPr>
          <w:rFonts w:ascii="Arial" w:cs="Arial" w:eastAsia="Arial" w:hAnsi="Arial"/>
          <w:sz w:val="14"/>
          <w:szCs w:val="14"/>
          <w:color w:val="FFFFFF"/>
          <w:highlight w:val="black"/>
        </w:rPr>
      </w:pPr>
      <w:r>
        <w:rPr>
          <w:rFonts w:ascii="Arial" w:cs="Arial" w:eastAsia="Arial" w:hAnsi="Arial"/>
          <w:sz w:val="14"/>
          <w:szCs w:val="14"/>
          <w:b w:val="1"/>
          <w:bCs w:val="1"/>
          <w:color w:val="auto"/>
        </w:rPr>
        <w:t>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132715</wp:posOffset>
            </wp:positionV>
            <wp:extent cx="713359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6" w:name="page7"/>
    <w:bookmarkEnd w:id="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6320" w:type="dxa"/>
            <w:vAlign w:val="bottom"/>
            <w:tcBorders>
              <w:top w:val="single" w:sz="8" w:color="auto"/>
              <w:bottom w:val="single" w:sz="8" w:color="auto"/>
            </w:tcBorders>
            <w:gridSpan w:val="11"/>
          </w:tcPr>
          <w:p>
            <w:pPr>
              <w:ind w:left="20"/>
              <w:spacing w:after="0"/>
              <w:rPr>
                <w:sz w:val="20"/>
                <w:szCs w:val="20"/>
                <w:color w:val="auto"/>
              </w:rPr>
            </w:pPr>
            <w:r>
              <w:rPr>
                <w:rFonts w:ascii="Arial" w:cs="Arial" w:eastAsia="Arial" w:hAnsi="Arial"/>
                <w:sz w:val="21"/>
                <w:szCs w:val="21"/>
                <w:b w:val="1"/>
                <w:bCs w:val="1"/>
                <w:color w:val="auto"/>
              </w:rPr>
              <w:t>CONSOLIDATED STATEMENTS OF STOCKHOLDERS' EQUITY</w:t>
            </w:r>
          </w:p>
        </w:tc>
        <w:tc>
          <w:tcPr>
            <w:tcW w:w="10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2820" w:type="dxa"/>
            <w:vAlign w:val="bottom"/>
            <w:tcBorders>
              <w:top w:val="single" w:sz="8" w:color="auto"/>
              <w:bottom w:val="single" w:sz="8" w:color="auto"/>
            </w:tcBorders>
            <w:gridSpan w:val="7"/>
          </w:tcPr>
          <w:p>
            <w:pPr>
              <w:jc w:val="right"/>
              <w:spacing w:after="0"/>
              <w:rPr>
                <w:sz w:val="20"/>
                <w:szCs w:val="20"/>
                <w:color w:val="auto"/>
              </w:rPr>
            </w:pPr>
            <w:r>
              <w:rPr>
                <w:rFonts w:ascii="Arial" w:cs="Arial" w:eastAsia="Arial" w:hAnsi="Arial"/>
                <w:sz w:val="12"/>
                <w:szCs w:val="12"/>
                <w:color w:val="auto"/>
              </w:rPr>
              <w:t>(amounts in 000s, except per share amounts)</w:t>
            </w:r>
          </w:p>
        </w:tc>
        <w:tc>
          <w:tcPr>
            <w:tcW w:w="0" w:type="dxa"/>
            <w:vAlign w:val="bottom"/>
          </w:tcPr>
          <w:p>
            <w:pPr>
              <w:spacing w:after="0"/>
              <w:rPr>
                <w:sz w:val="1"/>
                <w:szCs w:val="1"/>
                <w:color w:val="auto"/>
              </w:rPr>
            </w:pPr>
          </w:p>
        </w:tc>
      </w:tr>
      <w:tr>
        <w:trPr>
          <w:trHeight w:val="141"/>
        </w:trPr>
        <w:tc>
          <w:tcPr>
            <w:tcW w:w="3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gridSpan w:val="5"/>
            <w:vMerge w:val="restart"/>
          </w:tcPr>
          <w:p>
            <w:pPr>
              <w:ind w:left="420"/>
              <w:spacing w:after="0"/>
              <w:rPr>
                <w:sz w:val="20"/>
                <w:szCs w:val="20"/>
                <w:color w:val="auto"/>
              </w:rPr>
            </w:pPr>
            <w:r>
              <w:rPr>
                <w:rFonts w:ascii="Arial" w:cs="Arial" w:eastAsia="Arial" w:hAnsi="Arial"/>
                <w:sz w:val="14"/>
                <w:szCs w:val="14"/>
                <w:color w:val="auto"/>
              </w:rPr>
              <w:t>Common Stock</w:t>
            </w:r>
          </w:p>
        </w:tc>
        <w:tc>
          <w:tcPr>
            <w:tcW w:w="180" w:type="dxa"/>
            <w:vAlign w:val="bottom"/>
          </w:tcPr>
          <w:p>
            <w:pPr>
              <w:spacing w:after="0"/>
              <w:rPr>
                <w:sz w:val="12"/>
                <w:szCs w:val="12"/>
                <w:color w:val="auto"/>
              </w:rPr>
            </w:pPr>
          </w:p>
        </w:tc>
        <w:tc>
          <w:tcPr>
            <w:tcW w:w="80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Additional</w:t>
            </w:r>
          </w:p>
        </w:tc>
        <w:tc>
          <w:tcPr>
            <w:tcW w:w="220" w:type="dxa"/>
            <w:vAlign w:val="bottom"/>
          </w:tcPr>
          <w:p>
            <w:pPr>
              <w:spacing w:after="0"/>
              <w:rPr>
                <w:sz w:val="12"/>
                <w:szCs w:val="12"/>
                <w:color w:val="auto"/>
              </w:rPr>
            </w:pPr>
          </w:p>
        </w:tc>
        <w:tc>
          <w:tcPr>
            <w:tcW w:w="1120" w:type="dxa"/>
            <w:vAlign w:val="bottom"/>
            <w:gridSpan w:val="2"/>
          </w:tcPr>
          <w:p>
            <w:pPr>
              <w:jc w:val="right"/>
              <w:ind w:right="120"/>
              <w:spacing w:after="0" w:line="141" w:lineRule="exact"/>
              <w:rPr>
                <w:sz w:val="20"/>
                <w:szCs w:val="20"/>
                <w:color w:val="auto"/>
              </w:rPr>
            </w:pPr>
            <w:r>
              <w:rPr>
                <w:rFonts w:ascii="Arial" w:cs="Arial" w:eastAsia="Arial" w:hAnsi="Arial"/>
                <w:sz w:val="14"/>
                <w:szCs w:val="14"/>
                <w:color w:val="auto"/>
              </w:rPr>
              <w:t>Accumulated</w:t>
            </w:r>
          </w:p>
        </w:tc>
        <w:tc>
          <w:tcPr>
            <w:tcW w:w="180" w:type="dxa"/>
            <w:vAlign w:val="bottom"/>
          </w:tcPr>
          <w:p>
            <w:pPr>
              <w:spacing w:after="0"/>
              <w:rPr>
                <w:sz w:val="12"/>
                <w:szCs w:val="12"/>
                <w:color w:val="auto"/>
              </w:rPr>
            </w:pPr>
          </w:p>
        </w:tc>
        <w:tc>
          <w:tcPr>
            <w:tcW w:w="80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Retained</w:t>
            </w:r>
          </w:p>
        </w:tc>
        <w:tc>
          <w:tcPr>
            <w:tcW w:w="1920" w:type="dxa"/>
            <w:vAlign w:val="bottom"/>
            <w:gridSpan w:val="5"/>
            <w:vMerge w:val="restart"/>
          </w:tcPr>
          <w:p>
            <w:pPr>
              <w:ind w:left="440"/>
              <w:spacing w:after="0"/>
              <w:rPr>
                <w:sz w:val="20"/>
                <w:szCs w:val="20"/>
                <w:color w:val="auto"/>
              </w:rPr>
            </w:pPr>
            <w:r>
              <w:rPr>
                <w:rFonts w:ascii="Arial" w:cs="Arial" w:eastAsia="Arial" w:hAnsi="Arial"/>
                <w:sz w:val="14"/>
                <w:szCs w:val="14"/>
                <w:color w:val="auto"/>
              </w:rPr>
              <w:t>Treasury Stock</w:t>
            </w:r>
          </w:p>
        </w:tc>
        <w:tc>
          <w:tcPr>
            <w:tcW w:w="1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34"/>
        </w:trPr>
        <w:tc>
          <w:tcPr>
            <w:tcW w:w="3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00" w:type="dxa"/>
            <w:vAlign w:val="bottom"/>
            <w:gridSpan w:val="5"/>
            <w:vMerge w:val="continue"/>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2"/>
          </w:tcPr>
          <w:p>
            <w:pPr>
              <w:ind w:left="620"/>
              <w:spacing w:after="0" w:line="134" w:lineRule="exact"/>
              <w:rPr>
                <w:sz w:val="20"/>
                <w:szCs w:val="20"/>
                <w:color w:val="auto"/>
              </w:rPr>
            </w:pPr>
            <w:r>
              <w:rPr>
                <w:rFonts w:ascii="Arial" w:cs="Arial" w:eastAsia="Arial" w:hAnsi="Arial"/>
                <w:sz w:val="14"/>
                <w:szCs w:val="14"/>
                <w:color w:val="auto"/>
              </w:rPr>
              <w:t>Other</w:t>
            </w:r>
          </w:p>
        </w:tc>
        <w:tc>
          <w:tcPr>
            <w:tcW w:w="18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920" w:type="dxa"/>
            <w:vAlign w:val="bottom"/>
            <w:gridSpan w:val="5"/>
            <w:vMerge w:val="continue"/>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3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gridSpan w:val="2"/>
            <w:vMerge w:val="restart"/>
          </w:tcPr>
          <w:p>
            <w:pPr>
              <w:jc w:val="right"/>
              <w:ind w:right="120"/>
              <w:spacing w:after="0" w:line="134" w:lineRule="exact"/>
              <w:rPr>
                <w:sz w:val="20"/>
                <w:szCs w:val="20"/>
                <w:color w:val="auto"/>
              </w:rPr>
            </w:pPr>
            <w:r>
              <w:rPr>
                <w:rFonts w:ascii="Arial" w:cs="Arial" w:eastAsia="Arial" w:hAnsi="Arial"/>
                <w:sz w:val="14"/>
                <w:szCs w:val="14"/>
                <w:color w:val="auto"/>
              </w:rPr>
              <w:t>Paid-in</w:t>
            </w:r>
          </w:p>
        </w:tc>
        <w:tc>
          <w:tcPr>
            <w:tcW w:w="220" w:type="dxa"/>
            <w:vAlign w:val="bottom"/>
          </w:tcPr>
          <w:p>
            <w:pPr>
              <w:spacing w:after="0"/>
              <w:rPr>
                <w:sz w:val="3"/>
                <w:szCs w:val="3"/>
                <w:color w:val="auto"/>
              </w:rPr>
            </w:pPr>
          </w:p>
        </w:tc>
        <w:tc>
          <w:tcPr>
            <w:tcW w:w="1120" w:type="dxa"/>
            <w:vAlign w:val="bottom"/>
            <w:gridSpan w:val="2"/>
            <w:vMerge w:val="restart"/>
          </w:tcPr>
          <w:p>
            <w:pPr>
              <w:jc w:val="right"/>
              <w:ind w:right="120"/>
              <w:spacing w:after="0" w:line="134" w:lineRule="exact"/>
              <w:rPr>
                <w:sz w:val="20"/>
                <w:szCs w:val="20"/>
                <w:color w:val="auto"/>
              </w:rPr>
            </w:pPr>
            <w:r>
              <w:rPr>
                <w:rFonts w:ascii="Arial" w:cs="Arial" w:eastAsia="Arial" w:hAnsi="Arial"/>
                <w:sz w:val="14"/>
                <w:szCs w:val="14"/>
                <w:color w:val="auto"/>
                <w:w w:val="99"/>
              </w:rPr>
              <w:t>Comprehensive</w:t>
            </w:r>
          </w:p>
        </w:tc>
        <w:tc>
          <w:tcPr>
            <w:tcW w:w="180" w:type="dxa"/>
            <w:vAlign w:val="bottom"/>
          </w:tcPr>
          <w:p>
            <w:pPr>
              <w:spacing w:after="0"/>
              <w:rPr>
                <w:sz w:val="3"/>
                <w:szCs w:val="3"/>
                <w:color w:val="auto"/>
              </w:rPr>
            </w:pPr>
          </w:p>
        </w:tc>
        <w:tc>
          <w:tcPr>
            <w:tcW w:w="800" w:type="dxa"/>
            <w:vAlign w:val="bottom"/>
            <w:gridSpan w:val="2"/>
            <w:vMerge w:val="restart"/>
          </w:tcPr>
          <w:p>
            <w:pPr>
              <w:ind w:left="100"/>
              <w:spacing w:after="0" w:line="134" w:lineRule="exact"/>
              <w:rPr>
                <w:sz w:val="20"/>
                <w:szCs w:val="20"/>
                <w:color w:val="auto"/>
              </w:rPr>
            </w:pPr>
            <w:r>
              <w:rPr>
                <w:rFonts w:ascii="Arial" w:cs="Arial" w:eastAsia="Arial" w:hAnsi="Arial"/>
                <w:sz w:val="14"/>
                <w:szCs w:val="14"/>
                <w:color w:val="auto"/>
              </w:rPr>
              <w:t>Earnings</w:t>
            </w: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gridSpan w:val="2"/>
            <w:vMerge w:val="restart"/>
          </w:tcPr>
          <w:p>
            <w:pPr>
              <w:jc w:val="right"/>
              <w:spacing w:after="0" w:line="134" w:lineRule="exact"/>
              <w:rPr>
                <w:sz w:val="20"/>
                <w:szCs w:val="20"/>
                <w:color w:val="auto"/>
              </w:rPr>
            </w:pPr>
            <w:r>
              <w:rPr>
                <w:rFonts w:ascii="Arial" w:cs="Arial" w:eastAsia="Arial" w:hAnsi="Arial"/>
                <w:sz w:val="14"/>
                <w:szCs w:val="14"/>
                <w:color w:val="auto"/>
              </w:rPr>
              <w:t>Stockholders’</w:t>
            </w:r>
          </w:p>
        </w:tc>
        <w:tc>
          <w:tcPr>
            <w:tcW w:w="0" w:type="dxa"/>
            <w:vAlign w:val="bottom"/>
          </w:tcPr>
          <w:p>
            <w:pPr>
              <w:spacing w:after="0"/>
              <w:rPr>
                <w:sz w:val="1"/>
                <w:szCs w:val="1"/>
                <w:color w:val="auto"/>
              </w:rPr>
            </w:pPr>
          </w:p>
        </w:tc>
      </w:tr>
      <w:tr>
        <w:trPr>
          <w:trHeight w:val="74"/>
        </w:trPr>
        <w:tc>
          <w:tcPr>
            <w:tcW w:w="3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Shares</w:t>
            </w:r>
          </w:p>
        </w:tc>
        <w:tc>
          <w:tcPr>
            <w:tcW w:w="100" w:type="dxa"/>
            <w:vAlign w:val="bottom"/>
            <w:vMerge w:val="restart"/>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Amount</w:t>
            </w:r>
          </w:p>
        </w:tc>
        <w:tc>
          <w:tcPr>
            <w:tcW w:w="100" w:type="dxa"/>
            <w:vAlign w:val="bottom"/>
            <w:vMerge w:val="restart"/>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Shares</w:t>
            </w:r>
          </w:p>
        </w:tc>
        <w:tc>
          <w:tcPr>
            <w:tcW w:w="100" w:type="dxa"/>
            <w:vAlign w:val="bottom"/>
            <w:vMerge w:val="restart"/>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Amount</w:t>
            </w:r>
          </w:p>
        </w:tc>
        <w:tc>
          <w:tcPr>
            <w:tcW w:w="80" w:type="dxa"/>
            <w:vAlign w:val="bottom"/>
            <w:vMerge w:val="restart"/>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4"/>
        </w:trPr>
        <w:tc>
          <w:tcPr>
            <w:tcW w:w="31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Capital</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Income (Loss)</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(Deficit)</w:t>
            </w:r>
          </w:p>
        </w:tc>
        <w:tc>
          <w:tcPr>
            <w:tcW w:w="8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181"/>
        </w:trPr>
        <w:tc>
          <w:tcPr>
            <w:tcW w:w="3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Balances as of May 1, 2019</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238,337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767,636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(20,416)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499,386</w:t>
            </w: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(36,377)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(707,462)</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541,527</w:t>
            </w:r>
          </w:p>
        </w:tc>
        <w:tc>
          <w:tcPr>
            <w:tcW w:w="0" w:type="dxa"/>
            <w:vAlign w:val="bottom"/>
          </w:tcPr>
          <w:p>
            <w:pPr>
              <w:spacing w:after="0"/>
              <w:rPr>
                <w:sz w:val="1"/>
                <w:szCs w:val="1"/>
                <w:color w:val="auto"/>
              </w:rPr>
            </w:pPr>
          </w:p>
        </w:tc>
      </w:tr>
      <w:tr>
        <w:trPr>
          <w:trHeight w:val="187"/>
        </w:trPr>
        <w:tc>
          <w:tcPr>
            <w:tcW w:w="3220" w:type="dxa"/>
            <w:vAlign w:val="bottom"/>
            <w:gridSpan w:val="2"/>
          </w:tcPr>
          <w:p>
            <w:pPr>
              <w:ind w:left="20"/>
              <w:spacing w:after="0"/>
              <w:rPr>
                <w:sz w:val="20"/>
                <w:szCs w:val="20"/>
                <w:color w:val="auto"/>
              </w:rPr>
            </w:pPr>
            <w:r>
              <w:rPr>
                <w:rFonts w:ascii="Arial" w:cs="Arial" w:eastAsia="Arial" w:hAnsi="Arial"/>
                <w:sz w:val="14"/>
                <w:szCs w:val="14"/>
                <w:color w:val="auto"/>
              </w:rPr>
              <w:t>Net loss</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(150,247)</w:t>
            </w:r>
          </w:p>
        </w:tc>
        <w:tc>
          <w:tcPr>
            <w:tcW w:w="8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(150,247)</w:t>
            </w:r>
          </w:p>
        </w:tc>
        <w:tc>
          <w:tcPr>
            <w:tcW w:w="0" w:type="dxa"/>
            <w:vAlign w:val="bottom"/>
          </w:tcPr>
          <w:p>
            <w:pPr>
              <w:spacing w:after="0"/>
              <w:rPr>
                <w:sz w:val="1"/>
                <w:szCs w:val="1"/>
                <w:color w:val="auto"/>
              </w:rPr>
            </w:pPr>
          </w:p>
        </w:tc>
      </w:tr>
      <w:tr>
        <w:trPr>
          <w:trHeight w:val="187"/>
        </w:trPr>
        <w:tc>
          <w:tcPr>
            <w:tcW w:w="3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(2,320)</w:t>
            </w:r>
          </w:p>
        </w:tc>
        <w:tc>
          <w:tcPr>
            <w:tcW w:w="0" w:type="dxa"/>
            <w:vAlign w:val="bottom"/>
          </w:tcPr>
          <w:p>
            <w:pPr>
              <w:spacing w:after="0"/>
              <w:rPr>
                <w:sz w:val="1"/>
                <w:szCs w:val="1"/>
                <w:color w:val="auto"/>
              </w:rPr>
            </w:pPr>
          </w:p>
        </w:tc>
      </w:tr>
      <w:tr>
        <w:trPr>
          <w:trHeight w:val="187"/>
        </w:trPr>
        <w:tc>
          <w:tcPr>
            <w:tcW w:w="3220" w:type="dxa"/>
            <w:vAlign w:val="bottom"/>
            <w:gridSpan w:val="2"/>
          </w:tcPr>
          <w:p>
            <w:pPr>
              <w:ind w:left="20"/>
              <w:spacing w:after="0"/>
              <w:rPr>
                <w:sz w:val="20"/>
                <w:szCs w:val="20"/>
                <w:color w:val="auto"/>
              </w:rPr>
            </w:pPr>
            <w:r>
              <w:rPr>
                <w:rFonts w:ascii="Arial" w:cs="Arial" w:eastAsia="Arial" w:hAnsi="Arial"/>
                <w:sz w:val="14"/>
                <w:szCs w:val="14"/>
                <w:color w:val="auto"/>
              </w:rPr>
              <w:t>Stock-based compensation</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6,557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6,557</w:t>
            </w:r>
          </w:p>
        </w:tc>
        <w:tc>
          <w:tcPr>
            <w:tcW w:w="0" w:type="dxa"/>
            <w:vAlign w:val="bottom"/>
          </w:tcPr>
          <w:p>
            <w:pPr>
              <w:spacing w:after="0"/>
              <w:rPr>
                <w:sz w:val="1"/>
                <w:szCs w:val="1"/>
                <w:color w:val="auto"/>
              </w:rPr>
            </w:pPr>
          </w:p>
        </w:tc>
      </w:tr>
      <w:tr>
        <w:trPr>
          <w:trHeight w:val="187"/>
        </w:trPr>
        <w:tc>
          <w:tcPr>
            <w:tcW w:w="3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Stock-based awards exercised or vested</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(13,789)</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(2,786)</w:t>
            </w: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17,631</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1,056</w:t>
            </w:r>
          </w:p>
        </w:tc>
        <w:tc>
          <w:tcPr>
            <w:tcW w:w="0" w:type="dxa"/>
            <w:vAlign w:val="bottom"/>
          </w:tcPr>
          <w:p>
            <w:pPr>
              <w:spacing w:after="0"/>
              <w:rPr>
                <w:sz w:val="1"/>
                <w:szCs w:val="1"/>
                <w:color w:val="auto"/>
              </w:rPr>
            </w:pPr>
          </w:p>
        </w:tc>
      </w:tr>
      <w:tr>
        <w:trPr>
          <w:trHeight w:val="187"/>
        </w:trPr>
        <w:tc>
          <w:tcPr>
            <w:tcW w:w="3220" w:type="dxa"/>
            <w:vAlign w:val="bottom"/>
            <w:gridSpan w:val="2"/>
          </w:tcPr>
          <w:p>
            <w:pPr>
              <w:ind w:left="20"/>
              <w:spacing w:after="0" w:line="188" w:lineRule="exact"/>
              <w:rPr>
                <w:sz w:val="20"/>
                <w:szCs w:val="20"/>
                <w:color w:val="auto"/>
              </w:rPr>
            </w:pPr>
            <w:r>
              <w:rPr>
                <w:rFonts w:ascii="Arial" w:cs="Arial" w:eastAsia="Arial" w:hAnsi="Arial"/>
                <w:sz w:val="14"/>
                <w:szCs w:val="14"/>
                <w:color w:val="auto"/>
              </w:rPr>
              <w:t>Acquisition of treasury shares</w:t>
            </w:r>
            <w:r>
              <w:rPr>
                <w:rFonts w:ascii="Arial" w:cs="Arial" w:eastAsia="Arial" w:hAnsi="Arial"/>
                <w:sz w:val="18"/>
                <w:szCs w:val="18"/>
                <w:color w:val="auto"/>
                <w:vertAlign w:val="superscript"/>
              </w:rPr>
              <w:t>(1)</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(314)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(9,185)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(9,185)</w:t>
            </w:r>
          </w:p>
        </w:tc>
        <w:tc>
          <w:tcPr>
            <w:tcW w:w="0" w:type="dxa"/>
            <w:vAlign w:val="bottom"/>
          </w:tcPr>
          <w:p>
            <w:pPr>
              <w:spacing w:after="0"/>
              <w:rPr>
                <w:sz w:val="1"/>
                <w:szCs w:val="1"/>
                <w:color w:val="auto"/>
              </w:rPr>
            </w:pPr>
          </w:p>
        </w:tc>
      </w:tr>
      <w:tr>
        <w:trPr>
          <w:trHeight w:val="187"/>
        </w:trPr>
        <w:tc>
          <w:tcPr>
            <w:tcW w:w="3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Repurchase and retirement of common shares</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(43,101)</w:t>
            </w: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(44,072)</w:t>
            </w:r>
          </w:p>
        </w:tc>
        <w:tc>
          <w:tcPr>
            <w:tcW w:w="0" w:type="dxa"/>
            <w:vAlign w:val="bottom"/>
          </w:tcPr>
          <w:p>
            <w:pPr>
              <w:spacing w:after="0"/>
              <w:rPr>
                <w:sz w:val="1"/>
                <w:szCs w:val="1"/>
                <w:color w:val="auto"/>
              </w:rPr>
            </w:pPr>
          </w:p>
        </w:tc>
      </w:tr>
      <w:tr>
        <w:trPr>
          <w:trHeight w:val="187"/>
        </w:trPr>
        <w:tc>
          <w:tcPr>
            <w:tcW w:w="32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Cash dividends declared - $0.26 per share</w:t>
            </w:r>
          </w:p>
        </w:tc>
        <w:tc>
          <w:tcPr>
            <w:tcW w:w="9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(52,512)</w:t>
            </w:r>
          </w:p>
        </w:tc>
        <w:tc>
          <w:tcPr>
            <w:tcW w:w="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(52,512)</w:t>
            </w:r>
          </w:p>
        </w:tc>
        <w:tc>
          <w:tcPr>
            <w:tcW w:w="0" w:type="dxa"/>
            <w:vAlign w:val="bottom"/>
          </w:tcPr>
          <w:p>
            <w:pPr>
              <w:spacing w:after="0"/>
              <w:rPr>
                <w:sz w:val="1"/>
                <w:szCs w:val="1"/>
                <w:color w:val="auto"/>
              </w:rPr>
            </w:pPr>
          </w:p>
        </w:tc>
      </w:tr>
      <w:tr>
        <w:trPr>
          <w:trHeight w:val="181"/>
        </w:trPr>
        <w:tc>
          <w:tcPr>
            <w:tcW w:w="3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Balances as of July 31, 2019</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236,744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759,449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(22,736)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250,740</w:t>
            </w: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(35,785)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(699,016)</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290,804</w:t>
            </w:r>
          </w:p>
        </w:tc>
        <w:tc>
          <w:tcPr>
            <w:tcW w:w="0" w:type="dxa"/>
            <w:vAlign w:val="bottom"/>
          </w:tcPr>
          <w:p>
            <w:pPr>
              <w:spacing w:after="0"/>
              <w:rPr>
                <w:sz w:val="1"/>
                <w:szCs w:val="1"/>
                <w:color w:val="auto"/>
              </w:rPr>
            </w:pPr>
          </w:p>
        </w:tc>
      </w:tr>
      <w:tr>
        <w:trPr>
          <w:trHeight w:val="187"/>
        </w:trPr>
        <w:tc>
          <w:tcPr>
            <w:tcW w:w="3220" w:type="dxa"/>
            <w:vAlign w:val="bottom"/>
            <w:gridSpan w:val="2"/>
          </w:tcPr>
          <w:p>
            <w:pPr>
              <w:ind w:left="20"/>
              <w:spacing w:after="0"/>
              <w:rPr>
                <w:sz w:val="20"/>
                <w:szCs w:val="20"/>
                <w:color w:val="auto"/>
              </w:rPr>
            </w:pPr>
            <w:r>
              <w:rPr>
                <w:rFonts w:ascii="Arial" w:cs="Arial" w:eastAsia="Arial" w:hAnsi="Arial"/>
                <w:sz w:val="14"/>
                <w:szCs w:val="14"/>
                <w:color w:val="auto"/>
              </w:rPr>
              <w:t>Net loss</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(187,999)</w:t>
            </w:r>
          </w:p>
        </w:tc>
        <w:tc>
          <w:tcPr>
            <w:tcW w:w="8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(187,999)</w:t>
            </w:r>
          </w:p>
        </w:tc>
        <w:tc>
          <w:tcPr>
            <w:tcW w:w="0" w:type="dxa"/>
            <w:vAlign w:val="bottom"/>
          </w:tcPr>
          <w:p>
            <w:pPr>
              <w:spacing w:after="0"/>
              <w:rPr>
                <w:sz w:val="1"/>
                <w:szCs w:val="1"/>
                <w:color w:val="auto"/>
              </w:rPr>
            </w:pPr>
          </w:p>
        </w:tc>
      </w:tr>
      <w:tr>
        <w:trPr>
          <w:trHeight w:val="187"/>
        </w:trPr>
        <w:tc>
          <w:tcPr>
            <w:tcW w:w="3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comprehensive income</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919</w:t>
            </w:r>
          </w:p>
        </w:tc>
        <w:tc>
          <w:tcPr>
            <w:tcW w:w="0" w:type="dxa"/>
            <w:vAlign w:val="bottom"/>
          </w:tcPr>
          <w:p>
            <w:pPr>
              <w:spacing w:after="0"/>
              <w:rPr>
                <w:sz w:val="1"/>
                <w:szCs w:val="1"/>
                <w:color w:val="auto"/>
              </w:rPr>
            </w:pPr>
          </w:p>
        </w:tc>
      </w:tr>
      <w:tr>
        <w:trPr>
          <w:trHeight w:val="187"/>
        </w:trPr>
        <w:tc>
          <w:tcPr>
            <w:tcW w:w="3220" w:type="dxa"/>
            <w:vAlign w:val="bottom"/>
            <w:gridSpan w:val="2"/>
          </w:tcPr>
          <w:p>
            <w:pPr>
              <w:ind w:left="20"/>
              <w:spacing w:after="0"/>
              <w:rPr>
                <w:sz w:val="20"/>
                <w:szCs w:val="20"/>
                <w:color w:val="auto"/>
              </w:rPr>
            </w:pPr>
            <w:r>
              <w:rPr>
                <w:rFonts w:ascii="Arial" w:cs="Arial" w:eastAsia="Arial" w:hAnsi="Arial"/>
                <w:sz w:val="14"/>
                <w:szCs w:val="14"/>
                <w:color w:val="auto"/>
              </w:rPr>
              <w:t>Stock-based compensation</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9,331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9,331</w:t>
            </w:r>
          </w:p>
        </w:tc>
        <w:tc>
          <w:tcPr>
            <w:tcW w:w="0" w:type="dxa"/>
            <w:vAlign w:val="bottom"/>
          </w:tcPr>
          <w:p>
            <w:pPr>
              <w:spacing w:after="0"/>
              <w:rPr>
                <w:sz w:val="1"/>
                <w:szCs w:val="1"/>
                <w:color w:val="auto"/>
              </w:rPr>
            </w:pPr>
          </w:p>
        </w:tc>
      </w:tr>
      <w:tr>
        <w:trPr>
          <w:trHeight w:val="187"/>
        </w:trPr>
        <w:tc>
          <w:tcPr>
            <w:tcW w:w="3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Stock-based awards exercised or vested</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w:t>
            </w: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264</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187"/>
        </w:trPr>
        <w:tc>
          <w:tcPr>
            <w:tcW w:w="3220" w:type="dxa"/>
            <w:vAlign w:val="bottom"/>
            <w:gridSpan w:val="2"/>
          </w:tcPr>
          <w:p>
            <w:pPr>
              <w:ind w:left="20"/>
              <w:spacing w:after="0" w:line="188" w:lineRule="exact"/>
              <w:rPr>
                <w:sz w:val="20"/>
                <w:szCs w:val="20"/>
                <w:color w:val="auto"/>
              </w:rPr>
            </w:pPr>
            <w:r>
              <w:rPr>
                <w:rFonts w:ascii="Arial" w:cs="Arial" w:eastAsia="Arial" w:hAnsi="Arial"/>
                <w:sz w:val="14"/>
                <w:szCs w:val="14"/>
                <w:color w:val="auto"/>
              </w:rPr>
              <w:t>Acquisition of treasury shares</w:t>
            </w:r>
            <w:r>
              <w:rPr>
                <w:rFonts w:ascii="Arial" w:cs="Arial" w:eastAsia="Arial" w:hAnsi="Arial"/>
                <w:sz w:val="18"/>
                <w:szCs w:val="18"/>
                <w:color w:val="auto"/>
                <w:vertAlign w:val="superscript"/>
              </w:rPr>
              <w:t>(1)</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(173)</w:t>
            </w:r>
          </w:p>
        </w:tc>
        <w:tc>
          <w:tcPr>
            <w:tcW w:w="0" w:type="dxa"/>
            <w:vAlign w:val="bottom"/>
          </w:tcPr>
          <w:p>
            <w:pPr>
              <w:spacing w:after="0"/>
              <w:rPr>
                <w:sz w:val="1"/>
                <w:szCs w:val="1"/>
                <w:color w:val="auto"/>
              </w:rPr>
            </w:pPr>
          </w:p>
        </w:tc>
      </w:tr>
      <w:tr>
        <w:trPr>
          <w:trHeight w:val="187"/>
        </w:trPr>
        <w:tc>
          <w:tcPr>
            <w:tcW w:w="3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Repurchase and retirement of common shares</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(5,720)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(3,433)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(133,449)</w:t>
            </w: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(136,939)</w:t>
            </w:r>
          </w:p>
        </w:tc>
        <w:tc>
          <w:tcPr>
            <w:tcW w:w="0" w:type="dxa"/>
            <w:vAlign w:val="bottom"/>
          </w:tcPr>
          <w:p>
            <w:pPr>
              <w:spacing w:after="0"/>
              <w:rPr>
                <w:sz w:val="1"/>
                <w:szCs w:val="1"/>
                <w:color w:val="auto"/>
              </w:rPr>
            </w:pPr>
          </w:p>
        </w:tc>
      </w:tr>
      <w:tr>
        <w:trPr>
          <w:trHeight w:val="187"/>
        </w:trPr>
        <w:tc>
          <w:tcPr>
            <w:tcW w:w="3220" w:type="dxa"/>
            <w:vAlign w:val="bottom"/>
            <w:gridSpan w:val="2"/>
          </w:tcPr>
          <w:p>
            <w:pPr>
              <w:ind w:left="20"/>
              <w:spacing w:after="0"/>
              <w:rPr>
                <w:sz w:val="20"/>
                <w:szCs w:val="20"/>
                <w:color w:val="auto"/>
              </w:rPr>
            </w:pPr>
            <w:r>
              <w:rPr>
                <w:rFonts w:ascii="Arial" w:cs="Arial" w:eastAsia="Arial" w:hAnsi="Arial"/>
                <w:sz w:val="14"/>
                <w:szCs w:val="14"/>
                <w:color w:val="auto"/>
              </w:rPr>
              <w:t>Cash dividends declared - $0.26 per share</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(51,551)</w:t>
            </w:r>
          </w:p>
        </w:tc>
        <w:tc>
          <w:tcPr>
            <w:tcW w:w="8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(51,551)</w:t>
            </w:r>
          </w:p>
        </w:tc>
        <w:tc>
          <w:tcPr>
            <w:tcW w:w="0" w:type="dxa"/>
            <w:vAlign w:val="bottom"/>
          </w:tcPr>
          <w:p>
            <w:pPr>
              <w:spacing w:after="0"/>
              <w:rPr>
                <w:sz w:val="1"/>
                <w:szCs w:val="1"/>
                <w:color w:val="auto"/>
              </w:rPr>
            </w:pPr>
          </w:p>
        </w:tc>
      </w:tr>
      <w:tr>
        <w:trPr>
          <w:trHeight w:val="181"/>
        </w:trPr>
        <w:tc>
          <w:tcPr>
            <w:tcW w:w="32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Balances as of October 31, 2019</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231,024</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2,310</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765,220</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(21,817)</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(122,535)</w:t>
            </w:r>
          </w:p>
        </w:tc>
        <w:tc>
          <w:tcPr>
            <w:tcW w:w="8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(35,778)</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(698,925)</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(75,747)</w:t>
            </w:r>
          </w:p>
        </w:tc>
        <w:tc>
          <w:tcPr>
            <w:tcW w:w="0" w:type="dxa"/>
            <w:vAlign w:val="bottom"/>
          </w:tcPr>
          <w:p>
            <w:pPr>
              <w:spacing w:after="0"/>
              <w:rPr>
                <w:sz w:val="1"/>
                <w:szCs w:val="1"/>
                <w:color w:val="auto"/>
              </w:rPr>
            </w:pPr>
          </w:p>
        </w:tc>
      </w:tr>
      <w:tr>
        <w:trPr>
          <w:trHeight w:val="34"/>
        </w:trPr>
        <w:tc>
          <w:tcPr>
            <w:tcW w:w="3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54" w:lineRule="exact"/>
        <w:rPr>
          <w:sz w:val="20"/>
          <w:szCs w:val="20"/>
          <w:color w:val="auto"/>
        </w:rPr>
      </w:pPr>
    </w:p>
    <w:p>
      <w:pPr>
        <w:ind w:left="280" w:hanging="273"/>
        <w:spacing w:after="0"/>
        <w:tabs>
          <w:tab w:leader="none" w:pos="280" w:val="left"/>
        </w:tabs>
        <w:numPr>
          <w:ilvl w:val="0"/>
          <w:numId w:val="6"/>
        </w:numPr>
        <w:rPr>
          <w:rFonts w:ascii="Arial" w:cs="Arial" w:eastAsia="Arial" w:hAnsi="Arial"/>
          <w:sz w:val="9"/>
          <w:szCs w:val="9"/>
          <w:color w:val="auto"/>
        </w:rPr>
      </w:pPr>
      <w:r>
        <w:rPr>
          <w:rFonts w:ascii="Arial" w:cs="Arial" w:eastAsia="Arial" w:hAnsi="Arial"/>
          <w:sz w:val="14"/>
          <w:szCs w:val="14"/>
          <w:color w:val="auto"/>
        </w:rPr>
        <w:t>Represents shares swapped or surrendered to us in connection with the vesting or exercise of stock-based awards.</w:t>
      </w:r>
    </w:p>
    <w:p>
      <w:pPr>
        <w:spacing w:after="0" w:line="10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868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Q2 FY2021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6967855</wp:posOffset>
            </wp:positionH>
            <wp:positionV relativeFrom="paragraph">
              <wp:posOffset>-95885</wp:posOffset>
            </wp:positionV>
            <wp:extent cx="170180" cy="2038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0180" cy="203835"/>
                    </a:xfrm>
                    <a:prstGeom prst="rect">
                      <a:avLst/>
                    </a:prstGeom>
                    <a:noFill/>
                  </pic:spPr>
                </pic:pic>
              </a:graphicData>
            </a:graphic>
          </wp:anchor>
        </w:drawing>
      </w:r>
    </w:p>
    <w:p>
      <w:pPr>
        <w:ind w:left="10640"/>
        <w:spacing w:after="0"/>
        <w:rPr>
          <w:sz w:val="20"/>
          <w:szCs w:val="20"/>
          <w:color w:val="auto"/>
        </w:rPr>
      </w:pPr>
      <w:r>
        <w:rPr>
          <w:rFonts w:ascii="Arial" w:cs="Arial" w:eastAsia="Arial" w:hAnsi="Arial"/>
          <w:sz w:val="14"/>
          <w:szCs w:val="14"/>
          <w:color w:val="auto"/>
        </w:rPr>
        <w:t xml:space="preserve">10-Q  </w:t>
      </w:r>
      <w:r>
        <w:rPr>
          <w:rFonts w:ascii="Arial" w:cs="Arial" w:eastAsia="Arial" w:hAnsi="Arial"/>
          <w:sz w:val="14"/>
          <w:szCs w:val="14"/>
          <w:color w:val="FFFFFF"/>
          <w:highlight w:val="black"/>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124460</wp:posOffset>
            </wp:positionV>
            <wp:extent cx="713359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7" w:name="page8"/>
    <w:bookmarkEnd w:id="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tabs>
          <w:tab w:leader="none" w:pos="6540" w:val="left"/>
        </w:tabs>
        <w:rPr>
          <w:sz w:val="20"/>
          <w:szCs w:val="20"/>
          <w:color w:val="auto"/>
        </w:rPr>
      </w:pPr>
      <w:r>
        <w:rPr>
          <w:rFonts w:ascii="Arial" w:cs="Arial" w:eastAsia="Arial" w:hAnsi="Arial"/>
          <w:sz w:val="21"/>
          <w:szCs w:val="21"/>
          <w:b w:val="1"/>
          <w:bCs w:val="1"/>
          <w:color w:val="auto"/>
        </w:rPr>
        <w:t>NOTES TO CONSOLIDATED FINANCIAL STATEMENTS</w:t>
      </w:r>
      <w:r>
        <w:rPr>
          <w:sz w:val="20"/>
          <w:szCs w:val="20"/>
          <w:color w:val="auto"/>
        </w:rPr>
        <w:tab/>
      </w:r>
      <w:r>
        <w:rPr>
          <w:rFonts w:ascii="Arial" w:cs="Arial" w:eastAsia="Arial" w:hAnsi="Arial"/>
          <w:sz w:val="21"/>
          <w:szCs w:val="21"/>
          <w:color w:val="auto"/>
        </w:rPr>
        <w:t>(unaudited)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11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color w:val="auto"/>
        </w:rPr>
        <w:t>– The consolidated balance sheets as of October 31, 2020 and 2019, the consolidated statements of operations</w:t>
      </w:r>
      <w:r>
        <w:rPr>
          <w:rFonts w:ascii="Arial" w:cs="Arial" w:eastAsia="Arial" w:hAnsi="Arial"/>
          <w:sz w:val="18"/>
          <w:szCs w:val="18"/>
          <w:b w:val="1"/>
          <w:bCs w:val="1"/>
          <w:color w:val="auto"/>
        </w:rPr>
        <w:t xml:space="preserve"> </w:t>
      </w:r>
      <w:r>
        <w:rPr>
          <w:rFonts w:ascii="Arial" w:cs="Arial" w:eastAsia="Arial" w:hAnsi="Arial"/>
          <w:sz w:val="18"/>
          <w:szCs w:val="18"/>
          <w:color w:val="auto"/>
        </w:rPr>
        <w:t>and comprehensive loss for the three and six months ended October 31, 2020 and 2019, the consolidated statements of cash flows for the six months ended October 31, 2020 and 2019, and the consolidated statements of stockholders' equity for the three and six months ended October 31, 2020 and 2019 have been prepared by the Company, without audit. In the opinion of management, all adjustments, which include only normal recurring adjustments, necessary to present fairly the financial position, results of operations, and cash flows as of October 31, 2020 and 2019 and for all periods presented, have been made.</w:t>
      </w:r>
    </w:p>
    <w:p>
      <w:pPr>
        <w:spacing w:after="0" w:line="70" w:lineRule="exact"/>
        <w:rPr>
          <w:sz w:val="20"/>
          <w:szCs w:val="20"/>
          <w:color w:val="auto"/>
        </w:rPr>
      </w:pPr>
    </w:p>
    <w:p>
      <w:pPr>
        <w:jc w:val="both"/>
        <w:ind w:firstLine="201"/>
        <w:spacing w:after="0" w:line="286" w:lineRule="auto"/>
        <w:rPr>
          <w:sz w:val="20"/>
          <w:szCs w:val="20"/>
          <w:color w:val="auto"/>
        </w:rPr>
      </w:pPr>
      <w:r>
        <w:rPr>
          <w:rFonts w:ascii="Arial" w:cs="Arial" w:eastAsia="Arial" w:hAnsi="Arial"/>
          <w:sz w:val="18"/>
          <w:szCs w:val="18"/>
          <w:color w:val="auto"/>
        </w:rPr>
        <w:t>"H&amp;R Block," "the Company," "we," "our," and "us" are used interchangeably to refer to H&amp;R Block, Inc. or to H&amp;R Block, Inc. and its subsidiaries, as appropriate to the context.</w:t>
      </w:r>
    </w:p>
    <w:p>
      <w:pPr>
        <w:spacing w:after="0" w:line="42" w:lineRule="exact"/>
        <w:rPr>
          <w:sz w:val="20"/>
          <w:szCs w:val="20"/>
          <w:color w:val="auto"/>
        </w:rPr>
      </w:pPr>
    </w:p>
    <w:p>
      <w:pPr>
        <w:jc w:val="both"/>
        <w:ind w:firstLine="201"/>
        <w:spacing w:after="0" w:line="260"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accounting principles generally accepted in the United States (GAAP) have been condensed or omitted. These consolidated financial statements should be read in conjunction with the financial statements and notes thereto included in our April 30, 2020 Annual Report to Shareholders on Form 10-K. All amounts presented herein as of April 30, 2020 or for the year then ended are derived from our Annual Report on Form 10-K.</w:t>
      </w:r>
    </w:p>
    <w:p>
      <w:pPr>
        <w:spacing w:after="0" w:line="65" w:lineRule="exact"/>
        <w:rPr>
          <w:sz w:val="20"/>
          <w:szCs w:val="20"/>
          <w:color w:val="auto"/>
        </w:rPr>
      </w:pPr>
    </w:p>
    <w:p>
      <w:pPr>
        <w:jc w:val="both"/>
        <w:ind w:firstLine="201"/>
        <w:spacing w:after="0" w:line="255" w:lineRule="auto"/>
        <w:rPr>
          <w:sz w:val="20"/>
          <w:szCs w:val="20"/>
          <w:color w:val="auto"/>
        </w:rPr>
      </w:pPr>
      <w:r>
        <w:rPr>
          <w:rFonts w:ascii="Arial" w:cs="Arial" w:eastAsia="Arial" w:hAnsi="Arial"/>
          <w:sz w:val="18"/>
          <w:szCs w:val="18"/>
          <w:b w:val="1"/>
          <w:bCs w:val="1"/>
          <w:color w:val="auto"/>
        </w:rPr>
        <w:t xml:space="preserve">MANAGEMENT ESTIMATES </w:t>
      </w:r>
      <w:r>
        <w:rPr>
          <w:rFonts w:ascii="Arial" w:cs="Arial" w:eastAsia="Arial" w:hAnsi="Arial"/>
          <w:sz w:val="18"/>
          <w:szCs w:val="18"/>
          <w:color w:val="auto"/>
        </w:rPr>
        <w:t>– The preparation of financial statements in conformity with GAAP requires management to make estimates</w:t>
      </w:r>
      <w:r>
        <w:rPr>
          <w:rFonts w:ascii="Arial" w:cs="Arial" w:eastAsia="Arial" w:hAnsi="Arial"/>
          <w:sz w:val="18"/>
          <w:szCs w:val="18"/>
          <w:b w:val="1"/>
          <w:bCs w:val="1"/>
          <w:color w:val="auto"/>
        </w:rPr>
        <w:t xml:space="preserve"> </w:t>
      </w:r>
      <w:r>
        <w:rPr>
          <w:rFonts w:ascii="Arial" w:cs="Arial" w:eastAsia="Arial" w:hAnsi="Arial"/>
          <w:sz w:val="18"/>
          <w:szCs w:val="18"/>
          <w:color w:val="auto"/>
        </w:rPr>
        <w:t>and assumptions that affect the reported amounts of assets and liabilities and disclosure of contingent assets and liabilities at the date of the financial statements and the reported amounts of revenues and expenses during the reporting periods. Significant estimates, assumptions and judgments are applied in the evaluation of contingent losses arising from our discontinued mortgage business, contingent losses associated with pending claims and litigation, reserves for uncertain tax positions, fair value of reporting units, and related matters. Estimates have been prepared based on the best information available as of each balance sheet date. As such, actual results could differ materially from those estimates.</w:t>
      </w:r>
    </w:p>
    <w:p>
      <w:pPr>
        <w:spacing w:after="0" w:line="67" w:lineRule="exact"/>
        <w:rPr>
          <w:sz w:val="20"/>
          <w:szCs w:val="20"/>
          <w:color w:val="auto"/>
        </w:rPr>
      </w:pPr>
    </w:p>
    <w:p>
      <w:pPr>
        <w:jc w:val="both"/>
        <w:ind w:firstLine="201"/>
        <w:spacing w:after="0" w:line="253" w:lineRule="auto"/>
        <w:rPr>
          <w:sz w:val="20"/>
          <w:szCs w:val="20"/>
          <w:color w:val="auto"/>
        </w:rPr>
      </w:pPr>
      <w:r>
        <w:rPr>
          <w:rFonts w:ascii="Arial" w:cs="Arial" w:eastAsia="Arial" w:hAnsi="Arial"/>
          <w:sz w:val="18"/>
          <w:szCs w:val="18"/>
          <w:b w:val="1"/>
          <w:bCs w:val="1"/>
          <w:color w:val="auto"/>
        </w:rPr>
        <w:t xml:space="preserve">SEASONALITY OF BUSINESS </w:t>
      </w:r>
      <w:r>
        <w:rPr>
          <w:rFonts w:ascii="Arial" w:cs="Arial" w:eastAsia="Arial" w:hAnsi="Arial"/>
          <w:sz w:val="18"/>
          <w:szCs w:val="18"/>
          <w:color w:val="auto"/>
        </w:rPr>
        <w:t>– Because the majority of our clients file their tax returns during the period from February through April in a</w:t>
      </w:r>
      <w:r>
        <w:rPr>
          <w:rFonts w:ascii="Arial" w:cs="Arial" w:eastAsia="Arial" w:hAnsi="Arial"/>
          <w:sz w:val="18"/>
          <w:szCs w:val="18"/>
          <w:b w:val="1"/>
          <w:bCs w:val="1"/>
          <w:color w:val="auto"/>
        </w:rPr>
        <w:t xml:space="preserve"> </w:t>
      </w:r>
      <w:r>
        <w:rPr>
          <w:rFonts w:ascii="Arial" w:cs="Arial" w:eastAsia="Arial" w:hAnsi="Arial"/>
          <w:sz w:val="18"/>
          <w:szCs w:val="18"/>
          <w:color w:val="auto"/>
        </w:rPr>
        <w:t>typical year, a substantial majority of our revenues from income tax return preparation and related services and products are earned during this period. As a result, we generally operate at a loss through the first three quarters of our fiscal year. As a result of the COVID-19 pandemic, on March 21, 2020, the federal tax filing deadline in the United States (U.S.) for individual 2019 tax returns was extended from April 15, 2020 to July 15, 2020. Substantially all U.S. states with an April 15 individual state income tax filing requirement extended their respective deadlines. In Canada, the deadline for individuals to file was extended to June 1, 2020. These extensions impacted the typical seasonality of our business and the comparability of our financial results. Consequently, a portion of revenues and expenses that would have normally been recognized in our fourth quarter of fiscal year 2020 shifted to the first two quarters of fiscal year 2021. Results for interim periods are not indicative of results to be expected for the full fiscal year.</w:t>
      </w:r>
    </w:p>
    <w:p>
      <w:pPr>
        <w:spacing w:after="0" w:line="71" w:lineRule="exact"/>
        <w:rPr>
          <w:sz w:val="20"/>
          <w:szCs w:val="20"/>
          <w:color w:val="auto"/>
        </w:rPr>
      </w:pPr>
    </w:p>
    <w:p>
      <w:pPr>
        <w:jc w:val="both"/>
        <w:ind w:firstLine="201"/>
        <w:spacing w:after="0" w:line="268" w:lineRule="auto"/>
        <w:rPr>
          <w:sz w:val="20"/>
          <w:szCs w:val="20"/>
          <w:color w:val="auto"/>
        </w:rPr>
      </w:pPr>
      <w:r>
        <w:rPr>
          <w:rFonts w:ascii="Arial" w:cs="Arial" w:eastAsia="Arial" w:hAnsi="Arial"/>
          <w:sz w:val="18"/>
          <w:szCs w:val="18"/>
          <w:b w:val="1"/>
          <w:bCs w:val="1"/>
          <w:color w:val="auto"/>
        </w:rPr>
        <w:t xml:space="preserve">DISCONTINUED OPERATIONS </w:t>
      </w:r>
      <w:r>
        <w:rPr>
          <w:rFonts w:ascii="Arial" w:cs="Arial" w:eastAsia="Arial" w:hAnsi="Arial"/>
          <w:sz w:val="18"/>
          <w:szCs w:val="18"/>
          <w:color w:val="auto"/>
        </w:rPr>
        <w:t>– Our discontinued operations include the results of operations of Sand Canyon Corporation, previously</w:t>
      </w:r>
      <w:r>
        <w:rPr>
          <w:rFonts w:ascii="Arial" w:cs="Arial" w:eastAsia="Arial" w:hAnsi="Arial"/>
          <w:sz w:val="18"/>
          <w:szCs w:val="18"/>
          <w:b w:val="1"/>
          <w:bCs w:val="1"/>
          <w:color w:val="auto"/>
        </w:rPr>
        <w:t xml:space="preserve"> </w:t>
      </w:r>
      <w:r>
        <w:rPr>
          <w:rFonts w:ascii="Arial" w:cs="Arial" w:eastAsia="Arial" w:hAnsi="Arial"/>
          <w:sz w:val="18"/>
          <w:szCs w:val="18"/>
          <w:color w:val="auto"/>
        </w:rPr>
        <w:t>known as Option One Mortgage Corporation (including its subsidiaries, collectively, SCC), which exited its mortgage business in fiscal year 2008. See note 10 for additional information on litigation, claims, and other loss contingencies related to our discontinued operations.</w:t>
      </w:r>
    </w:p>
    <w:p>
      <w:pPr>
        <w:spacing w:after="0" w:line="5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NEW ACCOUNTING PRONOUNCEMENTS </w:t>
      </w:r>
      <w:r>
        <w:rPr>
          <w:rFonts w:ascii="Arial" w:cs="Arial" w:eastAsia="Arial" w:hAnsi="Arial"/>
          <w:sz w:val="18"/>
          <w:szCs w:val="18"/>
          <w:color w:val="auto"/>
        </w:rPr>
        <w:t>–</w:t>
      </w:r>
    </w:p>
    <w:p>
      <w:pPr>
        <w:spacing w:after="0" w:line="114" w:lineRule="exact"/>
        <w:rPr>
          <w:sz w:val="20"/>
          <w:szCs w:val="20"/>
          <w:color w:val="auto"/>
        </w:rPr>
      </w:pPr>
    </w:p>
    <w:p>
      <w:pPr>
        <w:jc w:val="both"/>
        <w:ind w:firstLine="241"/>
        <w:spacing w:after="0" w:line="261" w:lineRule="auto"/>
        <w:rPr>
          <w:sz w:val="20"/>
          <w:szCs w:val="20"/>
          <w:color w:val="auto"/>
        </w:rPr>
      </w:pPr>
      <w:r>
        <w:rPr>
          <w:rFonts w:ascii="Arial" w:cs="Arial" w:eastAsia="Arial" w:hAnsi="Arial"/>
          <w:sz w:val="18"/>
          <w:szCs w:val="18"/>
          <w:b w:val="1"/>
          <w:bCs w:val="1"/>
          <w:color w:val="auto"/>
        </w:rPr>
        <w:t xml:space="preserve">Current Expected Credit Losses. </w:t>
      </w:r>
      <w:r>
        <w:rPr>
          <w:rFonts w:ascii="Arial" w:cs="Arial" w:eastAsia="Arial" w:hAnsi="Arial"/>
          <w:sz w:val="18"/>
          <w:szCs w:val="18"/>
          <w:color w:val="auto"/>
        </w:rPr>
        <w:t>In June 2016, the Financial Accounting Standards Board issued Accounting Standards Update No.</w:t>
      </w:r>
      <w:r>
        <w:rPr>
          <w:rFonts w:ascii="Arial" w:cs="Arial" w:eastAsia="Arial" w:hAnsi="Arial"/>
          <w:sz w:val="18"/>
          <w:szCs w:val="18"/>
          <w:b w:val="1"/>
          <w:bCs w:val="1"/>
          <w:color w:val="auto"/>
        </w:rPr>
        <w:t xml:space="preserve"> </w:t>
      </w:r>
      <w:r>
        <w:rPr>
          <w:rFonts w:ascii="Arial" w:cs="Arial" w:eastAsia="Arial" w:hAnsi="Arial"/>
          <w:sz w:val="18"/>
          <w:szCs w:val="18"/>
          <w:color w:val="auto"/>
        </w:rPr>
        <w:t>2016-13 (ASU 2016-13), "Measurement of Credit Losses on Financial Instruments," which replaces the existing incurred credit loss model for an expected credit loss model. We adopted ASU 2016-13 as of May 1, 2020, which did not have a material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60" w:hanging="225"/>
        <w:spacing w:after="0"/>
        <w:tabs>
          <w:tab w:leader="none" w:pos="360" w:val="left"/>
        </w:tabs>
        <w:numPr>
          <w:ilvl w:val="0"/>
          <w:numId w:val="7"/>
        </w:numPr>
        <w:rPr>
          <w:rFonts w:ascii="Arial" w:cs="Arial" w:eastAsia="Arial" w:hAnsi="Arial"/>
          <w:sz w:val="14"/>
          <w:szCs w:val="14"/>
          <w:color w:val="FFFFFF"/>
          <w:highlight w:val="black"/>
        </w:rPr>
      </w:pPr>
      <w:r>
        <w:rPr>
          <w:rFonts w:ascii="Arial" w:cs="Arial" w:eastAsia="Arial" w:hAnsi="Arial"/>
          <w:sz w:val="14"/>
          <w:szCs w:val="14"/>
          <w:color w:val="auto"/>
        </w:rPr>
        <w:t xml:space="preserve">Q2 FY2021 Form 10-Q | </w:t>
      </w:r>
      <w:r>
        <w:rPr>
          <w:rFonts w:ascii="Arial" w:cs="Arial" w:eastAsia="Arial" w:hAnsi="Arial"/>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145415</wp:posOffset>
            </wp:positionV>
            <wp:extent cx="713359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3590"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-100330</wp:posOffset>
            </wp:positionV>
            <wp:extent cx="212725" cy="1187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2725" cy="118745"/>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8" w:name="page9"/>
    <w:bookmarkEnd w:id="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REVENUE RECOGNITION</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8"/>
          <w:szCs w:val="18"/>
          <w:color w:val="auto"/>
        </w:rPr>
        <w:t>The majority of our revenues are from our U.S. Tax Services business. The following table disaggregates our U.S. Tax Services revenues by major service line, with revenues from our international tax services businesses and from Wave included as separate lines: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(in 000s)</w:t>
            </w:r>
          </w:p>
        </w:tc>
      </w:tr>
      <w:tr>
        <w:trPr>
          <w:trHeight w:val="208"/>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00" w:type="dxa"/>
            <w:vAlign w:val="bottom"/>
            <w:gridSpan w:val="5"/>
          </w:tcPr>
          <w:p>
            <w:pPr>
              <w:ind w:left="180"/>
              <w:spacing w:after="0"/>
              <w:rPr>
                <w:sz w:val="20"/>
                <w:szCs w:val="20"/>
                <w:color w:val="auto"/>
              </w:rPr>
            </w:pPr>
            <w:r>
              <w:rPr>
                <w:rFonts w:ascii="Arial" w:cs="Arial" w:eastAsia="Arial" w:hAnsi="Arial"/>
                <w:sz w:val="16"/>
                <w:szCs w:val="16"/>
                <w:color w:val="auto"/>
              </w:rPr>
              <w:t>Three months ended October 31,</w:t>
            </w:r>
          </w:p>
        </w:tc>
        <w:tc>
          <w:tcPr>
            <w:tcW w:w="340" w:type="dxa"/>
            <w:vAlign w:val="bottom"/>
          </w:tcPr>
          <w:p>
            <w:pPr>
              <w:spacing w:after="0"/>
              <w:rPr>
                <w:sz w:val="18"/>
                <w:szCs w:val="18"/>
                <w:color w:val="auto"/>
              </w:rPr>
            </w:pPr>
          </w:p>
        </w:tc>
        <w:tc>
          <w:tcPr>
            <w:tcW w:w="2920" w:type="dxa"/>
            <w:vAlign w:val="bottom"/>
            <w:gridSpan w:val="4"/>
          </w:tcPr>
          <w:p>
            <w:pPr>
              <w:jc w:val="right"/>
              <w:ind w:right="460"/>
              <w:spacing w:after="0"/>
              <w:rPr>
                <w:sz w:val="20"/>
                <w:szCs w:val="20"/>
                <w:color w:val="auto"/>
              </w:rPr>
            </w:pPr>
            <w:r>
              <w:rPr>
                <w:rFonts w:ascii="Arial" w:cs="Arial" w:eastAsia="Arial" w:hAnsi="Arial"/>
                <w:sz w:val="16"/>
                <w:szCs w:val="16"/>
                <w:color w:val="auto"/>
              </w:rPr>
              <w:t>Six months ended October 31,</w:t>
            </w:r>
          </w:p>
        </w:tc>
      </w:tr>
      <w:tr>
        <w:trPr>
          <w:trHeight w:val="208"/>
        </w:trPr>
        <w:tc>
          <w:tcPr>
            <w:tcW w:w="45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2019</w:t>
            </w:r>
          </w:p>
        </w:tc>
        <w:tc>
          <w:tcPr>
            <w:tcW w:w="12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2019</w:t>
            </w:r>
          </w:p>
        </w:tc>
      </w:tr>
      <w:tr>
        <w:trPr>
          <w:trHeight w:val="208"/>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4"/>
        </w:trPr>
        <w:tc>
          <w:tcPr>
            <w:tcW w:w="4620" w:type="dxa"/>
            <w:vAlign w:val="bottom"/>
            <w:gridSpan w:val="2"/>
          </w:tcPr>
          <w:p>
            <w:pPr>
              <w:ind w:left="140"/>
              <w:spacing w:after="0"/>
              <w:rPr>
                <w:sz w:val="20"/>
                <w:szCs w:val="20"/>
                <w:color w:val="auto"/>
              </w:rPr>
            </w:pPr>
            <w:r>
              <w:rPr>
                <w:rFonts w:ascii="Arial" w:cs="Arial" w:eastAsia="Arial" w:hAnsi="Arial"/>
                <w:sz w:val="16"/>
                <w:szCs w:val="16"/>
                <w:color w:val="auto"/>
              </w:rPr>
              <w:t>U.S. assisted tax preparation</w:t>
            </w:r>
          </w:p>
        </w:tc>
        <w:tc>
          <w:tcPr>
            <w:tcW w:w="260" w:type="dxa"/>
            <w:vAlign w:val="bottom"/>
          </w:tcPr>
          <w:p>
            <w:pPr>
              <w:jc w:val="right"/>
              <w:ind w:right="80"/>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48,922</w:t>
            </w:r>
          </w:p>
        </w:tc>
        <w:tc>
          <w:tcPr>
            <w:tcW w:w="120" w:type="dxa"/>
            <w:vAlign w:val="bottom"/>
          </w:tcPr>
          <w:p>
            <w:pPr>
              <w:spacing w:after="0"/>
              <w:rPr>
                <w:sz w:val="18"/>
                <w:szCs w:val="18"/>
                <w:color w:val="auto"/>
              </w:rPr>
            </w:pPr>
          </w:p>
        </w:tc>
        <w:tc>
          <w:tcPr>
            <w:tcW w:w="520" w:type="dxa"/>
            <w:vAlign w:val="bottom"/>
          </w:tcPr>
          <w:p>
            <w:pPr>
              <w:jc w:val="right"/>
              <w:ind w:right="340"/>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41,226</w:t>
            </w:r>
          </w:p>
        </w:tc>
        <w:tc>
          <w:tcPr>
            <w:tcW w:w="120" w:type="dxa"/>
            <w:vAlign w:val="bottom"/>
          </w:tcPr>
          <w:p>
            <w:pPr>
              <w:spacing w:after="0"/>
              <w:rPr>
                <w:sz w:val="18"/>
                <w:szCs w:val="18"/>
                <w:color w:val="auto"/>
              </w:rPr>
            </w:pPr>
          </w:p>
        </w:tc>
        <w:tc>
          <w:tcPr>
            <w:tcW w:w="340" w:type="dxa"/>
            <w:vAlign w:val="bottom"/>
          </w:tcPr>
          <w:p>
            <w:pPr>
              <w:jc w:val="right"/>
              <w:ind w:right="140"/>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386,650</w:t>
            </w:r>
          </w:p>
        </w:tc>
        <w:tc>
          <w:tcPr>
            <w:tcW w:w="120" w:type="dxa"/>
            <w:vAlign w:val="bottom"/>
          </w:tcPr>
          <w:p>
            <w:pPr>
              <w:spacing w:after="0"/>
              <w:rPr>
                <w:sz w:val="18"/>
                <w:szCs w:val="18"/>
                <w:color w:val="auto"/>
              </w:rPr>
            </w:pPr>
          </w:p>
        </w:tc>
        <w:tc>
          <w:tcPr>
            <w:tcW w:w="520" w:type="dxa"/>
            <w:vAlign w:val="bottom"/>
          </w:tcPr>
          <w:p>
            <w:pPr>
              <w:jc w:val="right"/>
              <w:ind w:right="340"/>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74,218</w:t>
            </w:r>
          </w:p>
        </w:tc>
      </w:tr>
      <w:tr>
        <w:trPr>
          <w:trHeight w:val="214"/>
        </w:trPr>
        <w:tc>
          <w:tcPr>
            <w:tcW w:w="46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U.S. royalties</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7,576</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7,820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43,525</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14,679</w:t>
            </w:r>
          </w:p>
        </w:tc>
      </w:tr>
      <w:tr>
        <w:trPr>
          <w:trHeight w:val="214"/>
        </w:trPr>
        <w:tc>
          <w:tcPr>
            <w:tcW w:w="4620" w:type="dxa"/>
            <w:vAlign w:val="bottom"/>
            <w:gridSpan w:val="2"/>
          </w:tcPr>
          <w:p>
            <w:pPr>
              <w:ind w:left="140"/>
              <w:spacing w:after="0"/>
              <w:rPr>
                <w:sz w:val="20"/>
                <w:szCs w:val="20"/>
                <w:color w:val="auto"/>
              </w:rPr>
            </w:pPr>
            <w:r>
              <w:rPr>
                <w:rFonts w:ascii="Arial" w:cs="Arial" w:eastAsia="Arial" w:hAnsi="Arial"/>
                <w:sz w:val="16"/>
                <w:szCs w:val="16"/>
                <w:color w:val="auto"/>
              </w:rPr>
              <w:t>U.S. DIY tax preparation</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5,055</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4,541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72,650</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7,951</w:t>
            </w:r>
          </w:p>
        </w:tc>
      </w:tr>
      <w:tr>
        <w:trPr>
          <w:trHeight w:val="214"/>
        </w:trPr>
        <w:tc>
          <w:tcPr>
            <w:tcW w:w="46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International</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48,858</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44,926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116,676</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85,507</w:t>
            </w:r>
          </w:p>
        </w:tc>
      </w:tr>
      <w:tr>
        <w:trPr>
          <w:trHeight w:val="214"/>
        </w:trPr>
        <w:tc>
          <w:tcPr>
            <w:tcW w:w="4620" w:type="dxa"/>
            <w:vAlign w:val="bottom"/>
            <w:gridSpan w:val="2"/>
          </w:tcPr>
          <w:p>
            <w:pPr>
              <w:ind w:left="140"/>
              <w:spacing w:after="0"/>
              <w:rPr>
                <w:sz w:val="20"/>
                <w:szCs w:val="20"/>
                <w:color w:val="auto"/>
              </w:rPr>
            </w:pPr>
            <w:r>
              <w:rPr>
                <w:rFonts w:ascii="Arial" w:cs="Arial" w:eastAsia="Arial" w:hAnsi="Arial"/>
                <w:sz w:val="16"/>
                <w:szCs w:val="16"/>
                <w:color w:val="auto"/>
              </w:rPr>
              <w:t>Refund Transfers</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1,192</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791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11,745</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2,300</w:t>
            </w:r>
          </w:p>
        </w:tc>
      </w:tr>
      <w:tr>
        <w:trPr>
          <w:trHeight w:val="214"/>
        </w:trPr>
        <w:tc>
          <w:tcPr>
            <w:tcW w:w="46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Emerald Card</w:t>
            </w:r>
            <w:r>
              <w:rPr>
                <w:rFonts w:ascii="Arial" w:cs="Arial" w:eastAsia="Arial" w:hAnsi="Arial"/>
                <w:sz w:val="16"/>
                <w:szCs w:val="16"/>
                <w:b w:val="1"/>
                <w:bCs w:val="1"/>
                <w:color w:val="auto"/>
              </w:rPr>
              <w:t>®</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9,795</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8,616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26,850</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22,471</w:t>
            </w:r>
          </w:p>
        </w:tc>
      </w:tr>
      <w:tr>
        <w:trPr>
          <w:trHeight w:val="214"/>
        </w:trPr>
        <w:tc>
          <w:tcPr>
            <w:tcW w:w="4620" w:type="dxa"/>
            <w:vAlign w:val="bottom"/>
            <w:gridSpan w:val="2"/>
          </w:tcPr>
          <w:p>
            <w:pPr>
              <w:ind w:left="140"/>
              <w:spacing w:after="0"/>
              <w:rPr>
                <w:sz w:val="20"/>
                <w:szCs w:val="20"/>
                <w:color w:val="auto"/>
              </w:rPr>
            </w:pPr>
            <w:r>
              <w:rPr>
                <w:rFonts w:ascii="Arial" w:cs="Arial" w:eastAsia="Arial" w:hAnsi="Arial"/>
                <w:sz w:val="16"/>
                <w:szCs w:val="16"/>
                <w:color w:val="auto"/>
              </w:rPr>
              <w:t>Peace of Mind® Extended Service Plan</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24,775</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25,660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56,770</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58,497</w:t>
            </w:r>
          </w:p>
        </w:tc>
      </w:tr>
      <w:tr>
        <w:trPr>
          <w:trHeight w:val="214"/>
        </w:trPr>
        <w:tc>
          <w:tcPr>
            <w:tcW w:w="46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Tax Identity Shield®</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4,835</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14,202</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9,170</w:t>
            </w:r>
          </w:p>
        </w:tc>
      </w:tr>
      <w:tr>
        <w:trPr>
          <w:trHeight w:val="214"/>
        </w:trPr>
        <w:tc>
          <w:tcPr>
            <w:tcW w:w="4620" w:type="dxa"/>
            <w:vAlign w:val="bottom"/>
            <w:gridSpan w:val="2"/>
          </w:tcPr>
          <w:p>
            <w:pPr>
              <w:ind w:left="140"/>
              <w:spacing w:after="0" w:line="214" w:lineRule="exact"/>
              <w:rPr>
                <w:sz w:val="20"/>
                <w:szCs w:val="20"/>
                <w:color w:val="auto"/>
              </w:rPr>
            </w:pPr>
            <w:r>
              <w:rPr>
                <w:rFonts w:ascii="Arial" w:cs="Arial" w:eastAsia="Arial" w:hAnsi="Arial"/>
                <w:sz w:val="16"/>
                <w:szCs w:val="16"/>
                <w:color w:val="auto"/>
              </w:rPr>
              <w:t>Interest and fee income on Emerald Advance</w:t>
            </w:r>
            <w:r>
              <w:rPr>
                <w:rFonts w:ascii="Arial" w:cs="Arial" w:eastAsia="Arial" w:hAnsi="Arial"/>
                <w:sz w:val="20"/>
                <w:szCs w:val="20"/>
                <w:color w:val="auto"/>
                <w:vertAlign w:val="superscript"/>
              </w:rPr>
              <w:t>TM</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501</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485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1,164</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1,039</w:t>
            </w:r>
          </w:p>
        </w:tc>
      </w:tr>
      <w:tr>
        <w:trPr>
          <w:trHeight w:val="214"/>
        </w:trPr>
        <w:tc>
          <w:tcPr>
            <w:tcW w:w="46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Wave</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14,327</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10,902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26,394</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14,527</w:t>
            </w:r>
          </w:p>
        </w:tc>
      </w:tr>
      <w:tr>
        <w:trPr>
          <w:trHeight w:val="214"/>
        </w:trPr>
        <w:tc>
          <w:tcPr>
            <w:tcW w:w="462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10,714</w:t>
            </w:r>
          </w:p>
        </w:tc>
        <w:tc>
          <w:tcPr>
            <w:tcW w:w="1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11,186</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20,954</w:t>
            </w:r>
          </w:p>
        </w:tc>
        <w:tc>
          <w:tcPr>
            <w:tcW w:w="1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20,804</w:t>
            </w:r>
          </w:p>
        </w:tc>
      </w:tr>
      <w:tr>
        <w:trPr>
          <w:trHeight w:val="208"/>
        </w:trPr>
        <w:tc>
          <w:tcPr>
            <w:tcW w:w="46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Total revenues</w:t>
            </w: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176,550</w:t>
            </w:r>
          </w:p>
        </w:tc>
        <w:tc>
          <w:tcPr>
            <w:tcW w:w="1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4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160,801</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777,580</w:t>
            </w:r>
          </w:p>
        </w:tc>
        <w:tc>
          <w:tcPr>
            <w:tcW w:w="1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4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311,163</w:t>
            </w:r>
          </w:p>
        </w:tc>
      </w:tr>
      <w:tr>
        <w:trPr>
          <w:trHeight w:val="34"/>
        </w:trPr>
        <w:tc>
          <w:tcPr>
            <w:tcW w:w="4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16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Changes in the balances of deferred revenue and wages for our Peace of Mind® Extended Service Plan (POM) are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(in 000s)</w:t>
            </w:r>
          </w:p>
        </w:tc>
      </w:tr>
      <w:tr>
        <w:trPr>
          <w:trHeight w:val="208"/>
        </w:trPr>
        <w:tc>
          <w:tcPr>
            <w:tcW w:w="5060" w:type="dxa"/>
            <w:vAlign w:val="bottom"/>
            <w:gridSpan w:val="2"/>
          </w:tcPr>
          <w:p>
            <w:pPr>
              <w:ind w:left="20"/>
              <w:spacing w:after="0"/>
              <w:rPr>
                <w:sz w:val="20"/>
                <w:szCs w:val="20"/>
                <w:color w:val="auto"/>
              </w:rPr>
            </w:pPr>
            <w:r>
              <w:rPr>
                <w:rFonts w:ascii="Arial" w:cs="Arial" w:eastAsia="Arial" w:hAnsi="Arial"/>
                <w:sz w:val="16"/>
                <w:szCs w:val="16"/>
                <w:b w:val="1"/>
                <w:bCs w:val="1"/>
                <w:color w:val="auto"/>
              </w:rPr>
              <w:t>POM</w:t>
            </w:r>
          </w:p>
        </w:tc>
        <w:tc>
          <w:tcPr>
            <w:tcW w:w="460" w:type="dxa"/>
            <w:vAlign w:val="bottom"/>
          </w:tcPr>
          <w:p>
            <w:pPr>
              <w:spacing w:after="0"/>
              <w:rPr>
                <w:sz w:val="18"/>
                <w:szCs w:val="18"/>
                <w:color w:val="auto"/>
              </w:rPr>
            </w:pPr>
          </w:p>
        </w:tc>
        <w:tc>
          <w:tcPr>
            <w:tcW w:w="1800" w:type="dxa"/>
            <w:vAlign w:val="bottom"/>
            <w:gridSpan w:val="3"/>
          </w:tcPr>
          <w:p>
            <w:pPr>
              <w:jc w:val="right"/>
              <w:spacing w:after="0"/>
              <w:rPr>
                <w:sz w:val="20"/>
                <w:szCs w:val="20"/>
                <w:color w:val="auto"/>
              </w:rPr>
            </w:pPr>
            <w:r>
              <w:rPr>
                <w:rFonts w:ascii="Arial" w:cs="Arial" w:eastAsia="Arial" w:hAnsi="Arial"/>
                <w:sz w:val="16"/>
                <w:szCs w:val="16"/>
                <w:color w:val="auto"/>
              </w:rPr>
              <w:t>Deferred Revenue</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60" w:type="dxa"/>
            <w:vAlign w:val="bottom"/>
            <w:gridSpan w:val="3"/>
          </w:tcPr>
          <w:p>
            <w:pPr>
              <w:jc w:val="right"/>
              <w:ind w:right="100"/>
              <w:spacing w:after="0"/>
              <w:rPr>
                <w:sz w:val="20"/>
                <w:szCs w:val="20"/>
                <w:color w:val="auto"/>
              </w:rPr>
            </w:pPr>
            <w:r>
              <w:rPr>
                <w:rFonts w:ascii="Arial" w:cs="Arial" w:eastAsia="Arial" w:hAnsi="Arial"/>
                <w:sz w:val="16"/>
                <w:szCs w:val="16"/>
                <w:color w:val="auto"/>
              </w:rPr>
              <w:t>Deferred Wages</w:t>
            </w:r>
          </w:p>
        </w:tc>
        <w:tc>
          <w:tcPr>
            <w:tcW w:w="760" w:type="dxa"/>
            <w:vAlign w:val="bottom"/>
          </w:tcPr>
          <w:p>
            <w:pPr>
              <w:spacing w:after="0"/>
              <w:rPr>
                <w:sz w:val="18"/>
                <w:szCs w:val="18"/>
                <w:color w:val="auto"/>
              </w:rPr>
            </w:pPr>
          </w:p>
        </w:tc>
      </w:tr>
      <w:tr>
        <w:trPr>
          <w:trHeight w:val="208"/>
        </w:trPr>
        <w:tc>
          <w:tcPr>
            <w:tcW w:w="49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Six months ended October 31,</w:t>
            </w:r>
          </w:p>
        </w:tc>
        <w:tc>
          <w:tcPr>
            <w:tcW w:w="12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2019</w:t>
            </w:r>
          </w:p>
        </w:tc>
        <w:tc>
          <w:tcPr>
            <w:tcW w:w="12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2019</w:t>
            </w:r>
          </w:p>
        </w:tc>
      </w:tr>
      <w:tr>
        <w:trPr>
          <w:trHeight w:val="208"/>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beginning of the period</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183,685</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00"/>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212,511</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20"/>
              <w:spacing w:after="0"/>
              <w:rPr>
                <w:sz w:val="20"/>
                <w:szCs w:val="20"/>
                <w:color w:val="auto"/>
              </w:rPr>
            </w:pPr>
            <w:r>
              <w:rPr>
                <w:rFonts w:ascii="Arial" w:cs="Arial" w:eastAsia="Arial" w:hAnsi="Arial"/>
                <w:sz w:val="16"/>
                <w:szCs w:val="16"/>
                <w:b w:val="1"/>
                <w:bCs w:val="1"/>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21,618</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27,306</w:t>
            </w:r>
          </w:p>
        </w:tc>
      </w:tr>
      <w:tr>
        <w:trPr>
          <w:trHeight w:val="214"/>
        </w:trPr>
        <w:tc>
          <w:tcPr>
            <w:tcW w:w="5060" w:type="dxa"/>
            <w:vAlign w:val="bottom"/>
            <w:gridSpan w:val="2"/>
          </w:tcPr>
          <w:p>
            <w:pPr>
              <w:ind w:left="20"/>
              <w:spacing w:after="0"/>
              <w:rPr>
                <w:sz w:val="20"/>
                <w:szCs w:val="20"/>
                <w:color w:val="auto"/>
              </w:rPr>
            </w:pPr>
            <w:r>
              <w:rPr>
                <w:rFonts w:ascii="Arial" w:cs="Arial" w:eastAsia="Arial" w:hAnsi="Arial"/>
                <w:sz w:val="16"/>
                <w:szCs w:val="16"/>
                <w:color w:val="auto"/>
              </w:rPr>
              <w:t>Amounts deferred</w:t>
            </w: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20,954</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4,222</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139</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29</w:t>
            </w:r>
          </w:p>
        </w:tc>
      </w:tr>
      <w:tr>
        <w:trPr>
          <w:trHeight w:val="214"/>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Amounts recognized on previous deferrals</w:t>
            </w:r>
          </w:p>
        </w:tc>
        <w:tc>
          <w:tcPr>
            <w:tcW w:w="4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(66,088)</w:t>
            </w:r>
          </w:p>
        </w:tc>
        <w:tc>
          <w:tcPr>
            <w:tcW w:w="1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(68,088)</w:t>
            </w:r>
          </w:p>
        </w:tc>
        <w:tc>
          <w:tcPr>
            <w:tcW w:w="1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(7,541)</w:t>
            </w:r>
          </w:p>
        </w:tc>
        <w:tc>
          <w:tcPr>
            <w:tcW w:w="1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(9,430)</w:t>
            </w:r>
          </w:p>
        </w:tc>
      </w:tr>
      <w:tr>
        <w:trPr>
          <w:trHeight w:val="246"/>
        </w:trPr>
        <w:tc>
          <w:tcPr>
            <w:tcW w:w="50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Balance, end of the period</w:t>
            </w:r>
          </w:p>
        </w:tc>
        <w:tc>
          <w:tcPr>
            <w:tcW w:w="46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138,551</w:t>
            </w:r>
          </w:p>
        </w:tc>
        <w:tc>
          <w:tcPr>
            <w:tcW w:w="12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jc w:val="right"/>
              <w:ind w:right="500"/>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148,645</w:t>
            </w:r>
          </w:p>
        </w:tc>
        <w:tc>
          <w:tcPr>
            <w:tcW w:w="12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14,216</w:t>
            </w:r>
          </w:p>
        </w:tc>
        <w:tc>
          <w:tcPr>
            <w:tcW w:w="120" w:type="dxa"/>
            <w:vAlign w:val="bottom"/>
            <w:tcBorders>
              <w:bottom w:val="single" w:sz="8" w:color="CCEEFF"/>
            </w:tcBorders>
          </w:tcPr>
          <w:p>
            <w:pPr>
              <w:spacing w:after="0"/>
              <w:rPr>
                <w:sz w:val="20"/>
                <w:szCs w:val="20"/>
                <w:color w:val="auto"/>
              </w:rPr>
            </w:pPr>
          </w:p>
        </w:tc>
        <w:tc>
          <w:tcPr>
            <w:tcW w:w="700" w:type="dxa"/>
            <w:vAlign w:val="bottom"/>
            <w:tcBorders>
              <w:bottom w:val="single" w:sz="8" w:color="auto"/>
            </w:tcBorders>
          </w:tcPr>
          <w:p>
            <w:pPr>
              <w:jc w:val="right"/>
              <w:ind w:right="50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17,905</w:t>
            </w:r>
          </w:p>
        </w:tc>
      </w:tr>
      <w:tr>
        <w:trPr>
          <w:trHeight w:val="20"/>
        </w:trPr>
        <w:tc>
          <w:tcPr>
            <w:tcW w:w="494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460" w:type="dxa"/>
            <w:vAlign w:val="bottom"/>
            <w:tcBorders>
              <w:top w:val="single" w:sz="8" w:color="CCEEFF"/>
            </w:tcBorders>
            <w:shd w:val="clear" w:color="auto" w:fill="000000"/>
          </w:tcPr>
          <w:p>
            <w:pPr>
              <w:spacing w:after="0" w:line="20" w:lineRule="exact"/>
              <w:rPr>
                <w:sz w:val="1"/>
                <w:szCs w:val="1"/>
                <w:color w:val="auto"/>
              </w:rPr>
            </w:pPr>
          </w:p>
        </w:tc>
        <w:tc>
          <w:tcPr>
            <w:tcW w:w="100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680" w:type="dxa"/>
            <w:vAlign w:val="bottom"/>
            <w:tcBorders>
              <w:top w:val="single" w:sz="8" w:color="CCEEFF"/>
            </w:tcBorders>
            <w:shd w:val="clear" w:color="auto" w:fill="000000"/>
          </w:tcPr>
          <w:p>
            <w:pPr>
              <w:spacing w:after="0" w:line="20" w:lineRule="exact"/>
              <w:rPr>
                <w:sz w:val="1"/>
                <w:szCs w:val="1"/>
                <w:color w:val="auto"/>
              </w:rPr>
            </w:pPr>
          </w:p>
        </w:tc>
        <w:tc>
          <w:tcPr>
            <w:tcW w:w="76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500" w:type="dxa"/>
            <w:vAlign w:val="bottom"/>
            <w:tcBorders>
              <w:top w:val="single" w:sz="8" w:color="CCEEFF"/>
            </w:tcBorders>
            <w:shd w:val="clear" w:color="auto" w:fill="000000"/>
          </w:tcPr>
          <w:p>
            <w:pPr>
              <w:spacing w:after="0" w:line="20" w:lineRule="exact"/>
              <w:rPr>
                <w:sz w:val="1"/>
                <w:szCs w:val="1"/>
                <w:color w:val="auto"/>
              </w:rPr>
            </w:pPr>
          </w:p>
        </w:tc>
        <w:tc>
          <w:tcPr>
            <w:tcW w:w="94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700" w:type="dxa"/>
            <w:vAlign w:val="bottom"/>
            <w:tcBorders>
              <w:top w:val="single" w:sz="8" w:color="CCEEFF"/>
            </w:tcBorders>
            <w:shd w:val="clear" w:color="auto" w:fill="000000"/>
          </w:tcPr>
          <w:p>
            <w:pPr>
              <w:spacing w:after="0" w:line="20" w:lineRule="exact"/>
              <w:rPr>
                <w:sz w:val="1"/>
                <w:szCs w:val="1"/>
                <w:color w:val="auto"/>
              </w:rPr>
            </w:pPr>
          </w:p>
        </w:tc>
        <w:tc>
          <w:tcPr>
            <w:tcW w:w="760" w:type="dxa"/>
            <w:vAlign w:val="bottom"/>
            <w:tcBorders>
              <w:top w:val="single" w:sz="8" w:color="CCEEFF"/>
            </w:tcBorders>
            <w:shd w:val="clear" w:color="auto" w:fill="000000"/>
          </w:tcPr>
          <w:p>
            <w:pPr>
              <w:spacing w:after="0" w:line="20" w:lineRule="exact"/>
              <w:rPr>
                <w:sz w:val="1"/>
                <w:szCs w:val="1"/>
                <w:color w:val="auto"/>
              </w:rPr>
            </w:pPr>
          </w:p>
        </w:tc>
      </w:tr>
    </w:tbl>
    <w:p>
      <w:pPr>
        <w:spacing w:after="0" w:line="178" w:lineRule="exact"/>
        <w:rPr>
          <w:sz w:val="20"/>
          <w:szCs w:val="20"/>
          <w:color w:val="auto"/>
        </w:rPr>
      </w:pPr>
    </w:p>
    <w:p>
      <w:pPr>
        <w:jc w:val="both"/>
        <w:ind w:firstLine="241"/>
        <w:spacing w:after="0" w:line="286" w:lineRule="auto"/>
        <w:rPr>
          <w:sz w:val="20"/>
          <w:szCs w:val="20"/>
          <w:color w:val="auto"/>
        </w:rPr>
      </w:pPr>
      <w:r>
        <w:rPr>
          <w:rFonts w:ascii="Arial" w:cs="Arial" w:eastAsia="Arial" w:hAnsi="Arial"/>
          <w:sz w:val="18"/>
          <w:szCs w:val="18"/>
          <w:color w:val="auto"/>
        </w:rPr>
        <w:t>As of October 31, 2020, deferred revenue related to POM was $ 138.6 million. We expect that $96.7 million will be recognized over the next twelve months, while the remaining balance will be recognized over the following sixty months.</w:t>
      </w:r>
    </w:p>
    <w:p>
      <w:pPr>
        <w:spacing w:after="0" w:line="42" w:lineRule="exact"/>
        <w:rPr>
          <w:sz w:val="20"/>
          <w:szCs w:val="20"/>
          <w:color w:val="auto"/>
        </w:rPr>
      </w:pPr>
    </w:p>
    <w:p>
      <w:pPr>
        <w:jc w:val="both"/>
        <w:ind w:firstLine="241"/>
        <w:spacing w:after="0" w:line="267" w:lineRule="auto"/>
        <w:rPr>
          <w:sz w:val="20"/>
          <w:szCs w:val="20"/>
          <w:color w:val="auto"/>
        </w:rPr>
      </w:pPr>
      <w:r>
        <w:rPr>
          <w:rFonts w:ascii="Arial" w:cs="Arial" w:eastAsia="Arial" w:hAnsi="Arial"/>
          <w:sz w:val="18"/>
          <w:szCs w:val="18"/>
          <w:color w:val="auto"/>
        </w:rPr>
        <w:t>As of October 31, 2020 and 2019, Tax Identity Shield® (TIS) deferred revenue was $20.3 million and $21.0 million, respectively. Deferred revenue related to TIS was $30.8 million and $29.7 million at April 30, 2020 and 2019, respectively. All deferred revenue related to TIS will be recognized within the next six months.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EARNINGS (LOSS) PER SHARE AND STOCKHOLDERS' EQUITY</w:t>
      </w:r>
    </w:p>
    <w:p>
      <w:pPr>
        <w:spacing w:after="0" w:line="11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EARNINGS (LOSS) PER SHARE </w:t>
      </w:r>
      <w:r>
        <w:rPr>
          <w:rFonts w:ascii="Arial" w:cs="Arial" w:eastAsia="Arial" w:hAnsi="Arial"/>
          <w:sz w:val="18"/>
          <w:szCs w:val="18"/>
          <w:color w:val="auto"/>
        </w:rPr>
        <w:t>– Basic and diluted earnings (loss) per share is computed using the two-class method. The two-class</w:t>
      </w:r>
      <w:r>
        <w:rPr>
          <w:rFonts w:ascii="Arial" w:cs="Arial" w:eastAsia="Arial" w:hAnsi="Arial"/>
          <w:sz w:val="18"/>
          <w:szCs w:val="18"/>
          <w:b w:val="1"/>
          <w:bCs w:val="1"/>
          <w:color w:val="auto"/>
        </w:rPr>
        <w:t xml:space="preserve"> </w:t>
      </w:r>
      <w:r>
        <w:rPr>
          <w:rFonts w:ascii="Arial" w:cs="Arial" w:eastAsia="Arial" w:hAnsi="Arial"/>
          <w:sz w:val="18"/>
          <w:szCs w:val="18"/>
          <w:color w:val="auto"/>
        </w:rPr>
        <w:t>method is an earnings allocation formula that determines net income per share for each class of common stock and participating security according to dividends declared and participation rights in undistributed earnings. Per share amounts are computed by dividing net income or loss from continuing operations attributable to common shareholders by the weighted average shares outstanding during each period. The dilutive effect of potential common shares is included in diluted earnings per share except in those periods with a loss from continuing operations. Diluted earnings per share excludes the impact of shares of common stock issuable upon the lapse of certain restrictions or the exercise of options to purchase 5.1 million shares for the three and six months ended October 31, 2020 and 3.7 million shares for the three and six months ended October 31, 2019, as the effect would be antidilutive due to the net loss from continuing operations during those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8220"/>
        <w:spacing w:after="0"/>
        <w:tabs>
          <w:tab w:leader="none" w:pos="11000" w:val="left"/>
        </w:tabs>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Q2 FY2021 Form 10-Q</w:t>
      </w:r>
      <w:r>
        <w:rPr>
          <w:sz w:val="20"/>
          <w:szCs w:val="20"/>
          <w:color w:val="auto"/>
        </w:rPr>
        <w:tab/>
      </w:r>
      <w:r>
        <w:rPr>
          <w:rFonts w:ascii="Arial" w:cs="Arial" w:eastAsia="Arial" w:hAnsi="Arial"/>
          <w:sz w:val="14"/>
          <w:szCs w:val="14"/>
          <w:color w:val="FFFFFF"/>
          <w:highlight w:val="black"/>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145415</wp:posOffset>
            </wp:positionV>
            <wp:extent cx="713359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3590" cy="17145"/>
                    </a:xfrm>
                    <a:prstGeom prst="rect">
                      <a:avLst/>
                    </a:prstGeom>
                    <a:noFill/>
                  </pic:spPr>
                </pic:pic>
              </a:graphicData>
            </a:graphic>
          </wp:anchor>
        </w:drawing>
        <w:drawing>
          <wp:anchor simplePos="0" relativeHeight="251657728" behindDoc="1" locked="0" layoutInCell="0" allowOverlap="1">
            <wp:simplePos x="0" y="0"/>
            <wp:positionH relativeFrom="column">
              <wp:posOffset>6908165</wp:posOffset>
            </wp:positionH>
            <wp:positionV relativeFrom="paragraph">
              <wp:posOffset>-100330</wp:posOffset>
            </wp:positionV>
            <wp:extent cx="229870" cy="1187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29870" cy="118745"/>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9" w:name="page10"/>
    <w:bookmarkEnd w:id="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computations of basic and diluted loss per share from continuing operations are as follows:</w:t>
      </w:r>
    </w:p>
    <w:p>
      <w:pPr>
        <w:spacing w:after="0" w:line="151" w:lineRule="exact"/>
        <w:rPr>
          <w:sz w:val="20"/>
          <w:szCs w:val="20"/>
          <w:color w:val="auto"/>
        </w:rPr>
      </w:pPr>
    </w:p>
    <w:p>
      <w:pPr>
        <w:ind w:left="8940"/>
        <w:spacing w:after="0"/>
        <w:rPr>
          <w:sz w:val="20"/>
          <w:szCs w:val="20"/>
          <w:color w:val="auto"/>
        </w:rPr>
      </w:pPr>
      <w:r>
        <w:rPr>
          <w:rFonts w:ascii="Arial" w:cs="Arial" w:eastAsia="Arial" w:hAnsi="Arial"/>
          <w:sz w:val="14"/>
          <w:szCs w:val="14"/>
          <w:color w:val="auto"/>
        </w:rPr>
        <w:t>(in 000s, except per share amounts)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5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3100" w:type="dxa"/>
            <w:vAlign w:val="bottom"/>
            <w:tcBorders>
              <w:top w:val="single" w:sz="8" w:color="auto"/>
            </w:tcBorders>
            <w:gridSpan w:val="5"/>
          </w:tcPr>
          <w:p>
            <w:pPr>
              <w:ind w:left="180"/>
              <w:spacing w:after="0"/>
              <w:rPr>
                <w:sz w:val="20"/>
                <w:szCs w:val="20"/>
                <w:color w:val="auto"/>
              </w:rPr>
            </w:pPr>
            <w:r>
              <w:rPr>
                <w:rFonts w:ascii="Arial" w:cs="Arial" w:eastAsia="Arial" w:hAnsi="Arial"/>
                <w:sz w:val="16"/>
                <w:szCs w:val="16"/>
                <w:color w:val="auto"/>
              </w:rPr>
              <w:t>Three months ended October 31,</w:t>
            </w:r>
          </w:p>
        </w:tc>
        <w:tc>
          <w:tcPr>
            <w:tcW w:w="340" w:type="dxa"/>
            <w:vAlign w:val="bottom"/>
            <w:tcBorders>
              <w:top w:val="single" w:sz="8" w:color="auto"/>
            </w:tcBorders>
          </w:tcPr>
          <w:p>
            <w:pPr>
              <w:spacing w:after="0"/>
              <w:rPr>
                <w:sz w:val="18"/>
                <w:szCs w:val="18"/>
                <w:color w:val="auto"/>
              </w:rPr>
            </w:pPr>
          </w:p>
        </w:tc>
        <w:tc>
          <w:tcPr>
            <w:tcW w:w="2920" w:type="dxa"/>
            <w:vAlign w:val="bottom"/>
            <w:tcBorders>
              <w:top w:val="single" w:sz="8" w:color="auto"/>
            </w:tcBorders>
            <w:gridSpan w:val="4"/>
          </w:tcPr>
          <w:p>
            <w:pPr>
              <w:jc w:val="right"/>
              <w:ind w:right="460"/>
              <w:spacing w:after="0"/>
              <w:rPr>
                <w:sz w:val="20"/>
                <w:szCs w:val="20"/>
                <w:color w:val="auto"/>
              </w:rPr>
            </w:pPr>
            <w:r>
              <w:rPr>
                <w:rFonts w:ascii="Arial" w:cs="Arial" w:eastAsia="Arial" w:hAnsi="Arial"/>
                <w:sz w:val="16"/>
                <w:szCs w:val="16"/>
                <w:color w:val="auto"/>
              </w:rPr>
              <w:t>Six months ended October 31,</w:t>
            </w:r>
          </w:p>
        </w:tc>
        <w:tc>
          <w:tcPr>
            <w:tcW w:w="0" w:type="dxa"/>
            <w:vAlign w:val="bottom"/>
          </w:tcPr>
          <w:p>
            <w:pPr>
              <w:spacing w:after="0"/>
              <w:rPr>
                <w:sz w:val="1"/>
                <w:szCs w:val="1"/>
                <w:color w:val="auto"/>
              </w:rPr>
            </w:pPr>
          </w:p>
        </w:tc>
      </w:tr>
      <w:tr>
        <w:trPr>
          <w:trHeight w:val="208"/>
        </w:trPr>
        <w:tc>
          <w:tcPr>
            <w:tcW w:w="45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2019</w:t>
            </w:r>
          </w:p>
        </w:tc>
        <w:tc>
          <w:tcPr>
            <w:tcW w:w="12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2019</w:t>
            </w:r>
          </w:p>
        </w:tc>
        <w:tc>
          <w:tcPr>
            <w:tcW w:w="0" w:type="dxa"/>
            <w:vAlign w:val="bottom"/>
          </w:tcPr>
          <w:p>
            <w:pPr>
              <w:spacing w:after="0"/>
              <w:rPr>
                <w:sz w:val="1"/>
                <w:szCs w:val="1"/>
                <w:color w:val="auto"/>
              </w:rPr>
            </w:pPr>
          </w:p>
        </w:tc>
      </w:tr>
      <w:tr>
        <w:trPr>
          <w:trHeight w:val="154"/>
        </w:trPr>
        <w:tc>
          <w:tcPr>
            <w:tcW w:w="4500" w:type="dxa"/>
            <w:vAlign w:val="bottom"/>
            <w:shd w:val="clear" w:color="auto" w:fill="CCEEFF"/>
          </w:tcPr>
          <w:p>
            <w:pPr>
              <w:ind w:left="20"/>
              <w:spacing w:after="0" w:line="154" w:lineRule="exact"/>
              <w:rPr>
                <w:sz w:val="20"/>
                <w:szCs w:val="20"/>
                <w:color w:val="auto"/>
              </w:rPr>
            </w:pPr>
            <w:r>
              <w:rPr>
                <w:rFonts w:ascii="Arial" w:cs="Arial" w:eastAsia="Arial" w:hAnsi="Arial"/>
                <w:sz w:val="16"/>
                <w:szCs w:val="16"/>
                <w:color w:val="auto"/>
              </w:rPr>
              <w:t>Net loss from continuing operations attributable to</w:t>
            </w:r>
          </w:p>
        </w:tc>
        <w:tc>
          <w:tcPr>
            <w:tcW w:w="12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80"/>
              <w:spacing w:after="0"/>
              <w:rPr>
                <w:sz w:val="20"/>
                <w:szCs w:val="20"/>
                <w:color w:val="auto"/>
              </w:rPr>
            </w:pPr>
            <w:r>
              <w:rPr>
                <w:rFonts w:ascii="Arial" w:cs="Arial" w:eastAsia="Arial" w:hAnsi="Arial"/>
                <w:sz w:val="16"/>
                <w:szCs w:val="16"/>
                <w:b w:val="1"/>
                <w:bCs w:val="1"/>
                <w:color w:val="auto"/>
                <w:w w:val="89"/>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(222,480)</w:t>
            </w:r>
          </w:p>
        </w:tc>
        <w:tc>
          <w:tcPr>
            <w:tcW w:w="120" w:type="dxa"/>
            <w:vAlign w:val="bottom"/>
            <w:shd w:val="clear" w:color="auto" w:fill="CCEEFF"/>
          </w:tcPr>
          <w:p>
            <w:pPr>
              <w:spacing w:after="0"/>
              <w:rPr>
                <w:sz w:val="13"/>
                <w:szCs w:val="13"/>
                <w:color w:val="auto"/>
              </w:rPr>
            </w:pPr>
          </w:p>
        </w:tc>
        <w:tc>
          <w:tcPr>
            <w:tcW w:w="480" w:type="dxa"/>
            <w:vAlign w:val="bottom"/>
            <w:vMerge w:val="restart"/>
            <w:shd w:val="clear" w:color="auto" w:fill="CCEEFF"/>
          </w:tcPr>
          <w:p>
            <w:pPr>
              <w:jc w:val="right"/>
              <w:ind w:right="300"/>
              <w:spacing w:after="0"/>
              <w:rPr>
                <w:sz w:val="20"/>
                <w:szCs w:val="20"/>
                <w:color w:val="auto"/>
              </w:rPr>
            </w:pPr>
            <w:r>
              <w:rPr>
                <w:rFonts w:ascii="Arial" w:cs="Arial" w:eastAsia="Arial" w:hAnsi="Arial"/>
                <w:sz w:val="16"/>
                <w:szCs w:val="16"/>
                <w:color w:val="auto"/>
                <w:w w:val="8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(183,554)</w:t>
            </w:r>
          </w:p>
        </w:tc>
        <w:tc>
          <w:tcPr>
            <w:tcW w:w="12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(128,924)</w:t>
            </w:r>
          </w:p>
        </w:tc>
        <w:tc>
          <w:tcPr>
            <w:tcW w:w="120" w:type="dxa"/>
            <w:vAlign w:val="bottom"/>
            <w:shd w:val="clear" w:color="auto" w:fill="CCEEFF"/>
          </w:tcPr>
          <w:p>
            <w:pPr>
              <w:spacing w:after="0"/>
              <w:rPr>
                <w:sz w:val="13"/>
                <w:szCs w:val="13"/>
                <w:color w:val="auto"/>
              </w:rPr>
            </w:pPr>
          </w:p>
        </w:tc>
        <w:tc>
          <w:tcPr>
            <w:tcW w:w="480" w:type="dxa"/>
            <w:vAlign w:val="bottom"/>
            <w:vMerge w:val="restart"/>
            <w:shd w:val="clear" w:color="auto" w:fill="CCEEFF"/>
          </w:tcPr>
          <w:p>
            <w:pPr>
              <w:jc w:val="right"/>
              <w:ind w:right="300"/>
              <w:spacing w:after="0"/>
              <w:rPr>
                <w:sz w:val="20"/>
                <w:szCs w:val="20"/>
                <w:color w:val="auto"/>
              </w:rPr>
            </w:pPr>
            <w:r>
              <w:rPr>
                <w:rFonts w:ascii="Arial" w:cs="Arial" w:eastAsia="Arial" w:hAnsi="Arial"/>
                <w:sz w:val="16"/>
                <w:szCs w:val="16"/>
                <w:color w:val="auto"/>
                <w:w w:val="8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(329,278)</w:t>
            </w:r>
          </w:p>
        </w:tc>
        <w:tc>
          <w:tcPr>
            <w:tcW w:w="0" w:type="dxa"/>
            <w:vAlign w:val="bottom"/>
          </w:tcPr>
          <w:p>
            <w:pPr>
              <w:spacing w:after="0"/>
              <w:rPr>
                <w:sz w:val="1"/>
                <w:szCs w:val="1"/>
                <w:color w:val="auto"/>
              </w:rPr>
            </w:pPr>
          </w:p>
        </w:tc>
      </w:tr>
      <w:tr>
        <w:trPr>
          <w:trHeight w:val="214"/>
        </w:trPr>
        <w:tc>
          <w:tcPr>
            <w:tcW w:w="46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shareholders</w:t>
            </w:r>
          </w:p>
        </w:tc>
        <w:tc>
          <w:tcPr>
            <w:tcW w:w="260" w:type="dxa"/>
            <w:vAlign w:val="bottom"/>
            <w:vMerge w:val="continue"/>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6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Amounts allocated to participating securities</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(207)</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(381)</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w:t>
            </w:r>
          </w:p>
        </w:tc>
        <w:tc>
          <w:tcPr>
            <w:tcW w:w="0" w:type="dxa"/>
            <w:vAlign w:val="bottom"/>
          </w:tcPr>
          <w:p>
            <w:pPr>
              <w:spacing w:after="0"/>
              <w:rPr>
                <w:sz w:val="1"/>
                <w:szCs w:val="1"/>
                <w:color w:val="auto"/>
              </w:rPr>
            </w:pPr>
          </w:p>
        </w:tc>
      </w:tr>
      <w:tr>
        <w:trPr>
          <w:trHeight w:val="141"/>
        </w:trPr>
        <w:tc>
          <w:tcPr>
            <w:tcW w:w="4620" w:type="dxa"/>
            <w:vAlign w:val="bottom"/>
            <w:gridSpan w:val="2"/>
            <w:shd w:val="clear" w:color="auto" w:fill="CCEEFF"/>
          </w:tcPr>
          <w:p>
            <w:pPr>
              <w:ind w:left="20"/>
              <w:spacing w:after="0" w:line="141" w:lineRule="exact"/>
              <w:rPr>
                <w:sz w:val="20"/>
                <w:szCs w:val="20"/>
                <w:color w:val="auto"/>
              </w:rPr>
            </w:pPr>
            <w:r>
              <w:rPr>
                <w:rFonts w:ascii="Arial" w:cs="Arial" w:eastAsia="Arial" w:hAnsi="Arial"/>
                <w:sz w:val="16"/>
                <w:szCs w:val="16"/>
                <w:color w:val="auto"/>
              </w:rPr>
              <w:t>Net loss from continuing operations attributable to common</w:t>
            </w:r>
          </w:p>
        </w:tc>
        <w:tc>
          <w:tcPr>
            <w:tcW w:w="260" w:type="dxa"/>
            <w:vAlign w:val="bottom"/>
            <w:vMerge w:val="restart"/>
            <w:shd w:val="clear" w:color="auto" w:fill="CCEEFF"/>
          </w:tcPr>
          <w:p>
            <w:pPr>
              <w:jc w:val="right"/>
              <w:ind w:right="80"/>
              <w:spacing w:after="0"/>
              <w:rPr>
                <w:sz w:val="20"/>
                <w:szCs w:val="20"/>
                <w:color w:val="auto"/>
              </w:rPr>
            </w:pPr>
            <w:r>
              <w:rPr>
                <w:rFonts w:ascii="Arial" w:cs="Arial" w:eastAsia="Arial" w:hAnsi="Arial"/>
                <w:sz w:val="16"/>
                <w:szCs w:val="16"/>
                <w:b w:val="1"/>
                <w:bCs w:val="1"/>
                <w:color w:val="auto"/>
                <w:w w:val="89"/>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(222,687)</w:t>
            </w:r>
          </w:p>
        </w:tc>
        <w:tc>
          <w:tcPr>
            <w:tcW w:w="12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right"/>
              <w:ind w:right="300"/>
              <w:spacing w:after="0"/>
              <w:rPr>
                <w:sz w:val="20"/>
                <w:szCs w:val="20"/>
                <w:color w:val="auto"/>
              </w:rPr>
            </w:pPr>
            <w:r>
              <w:rPr>
                <w:rFonts w:ascii="Arial" w:cs="Arial" w:eastAsia="Arial" w:hAnsi="Arial"/>
                <w:sz w:val="16"/>
                <w:szCs w:val="16"/>
                <w:color w:val="auto"/>
                <w:w w:val="8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(183,704)</w:t>
            </w:r>
          </w:p>
        </w:tc>
        <w:tc>
          <w:tcPr>
            <w:tcW w:w="120" w:type="dxa"/>
            <w:vAlign w:val="bottom"/>
            <w:shd w:val="clear" w:color="auto" w:fill="CCEEFF"/>
          </w:tcPr>
          <w:p>
            <w:pPr>
              <w:spacing w:after="0"/>
              <w:rPr>
                <w:sz w:val="12"/>
                <w:szCs w:val="12"/>
                <w:color w:val="auto"/>
              </w:rPr>
            </w:pPr>
          </w:p>
        </w:tc>
        <w:tc>
          <w:tcPr>
            <w:tcW w:w="340" w:type="dxa"/>
            <w:vAlign w:val="bottom"/>
            <w:vMerge w:val="restart"/>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(129,305)</w:t>
            </w:r>
          </w:p>
        </w:tc>
        <w:tc>
          <w:tcPr>
            <w:tcW w:w="12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right"/>
              <w:ind w:right="300"/>
              <w:spacing w:after="0"/>
              <w:rPr>
                <w:sz w:val="20"/>
                <w:szCs w:val="20"/>
                <w:color w:val="auto"/>
              </w:rPr>
            </w:pPr>
            <w:r>
              <w:rPr>
                <w:rFonts w:ascii="Arial" w:cs="Arial" w:eastAsia="Arial" w:hAnsi="Arial"/>
                <w:sz w:val="16"/>
                <w:szCs w:val="16"/>
                <w:color w:val="auto"/>
                <w:w w:val="8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(329,577)</w:t>
            </w:r>
          </w:p>
        </w:tc>
        <w:tc>
          <w:tcPr>
            <w:tcW w:w="0" w:type="dxa"/>
            <w:vAlign w:val="bottom"/>
          </w:tcPr>
          <w:p>
            <w:pPr>
              <w:spacing w:after="0"/>
              <w:rPr>
                <w:sz w:val="1"/>
                <w:szCs w:val="1"/>
                <w:color w:val="auto"/>
              </w:rPr>
            </w:pPr>
          </w:p>
        </w:tc>
      </w:tr>
      <w:tr>
        <w:trPr>
          <w:trHeight w:val="219"/>
        </w:trPr>
        <w:tc>
          <w:tcPr>
            <w:tcW w:w="46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shareholders</w:t>
            </w: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13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tcBorders>
              <w:bottom w:val="single" w:sz="8" w:color="auto"/>
            </w:tcBorders>
            <w:vMerge w:val="continue"/>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vMerge w:val="continue"/>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tcBorders>
              <w:bottom w:val="single" w:sz="8" w:color="auto"/>
            </w:tcBorders>
            <w:vMerge w:val="continue"/>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4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Basic weighted average common shares</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189,607</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198,079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191,103</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200,058</w:t>
            </w:r>
          </w:p>
        </w:tc>
        <w:tc>
          <w:tcPr>
            <w:tcW w:w="0" w:type="dxa"/>
            <w:vAlign w:val="bottom"/>
          </w:tcPr>
          <w:p>
            <w:pPr>
              <w:spacing w:after="0"/>
              <w:rPr>
                <w:sz w:val="1"/>
                <w:szCs w:val="1"/>
                <w:color w:val="auto"/>
              </w:rPr>
            </w:pPr>
          </w:p>
        </w:tc>
      </w:tr>
      <w:tr>
        <w:trPr>
          <w:trHeight w:val="214"/>
        </w:trPr>
        <w:tc>
          <w:tcPr>
            <w:tcW w:w="4620" w:type="dxa"/>
            <w:vAlign w:val="bottom"/>
            <w:gridSpan w:val="2"/>
          </w:tcPr>
          <w:p>
            <w:pPr>
              <w:ind w:left="20"/>
              <w:spacing w:after="0"/>
              <w:rPr>
                <w:sz w:val="20"/>
                <w:szCs w:val="20"/>
                <w:color w:val="auto"/>
              </w:rPr>
            </w:pPr>
            <w:r>
              <w:rPr>
                <w:rFonts w:ascii="Arial" w:cs="Arial" w:eastAsia="Arial" w:hAnsi="Arial"/>
                <w:sz w:val="16"/>
                <w:szCs w:val="16"/>
                <w:color w:val="auto"/>
              </w:rPr>
              <w:t>Potential dilutive shares</w:t>
            </w:r>
          </w:p>
        </w:tc>
        <w:tc>
          <w:tcPr>
            <w:tcW w:w="26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4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4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46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Dilutive weighted average common shares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189,607</w:t>
            </w: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198,079</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191,103</w:t>
            </w: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200,058</w:t>
            </w:r>
          </w:p>
        </w:tc>
        <w:tc>
          <w:tcPr>
            <w:tcW w:w="0" w:type="dxa"/>
            <w:vAlign w:val="bottom"/>
          </w:tcPr>
          <w:p>
            <w:pPr>
              <w:spacing w:after="0"/>
              <w:rPr>
                <w:sz w:val="1"/>
                <w:szCs w:val="1"/>
                <w:color w:val="auto"/>
              </w:rPr>
            </w:pPr>
          </w:p>
        </w:tc>
      </w:tr>
      <w:tr>
        <w:trPr>
          <w:trHeight w:val="34"/>
        </w:trPr>
        <w:tc>
          <w:tcPr>
            <w:tcW w:w="4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630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Loss per share from continuing operations attributable to common shareholders:</w:t>
            </w: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620" w:type="dxa"/>
            <w:vAlign w:val="bottom"/>
            <w:gridSpan w:val="2"/>
          </w:tcPr>
          <w:p>
            <w:pPr>
              <w:ind w:left="140"/>
              <w:spacing w:after="0"/>
              <w:rPr>
                <w:sz w:val="20"/>
                <w:szCs w:val="20"/>
                <w:color w:val="auto"/>
              </w:rPr>
            </w:pPr>
            <w:r>
              <w:rPr>
                <w:rFonts w:ascii="Arial" w:cs="Arial" w:eastAsia="Arial" w:hAnsi="Arial"/>
                <w:sz w:val="16"/>
                <w:szCs w:val="16"/>
                <w:color w:val="auto"/>
              </w:rPr>
              <w:t>Basic</w:t>
            </w:r>
          </w:p>
        </w:tc>
        <w:tc>
          <w:tcPr>
            <w:tcW w:w="260" w:type="dxa"/>
            <w:vAlign w:val="bottom"/>
          </w:tcPr>
          <w:p>
            <w:pPr>
              <w:jc w:val="right"/>
              <w:ind w:right="80"/>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(1.17)</w:t>
            </w:r>
          </w:p>
        </w:tc>
        <w:tc>
          <w:tcPr>
            <w:tcW w:w="120" w:type="dxa"/>
            <w:vAlign w:val="bottom"/>
          </w:tcPr>
          <w:p>
            <w:pPr>
              <w:spacing w:after="0"/>
              <w:rPr>
                <w:sz w:val="18"/>
                <w:szCs w:val="18"/>
                <w:color w:val="auto"/>
              </w:rPr>
            </w:pPr>
          </w:p>
        </w:tc>
        <w:tc>
          <w:tcPr>
            <w:tcW w:w="480" w:type="dxa"/>
            <w:vAlign w:val="bottom"/>
          </w:tcPr>
          <w:p>
            <w:pPr>
              <w:jc w:val="right"/>
              <w:ind w:right="300"/>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(0.93)</w:t>
            </w:r>
          </w:p>
        </w:tc>
        <w:tc>
          <w:tcPr>
            <w:tcW w:w="120" w:type="dxa"/>
            <w:vAlign w:val="bottom"/>
          </w:tcPr>
          <w:p>
            <w:pPr>
              <w:spacing w:after="0"/>
              <w:rPr>
                <w:sz w:val="18"/>
                <w:szCs w:val="18"/>
                <w:color w:val="auto"/>
              </w:rPr>
            </w:pPr>
          </w:p>
        </w:tc>
        <w:tc>
          <w:tcPr>
            <w:tcW w:w="340" w:type="dxa"/>
            <w:vAlign w:val="bottom"/>
          </w:tcPr>
          <w:p>
            <w:pPr>
              <w:jc w:val="right"/>
              <w:ind w:right="140"/>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(0.68)</w:t>
            </w:r>
          </w:p>
        </w:tc>
        <w:tc>
          <w:tcPr>
            <w:tcW w:w="120" w:type="dxa"/>
            <w:vAlign w:val="bottom"/>
          </w:tcPr>
          <w:p>
            <w:pPr>
              <w:spacing w:after="0"/>
              <w:rPr>
                <w:sz w:val="18"/>
                <w:szCs w:val="18"/>
                <w:color w:val="auto"/>
              </w:rPr>
            </w:pPr>
          </w:p>
        </w:tc>
        <w:tc>
          <w:tcPr>
            <w:tcW w:w="480" w:type="dxa"/>
            <w:vAlign w:val="bottom"/>
          </w:tcPr>
          <w:p>
            <w:pPr>
              <w:jc w:val="right"/>
              <w:ind w:right="300"/>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(1.65)</w:t>
            </w:r>
          </w:p>
        </w:tc>
        <w:tc>
          <w:tcPr>
            <w:tcW w:w="0" w:type="dxa"/>
            <w:vAlign w:val="bottom"/>
          </w:tcPr>
          <w:p>
            <w:pPr>
              <w:spacing w:after="0"/>
              <w:rPr>
                <w:sz w:val="1"/>
                <w:szCs w:val="1"/>
                <w:color w:val="auto"/>
              </w:rPr>
            </w:pPr>
          </w:p>
        </w:tc>
      </w:tr>
      <w:tr>
        <w:trPr>
          <w:trHeight w:val="214"/>
        </w:trPr>
        <w:tc>
          <w:tcPr>
            <w:tcW w:w="46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Diluted</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(1.17)</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(0.68)</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0" w:type="dxa"/>
            <w:vAlign w:val="bottom"/>
          </w:tcPr>
          <w:p>
            <w:pPr>
              <w:spacing w:after="0"/>
              <w:rPr>
                <w:sz w:val="1"/>
                <w:szCs w:val="1"/>
                <w:color w:val="auto"/>
              </w:rPr>
            </w:pPr>
          </w:p>
        </w:tc>
      </w:tr>
      <w:tr>
        <w:trPr>
          <w:trHeight w:val="54"/>
        </w:trPr>
        <w:tc>
          <w:tcPr>
            <w:tcW w:w="45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65" w:lineRule="exact"/>
        <w:rPr>
          <w:sz w:val="20"/>
          <w:szCs w:val="20"/>
          <w:color w:val="auto"/>
        </w:rPr>
      </w:pPr>
    </w:p>
    <w:p>
      <w:pPr>
        <w:jc w:val="both"/>
        <w:ind w:firstLine="241"/>
        <w:spacing w:after="0" w:line="267" w:lineRule="auto"/>
        <w:rPr>
          <w:sz w:val="20"/>
          <w:szCs w:val="20"/>
          <w:color w:val="auto"/>
        </w:rPr>
      </w:pPr>
      <w:r>
        <w:rPr>
          <w:rFonts w:ascii="Arial" w:cs="Arial" w:eastAsia="Arial" w:hAnsi="Arial"/>
          <w:sz w:val="18"/>
          <w:szCs w:val="18"/>
          <w:color w:val="auto"/>
        </w:rPr>
        <w:t>The weighted average shares outstanding for the three and six months ended October 31, 2020 decreased to 189.6 million and 191.1 million, respectively, from 198.1 million and 200.1 million, respectively, for the three and six months ended October 31, 2019. The decrease is due to share repurchases completed in the current and prior fiscal years.</w:t>
      </w:r>
    </w:p>
    <w:p>
      <w:pPr>
        <w:spacing w:after="0" w:line="57" w:lineRule="exact"/>
        <w:rPr>
          <w:sz w:val="20"/>
          <w:szCs w:val="20"/>
          <w:color w:val="auto"/>
        </w:rPr>
      </w:pPr>
    </w:p>
    <w:p>
      <w:pPr>
        <w:jc w:val="both"/>
        <w:ind w:firstLine="241"/>
        <w:spacing w:after="0" w:line="258" w:lineRule="auto"/>
        <w:rPr>
          <w:sz w:val="20"/>
          <w:szCs w:val="20"/>
          <w:color w:val="auto"/>
        </w:rPr>
      </w:pPr>
      <w:r>
        <w:rPr>
          <w:rFonts w:ascii="Arial" w:cs="Arial" w:eastAsia="Arial" w:hAnsi="Arial"/>
          <w:sz w:val="18"/>
          <w:szCs w:val="18"/>
          <w:b w:val="1"/>
          <w:bCs w:val="1"/>
          <w:color w:val="auto"/>
        </w:rPr>
        <w:t xml:space="preserve">STOCK-BASED COMPENSATION </w:t>
      </w:r>
      <w:r>
        <w:rPr>
          <w:rFonts w:ascii="Arial" w:cs="Arial" w:eastAsia="Arial" w:hAnsi="Arial"/>
          <w:sz w:val="18"/>
          <w:szCs w:val="18"/>
          <w:color w:val="auto"/>
        </w:rPr>
        <w:t>– During the six months ended October 31, 2020, we granted awards equivalent to 2.1 million shares</w:t>
      </w:r>
      <w:r>
        <w:rPr>
          <w:rFonts w:ascii="Arial" w:cs="Arial" w:eastAsia="Arial" w:hAnsi="Arial"/>
          <w:sz w:val="18"/>
          <w:szCs w:val="18"/>
          <w:b w:val="1"/>
          <w:bCs w:val="1"/>
          <w:color w:val="auto"/>
        </w:rPr>
        <w:t xml:space="preserve"> </w:t>
      </w:r>
      <w:r>
        <w:rPr>
          <w:rFonts w:ascii="Arial" w:cs="Arial" w:eastAsia="Arial" w:hAnsi="Arial"/>
          <w:sz w:val="18"/>
          <w:szCs w:val="18"/>
          <w:color w:val="auto"/>
        </w:rPr>
        <w:t>under our stock-based compensation plans, consisting primarily of nonvested units. Stock-based compensation expense of our continuing operations totaled $7.3 million and $14.9 million for the three and six months ended October 31, 2020, respectively, and $9.4 million and $16.1 million for the three and six months ended October 31, 2019, respectively. As of October 31, 2020, unrecognized compensation cost for nonvested shares and units totaled $47.3 million.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RECEIVABLES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Receivables, net of their related allowance, consist of the following:</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(in 000s)</w:t>
            </w:r>
          </w:p>
        </w:tc>
        <w:tc>
          <w:tcPr>
            <w:tcW w:w="0" w:type="dxa"/>
            <w:vAlign w:val="bottom"/>
          </w:tcPr>
          <w:p>
            <w:pPr>
              <w:spacing w:after="0"/>
              <w:rPr>
                <w:sz w:val="1"/>
                <w:szCs w:val="1"/>
                <w:color w:val="auto"/>
              </w:rPr>
            </w:pPr>
          </w:p>
        </w:tc>
      </w:tr>
      <w:tr>
        <w:trPr>
          <w:trHeight w:val="208"/>
        </w:trPr>
        <w:tc>
          <w:tcPr>
            <w:tcW w:w="3440" w:type="dxa"/>
            <w:vAlign w:val="bottom"/>
            <w:gridSpan w:val="2"/>
          </w:tcPr>
          <w:p>
            <w:pPr>
              <w:ind w:left="20"/>
              <w:spacing w:after="0"/>
              <w:rPr>
                <w:sz w:val="20"/>
                <w:szCs w:val="20"/>
                <w:color w:val="auto"/>
              </w:rPr>
            </w:pPr>
            <w:r>
              <w:rPr>
                <w:rFonts w:ascii="Arial" w:cs="Arial" w:eastAsia="Arial" w:hAnsi="Arial"/>
                <w:sz w:val="16"/>
                <w:szCs w:val="16"/>
                <w:color w:val="auto"/>
              </w:rPr>
              <w:t>As of</w:t>
            </w:r>
          </w:p>
        </w:tc>
        <w:tc>
          <w:tcPr>
            <w:tcW w:w="180" w:type="dxa"/>
            <w:vAlign w:val="bottom"/>
          </w:tcPr>
          <w:p>
            <w:pPr>
              <w:spacing w:after="0"/>
              <w:rPr>
                <w:sz w:val="18"/>
                <w:szCs w:val="18"/>
                <w:color w:val="auto"/>
              </w:rPr>
            </w:pPr>
          </w:p>
        </w:tc>
        <w:tc>
          <w:tcPr>
            <w:tcW w:w="2460" w:type="dxa"/>
            <w:vAlign w:val="bottom"/>
            <w:gridSpan w:val="5"/>
          </w:tcPr>
          <w:p>
            <w:pPr>
              <w:ind w:left="440"/>
              <w:spacing w:after="0"/>
              <w:rPr>
                <w:sz w:val="20"/>
                <w:szCs w:val="20"/>
                <w:color w:val="auto"/>
              </w:rPr>
            </w:pPr>
            <w:r>
              <w:rPr>
                <w:rFonts w:ascii="Arial" w:cs="Arial" w:eastAsia="Arial" w:hAnsi="Arial"/>
                <w:sz w:val="16"/>
                <w:szCs w:val="16"/>
                <w:b w:val="1"/>
                <w:bCs w:val="1"/>
                <w:color w:val="auto"/>
              </w:rPr>
              <w:t>October 31, 2020</w:t>
            </w:r>
          </w:p>
        </w:tc>
        <w:tc>
          <w:tcPr>
            <w:tcW w:w="160" w:type="dxa"/>
            <w:vAlign w:val="bottom"/>
          </w:tcPr>
          <w:p>
            <w:pPr>
              <w:spacing w:after="0"/>
              <w:rPr>
                <w:sz w:val="18"/>
                <w:szCs w:val="18"/>
                <w:color w:val="auto"/>
              </w:rPr>
            </w:pPr>
          </w:p>
        </w:tc>
        <w:tc>
          <w:tcPr>
            <w:tcW w:w="2480" w:type="dxa"/>
            <w:vAlign w:val="bottom"/>
            <w:gridSpan w:val="5"/>
          </w:tcPr>
          <w:p>
            <w:pPr>
              <w:ind w:left="480"/>
              <w:spacing w:after="0"/>
              <w:rPr>
                <w:sz w:val="20"/>
                <w:szCs w:val="20"/>
                <w:color w:val="auto"/>
              </w:rPr>
            </w:pPr>
            <w:r>
              <w:rPr>
                <w:rFonts w:ascii="Arial" w:cs="Arial" w:eastAsia="Arial" w:hAnsi="Arial"/>
                <w:sz w:val="16"/>
                <w:szCs w:val="16"/>
                <w:color w:val="auto"/>
              </w:rPr>
              <w:t>October 31, 2019</w:t>
            </w:r>
          </w:p>
        </w:tc>
        <w:tc>
          <w:tcPr>
            <w:tcW w:w="160" w:type="dxa"/>
            <w:vAlign w:val="bottom"/>
          </w:tcPr>
          <w:p>
            <w:pPr>
              <w:spacing w:after="0"/>
              <w:rPr>
                <w:sz w:val="18"/>
                <w:szCs w:val="18"/>
                <w:color w:val="auto"/>
              </w:rPr>
            </w:pPr>
          </w:p>
        </w:tc>
        <w:tc>
          <w:tcPr>
            <w:tcW w:w="2360" w:type="dxa"/>
            <w:vAlign w:val="bottom"/>
            <w:gridSpan w:val="4"/>
          </w:tcPr>
          <w:p>
            <w:pPr>
              <w:jc w:val="right"/>
              <w:ind w:right="680"/>
              <w:spacing w:after="0"/>
              <w:rPr>
                <w:sz w:val="20"/>
                <w:szCs w:val="20"/>
                <w:color w:val="auto"/>
              </w:rPr>
            </w:pPr>
            <w:r>
              <w:rPr>
                <w:rFonts w:ascii="Arial" w:cs="Arial" w:eastAsia="Arial" w:hAnsi="Arial"/>
                <w:sz w:val="16"/>
                <w:szCs w:val="16"/>
                <w:color w:val="auto"/>
              </w:rPr>
              <w:t>April 30, 2020</w:t>
            </w:r>
          </w:p>
        </w:tc>
        <w:tc>
          <w:tcPr>
            <w:tcW w:w="0" w:type="dxa"/>
            <w:vAlign w:val="bottom"/>
          </w:tcPr>
          <w:p>
            <w:pPr>
              <w:spacing w:after="0"/>
              <w:rPr>
                <w:sz w:val="1"/>
                <w:szCs w:val="1"/>
                <w:color w:val="auto"/>
              </w:rPr>
            </w:pPr>
          </w:p>
        </w:tc>
      </w:tr>
      <w:tr>
        <w:trPr>
          <w:trHeight w:val="208"/>
        </w:trPr>
        <w:tc>
          <w:tcPr>
            <w:tcW w:w="33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gridSpan w:val="2"/>
          </w:tcPr>
          <w:p>
            <w:pPr>
              <w:ind w:left="40"/>
              <w:spacing w:after="0"/>
              <w:rPr>
                <w:sz w:val="20"/>
                <w:szCs w:val="20"/>
                <w:color w:val="auto"/>
              </w:rPr>
            </w:pPr>
            <w:r>
              <w:rPr>
                <w:rFonts w:ascii="Arial" w:cs="Arial" w:eastAsia="Arial" w:hAnsi="Arial"/>
                <w:sz w:val="16"/>
                <w:szCs w:val="16"/>
                <w:color w:val="auto"/>
              </w:rPr>
              <w:t>Short-term</w:t>
            </w: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60"/>
              <w:spacing w:after="0"/>
              <w:rPr>
                <w:sz w:val="20"/>
                <w:szCs w:val="20"/>
                <w:color w:val="auto"/>
              </w:rPr>
            </w:pPr>
            <w:r>
              <w:rPr>
                <w:rFonts w:ascii="Arial" w:cs="Arial" w:eastAsia="Arial" w:hAnsi="Arial"/>
                <w:sz w:val="16"/>
                <w:szCs w:val="16"/>
                <w:color w:val="auto"/>
              </w:rPr>
              <w:t>Long-term</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gridSpan w:val="2"/>
          </w:tcPr>
          <w:p>
            <w:pPr>
              <w:ind w:left="40"/>
              <w:spacing w:after="0"/>
              <w:rPr>
                <w:sz w:val="20"/>
                <w:szCs w:val="20"/>
                <w:color w:val="auto"/>
              </w:rPr>
            </w:pPr>
            <w:r>
              <w:rPr>
                <w:rFonts w:ascii="Arial" w:cs="Arial" w:eastAsia="Arial" w:hAnsi="Arial"/>
                <w:sz w:val="16"/>
                <w:szCs w:val="16"/>
                <w:color w:val="auto"/>
              </w:rPr>
              <w:t>Short-term</w:t>
            </w: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40"/>
              <w:spacing w:after="0"/>
              <w:rPr>
                <w:sz w:val="20"/>
                <w:szCs w:val="20"/>
                <w:color w:val="auto"/>
              </w:rPr>
            </w:pPr>
            <w:r>
              <w:rPr>
                <w:rFonts w:ascii="Arial" w:cs="Arial" w:eastAsia="Arial" w:hAnsi="Arial"/>
                <w:sz w:val="16"/>
                <w:szCs w:val="16"/>
                <w:color w:val="auto"/>
              </w:rPr>
              <w:t>Long-term</w:t>
            </w: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2"/>
          </w:tcPr>
          <w:p>
            <w:pPr>
              <w:ind w:left="60"/>
              <w:spacing w:after="0"/>
              <w:rPr>
                <w:sz w:val="20"/>
                <w:szCs w:val="20"/>
                <w:color w:val="auto"/>
              </w:rPr>
            </w:pPr>
            <w:r>
              <w:rPr>
                <w:rFonts w:ascii="Arial" w:cs="Arial" w:eastAsia="Arial" w:hAnsi="Arial"/>
                <w:sz w:val="16"/>
                <w:szCs w:val="16"/>
                <w:color w:val="auto"/>
              </w:rPr>
              <w:t>Short-term</w:t>
            </w: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60"/>
              <w:spacing w:after="0"/>
              <w:rPr>
                <w:sz w:val="20"/>
                <w:szCs w:val="20"/>
                <w:color w:val="auto"/>
              </w:rPr>
            </w:pPr>
            <w:r>
              <w:rPr>
                <w:rFonts w:ascii="Arial" w:cs="Arial" w:eastAsia="Arial" w:hAnsi="Arial"/>
                <w:sz w:val="16"/>
                <w:szCs w:val="16"/>
                <w:color w:val="auto"/>
              </w:rPr>
              <w:t>Long-term</w:t>
            </w:r>
          </w:p>
        </w:tc>
        <w:tc>
          <w:tcPr>
            <w:tcW w:w="0" w:type="dxa"/>
            <w:vAlign w:val="bottom"/>
          </w:tcPr>
          <w:p>
            <w:pPr>
              <w:spacing w:after="0"/>
              <w:rPr>
                <w:sz w:val="1"/>
                <w:szCs w:val="1"/>
                <w:color w:val="auto"/>
              </w:rPr>
            </w:pPr>
          </w:p>
        </w:tc>
      </w:tr>
      <w:tr>
        <w:trPr>
          <w:trHeight w:val="208"/>
        </w:trPr>
        <w:tc>
          <w:tcPr>
            <w:tcW w:w="34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Loans to franchisees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15,147</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36,446</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23,554</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43,322</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25,397</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31,329</w:t>
            </w:r>
          </w:p>
        </w:tc>
        <w:tc>
          <w:tcPr>
            <w:tcW w:w="0" w:type="dxa"/>
            <w:vAlign w:val="bottom"/>
          </w:tcPr>
          <w:p>
            <w:pPr>
              <w:spacing w:after="0"/>
              <w:rPr>
                <w:sz w:val="1"/>
                <w:szCs w:val="1"/>
                <w:color w:val="auto"/>
              </w:rPr>
            </w:pPr>
          </w:p>
        </w:tc>
      </w:tr>
      <w:tr>
        <w:trPr>
          <w:trHeight w:val="161"/>
        </w:trPr>
        <w:tc>
          <w:tcPr>
            <w:tcW w:w="3440" w:type="dxa"/>
            <w:vAlign w:val="bottom"/>
            <w:gridSpan w:val="2"/>
          </w:tcPr>
          <w:p>
            <w:pPr>
              <w:ind w:left="20"/>
              <w:spacing w:after="0" w:line="161" w:lineRule="exact"/>
              <w:rPr>
                <w:sz w:val="20"/>
                <w:szCs w:val="20"/>
                <w:color w:val="auto"/>
              </w:rPr>
            </w:pPr>
            <w:r>
              <w:rPr>
                <w:rFonts w:ascii="Arial" w:cs="Arial" w:eastAsia="Arial" w:hAnsi="Arial"/>
                <w:sz w:val="16"/>
                <w:szCs w:val="16"/>
                <w:color w:val="auto"/>
              </w:rPr>
              <w:t>Receivables for U.S. assisted and DIY tax</w:t>
            </w:r>
          </w:p>
        </w:tc>
        <w:tc>
          <w:tcPr>
            <w:tcW w:w="18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22,883</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3,111</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18,531</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3,716</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47,030</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3,112</w:t>
            </w:r>
          </w:p>
        </w:tc>
        <w:tc>
          <w:tcPr>
            <w:tcW w:w="0" w:type="dxa"/>
            <w:vAlign w:val="bottom"/>
          </w:tcPr>
          <w:p>
            <w:pPr>
              <w:spacing w:after="0"/>
              <w:rPr>
                <w:sz w:val="1"/>
                <w:szCs w:val="1"/>
                <w:color w:val="auto"/>
              </w:rPr>
            </w:pPr>
          </w:p>
        </w:tc>
      </w:tr>
      <w:tr>
        <w:trPr>
          <w:trHeight w:val="214"/>
        </w:trPr>
        <w:tc>
          <w:tcPr>
            <w:tcW w:w="3440" w:type="dxa"/>
            <w:vAlign w:val="bottom"/>
            <w:gridSpan w:val="2"/>
          </w:tcPr>
          <w:p>
            <w:pPr>
              <w:ind w:left="180"/>
              <w:spacing w:after="0"/>
              <w:rPr>
                <w:sz w:val="20"/>
                <w:szCs w:val="20"/>
                <w:color w:val="auto"/>
              </w:rPr>
            </w:pPr>
            <w:r>
              <w:rPr>
                <w:rFonts w:ascii="Arial" w:cs="Arial" w:eastAsia="Arial" w:hAnsi="Arial"/>
                <w:sz w:val="16"/>
                <w:szCs w:val="16"/>
                <w:color w:val="auto"/>
              </w:rPr>
              <w:t>preparation and related fees</w:t>
            </w:r>
          </w:p>
        </w:tc>
        <w:tc>
          <w:tcPr>
            <w:tcW w:w="1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440" w:type="dxa"/>
            <w:vAlign w:val="bottom"/>
            <w:gridSpan w:val="2"/>
            <w:shd w:val="clear" w:color="auto" w:fill="CCEEFF"/>
          </w:tcPr>
          <w:p>
            <w:pPr>
              <w:ind w:left="20"/>
              <w:spacing w:after="0" w:line="214" w:lineRule="exact"/>
              <w:rPr>
                <w:sz w:val="20"/>
                <w:szCs w:val="20"/>
                <w:color w:val="auto"/>
              </w:rPr>
            </w:pPr>
            <w:r>
              <w:rPr>
                <w:rFonts w:ascii="Arial" w:cs="Arial" w:eastAsia="Arial" w:hAnsi="Arial"/>
                <w:sz w:val="16"/>
                <w:szCs w:val="16"/>
                <w:color w:val="auto"/>
              </w:rPr>
              <w:t>H&amp;R Block Instant Refund</w:t>
            </w:r>
            <w:r>
              <w:rPr>
                <w:rFonts w:ascii="Arial" w:cs="Arial" w:eastAsia="Arial" w:hAnsi="Arial"/>
                <w:sz w:val="20"/>
                <w:szCs w:val="20"/>
                <w:color w:val="auto"/>
                <w:vertAlign w:val="superscript"/>
              </w:rPr>
              <w:t>TM</w:t>
            </w:r>
            <w:r>
              <w:rPr>
                <w:rFonts w:ascii="Arial" w:cs="Arial" w:eastAsia="Arial" w:hAnsi="Arial"/>
                <w:sz w:val="16"/>
                <w:szCs w:val="16"/>
                <w:color w:val="auto"/>
              </w:rPr>
              <w:t xml:space="preserve"> receivables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531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1,451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15,031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1,325</w:t>
            </w:r>
          </w:p>
        </w:tc>
        <w:tc>
          <w:tcPr>
            <w:tcW w:w="0" w:type="dxa"/>
            <w:vAlign w:val="bottom"/>
          </w:tcPr>
          <w:p>
            <w:pPr>
              <w:spacing w:after="0"/>
              <w:rPr>
                <w:sz w:val="1"/>
                <w:szCs w:val="1"/>
                <w:color w:val="auto"/>
              </w:rPr>
            </w:pPr>
          </w:p>
        </w:tc>
      </w:tr>
      <w:tr>
        <w:trPr>
          <w:trHeight w:val="214"/>
        </w:trPr>
        <w:tc>
          <w:tcPr>
            <w:tcW w:w="3440" w:type="dxa"/>
            <w:vAlign w:val="bottom"/>
            <w:gridSpan w:val="2"/>
          </w:tcPr>
          <w:p>
            <w:pPr>
              <w:ind w:left="20"/>
              <w:spacing w:after="0"/>
              <w:rPr>
                <w:sz w:val="20"/>
                <w:szCs w:val="20"/>
                <w:color w:val="auto"/>
              </w:rPr>
            </w:pPr>
            <w:r>
              <w:rPr>
                <w:rFonts w:ascii="Arial" w:cs="Arial" w:eastAsia="Arial" w:hAnsi="Arial"/>
                <w:sz w:val="16"/>
                <w:szCs w:val="16"/>
                <w:color w:val="auto"/>
              </w:rPr>
              <w:t>H&amp;R Block Emerald Advance® lines of credit</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8,699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9,302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8,073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9,201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10,001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14,081</w:t>
            </w:r>
          </w:p>
        </w:tc>
        <w:tc>
          <w:tcPr>
            <w:tcW w:w="0" w:type="dxa"/>
            <w:vAlign w:val="bottom"/>
          </w:tcPr>
          <w:p>
            <w:pPr>
              <w:spacing w:after="0"/>
              <w:rPr>
                <w:sz w:val="1"/>
                <w:szCs w:val="1"/>
                <w:color w:val="auto"/>
              </w:rPr>
            </w:pPr>
          </w:p>
        </w:tc>
      </w:tr>
      <w:tr>
        <w:trPr>
          <w:trHeight w:val="214"/>
        </w:trPr>
        <w:tc>
          <w:tcPr>
            <w:tcW w:w="3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Software receivables from retailers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1,532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7,341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1"/>
        </w:trPr>
        <w:tc>
          <w:tcPr>
            <w:tcW w:w="3440" w:type="dxa"/>
            <w:vAlign w:val="bottom"/>
            <w:gridSpan w:val="2"/>
          </w:tcPr>
          <w:p>
            <w:pPr>
              <w:ind w:left="20"/>
              <w:spacing w:after="0" w:line="161" w:lineRule="exact"/>
              <w:rPr>
                <w:sz w:val="20"/>
                <w:szCs w:val="20"/>
                <w:color w:val="auto"/>
              </w:rPr>
            </w:pPr>
            <w:r>
              <w:rPr>
                <w:rFonts w:ascii="Arial" w:cs="Arial" w:eastAsia="Arial" w:hAnsi="Arial"/>
                <w:sz w:val="16"/>
                <w:szCs w:val="16"/>
                <w:color w:val="auto"/>
              </w:rPr>
              <w:t>Royalties and other receivables from</w:t>
            </w:r>
          </w:p>
        </w:tc>
        <w:tc>
          <w:tcPr>
            <w:tcW w:w="18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5,964</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8,094</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147</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9,861</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14"/>
        </w:trPr>
        <w:tc>
          <w:tcPr>
            <w:tcW w:w="3440" w:type="dxa"/>
            <w:vAlign w:val="bottom"/>
            <w:gridSpan w:val="2"/>
          </w:tcPr>
          <w:p>
            <w:pPr>
              <w:ind w:left="180"/>
              <w:spacing w:after="0"/>
              <w:rPr>
                <w:sz w:val="20"/>
                <w:szCs w:val="20"/>
                <w:color w:val="auto"/>
              </w:rPr>
            </w:pPr>
            <w:r>
              <w:rPr>
                <w:rFonts w:ascii="Arial" w:cs="Arial" w:eastAsia="Arial" w:hAnsi="Arial"/>
                <w:sz w:val="16"/>
                <w:szCs w:val="16"/>
                <w:color w:val="auto"/>
              </w:rPr>
              <w:t>franchisees</w:t>
            </w:r>
          </w:p>
        </w:tc>
        <w:tc>
          <w:tcPr>
            <w:tcW w:w="1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Wave payment processing receivables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2,695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4"/>
        </w:trPr>
        <w:tc>
          <w:tcPr>
            <w:tcW w:w="34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13,802</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1,481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11,917</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2,165</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15,336</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1,828</w:t>
            </w:r>
          </w:p>
        </w:tc>
        <w:tc>
          <w:tcPr>
            <w:tcW w:w="0" w:type="dxa"/>
            <w:vAlign w:val="bottom"/>
          </w:tcPr>
          <w:p>
            <w:pPr>
              <w:spacing w:after="0"/>
              <w:rPr>
                <w:sz w:val="1"/>
                <w:szCs w:val="1"/>
                <w:color w:val="auto"/>
              </w:rPr>
            </w:pPr>
          </w:p>
        </w:tc>
      </w:tr>
      <w:tr>
        <w:trPr>
          <w:trHeight w:val="208"/>
        </w:trPr>
        <w:tc>
          <w:tcPr>
            <w:tcW w:w="3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71,253</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51,791</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74,710</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59,246</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133,197</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51,717</w:t>
            </w:r>
          </w:p>
        </w:tc>
        <w:tc>
          <w:tcPr>
            <w:tcW w:w="0" w:type="dxa"/>
            <w:vAlign w:val="bottom"/>
          </w:tcPr>
          <w:p>
            <w:pPr>
              <w:spacing w:after="0"/>
              <w:rPr>
                <w:sz w:val="1"/>
                <w:szCs w:val="1"/>
                <w:color w:val="auto"/>
              </w:rPr>
            </w:pPr>
          </w:p>
        </w:tc>
      </w:tr>
      <w:tr>
        <w:trPr>
          <w:trHeight w:val="34"/>
        </w:trPr>
        <w:tc>
          <w:tcPr>
            <w:tcW w:w="3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60" w:hanging="225"/>
        <w:spacing w:after="0"/>
        <w:tabs>
          <w:tab w:leader="none" w:pos="360" w:val="left"/>
        </w:tabs>
        <w:numPr>
          <w:ilvl w:val="0"/>
          <w:numId w:val="8"/>
        </w:numPr>
        <w:rPr>
          <w:rFonts w:ascii="Arial" w:cs="Arial" w:eastAsia="Arial" w:hAnsi="Arial"/>
          <w:sz w:val="14"/>
          <w:szCs w:val="14"/>
          <w:color w:val="FFFFFF"/>
          <w:highlight w:val="black"/>
        </w:rPr>
      </w:pPr>
      <w:r>
        <w:rPr>
          <w:rFonts w:ascii="Arial" w:cs="Arial" w:eastAsia="Arial" w:hAnsi="Arial"/>
          <w:sz w:val="14"/>
          <w:szCs w:val="14"/>
          <w:color w:val="auto"/>
        </w:rPr>
        <w:t xml:space="preserve">Q2 FY2021 Form 10-Q | </w:t>
      </w:r>
      <w:r>
        <w:rPr>
          <w:rFonts w:ascii="Arial" w:cs="Arial" w:eastAsia="Arial" w:hAnsi="Arial"/>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145415</wp:posOffset>
            </wp:positionV>
            <wp:extent cx="713359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3590"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-100330</wp:posOffset>
            </wp:positionV>
            <wp:extent cx="212725" cy="1187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2725" cy="118745"/>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10" w:name="page11"/>
    <w:bookmarkEnd w:id="1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firstLine="241"/>
        <w:spacing w:after="0" w:line="286" w:lineRule="auto"/>
        <w:rPr>
          <w:sz w:val="20"/>
          <w:szCs w:val="20"/>
          <w:color w:val="auto"/>
        </w:rPr>
      </w:pPr>
      <w:r>
        <w:rPr>
          <w:rFonts w:ascii="Arial" w:cs="Arial" w:eastAsia="Arial" w:hAnsi="Arial"/>
          <w:sz w:val="18"/>
          <w:szCs w:val="18"/>
          <w:color w:val="auto"/>
        </w:rPr>
        <w:t>Balances presented above as short-term are included in receivables, while the long-term portions are included in other noncurrent assets in the consolidated balance sheets.</w:t>
      </w:r>
    </w:p>
    <w:p>
      <w:pPr>
        <w:spacing w:after="0" w:line="40" w:lineRule="exact"/>
        <w:rPr>
          <w:sz w:val="20"/>
          <w:szCs w:val="20"/>
          <w:color w:val="auto"/>
        </w:rPr>
      </w:pPr>
    </w:p>
    <w:p>
      <w:pPr>
        <w:jc w:val="both"/>
        <w:ind w:firstLine="201"/>
        <w:spacing w:after="0" w:line="261" w:lineRule="auto"/>
        <w:rPr>
          <w:sz w:val="20"/>
          <w:szCs w:val="20"/>
          <w:color w:val="auto"/>
        </w:rPr>
      </w:pPr>
      <w:r>
        <w:rPr>
          <w:rFonts w:ascii="Arial" w:cs="Arial" w:eastAsia="Arial" w:hAnsi="Arial"/>
          <w:sz w:val="18"/>
          <w:szCs w:val="18"/>
          <w:b w:val="1"/>
          <w:bCs w:val="1"/>
          <w:color w:val="auto"/>
        </w:rPr>
        <w:t xml:space="preserve">LOANS TO FRANCHISEES </w:t>
      </w:r>
      <w:r>
        <w:rPr>
          <w:rFonts w:ascii="Arial" w:cs="Arial" w:eastAsia="Arial" w:hAnsi="Arial"/>
          <w:sz w:val="18"/>
          <w:szCs w:val="18"/>
          <w:color w:val="auto"/>
        </w:rPr>
        <w:t>– Franchisee loan balances consist of term loans made primarily to finance the purchase of franchises and</w:t>
      </w:r>
      <w:r>
        <w:rPr>
          <w:rFonts w:ascii="Arial" w:cs="Arial" w:eastAsia="Arial" w:hAnsi="Arial"/>
          <w:sz w:val="18"/>
          <w:szCs w:val="18"/>
          <w:b w:val="1"/>
          <w:bCs w:val="1"/>
          <w:color w:val="auto"/>
        </w:rPr>
        <w:t xml:space="preserve"> </w:t>
      </w:r>
      <w:r>
        <w:rPr>
          <w:rFonts w:ascii="Arial" w:cs="Arial" w:eastAsia="Arial" w:hAnsi="Arial"/>
          <w:sz w:val="18"/>
          <w:szCs w:val="18"/>
          <w:color w:val="auto"/>
        </w:rPr>
        <w:t>revolving lines of credit primarily for the purpose of funding working capital needs. As of October 31, 2020 and 2019 loans with a principal balance of $1.7 million and $0.2 million, respectively, were more than 90 days past due. We had no loans to franchisees on non-accrual status.</w:t>
      </w:r>
    </w:p>
    <w:p>
      <w:pPr>
        <w:spacing w:after="0" w:line="64" w:lineRule="exact"/>
        <w:rPr>
          <w:sz w:val="20"/>
          <w:szCs w:val="20"/>
          <w:color w:val="auto"/>
        </w:rPr>
      </w:pPr>
    </w:p>
    <w:p>
      <w:pPr>
        <w:jc w:val="both"/>
        <w:ind w:firstLine="201"/>
        <w:spacing w:after="0" w:line="288" w:lineRule="auto"/>
        <w:rPr>
          <w:sz w:val="20"/>
          <w:szCs w:val="20"/>
          <w:color w:val="auto"/>
        </w:rPr>
      </w:pPr>
      <w:r>
        <w:rPr>
          <w:rFonts w:ascii="Arial" w:cs="Arial" w:eastAsia="Arial" w:hAnsi="Arial"/>
          <w:sz w:val="18"/>
          <w:szCs w:val="18"/>
          <w:b w:val="1"/>
          <w:bCs w:val="1"/>
          <w:color w:val="auto"/>
        </w:rPr>
        <w:t>H&amp;R BLOCK INSTANT REFUND</w:t>
      </w:r>
      <w:r>
        <w:rPr>
          <w:rFonts w:ascii="Arial" w:cs="Arial" w:eastAsia="Arial" w:hAnsi="Arial"/>
          <w:sz w:val="10"/>
          <w:szCs w:val="10"/>
          <w:b w:val="1"/>
          <w:bCs w:val="1"/>
          <w:color w:val="auto"/>
        </w:rPr>
        <w:t>TM</w:t>
      </w:r>
      <w:r>
        <w:rPr>
          <w:rFonts w:ascii="Arial" w:cs="Arial" w:eastAsia="Arial" w:hAnsi="Arial"/>
          <w:sz w:val="18"/>
          <w:szCs w:val="18"/>
          <w:b w:val="1"/>
          <w:bCs w:val="1"/>
          <w:color w:val="auto"/>
        </w:rPr>
        <w:t xml:space="preserve"> PROGRAM </w:t>
      </w:r>
      <w:r>
        <w:rPr>
          <w:rFonts w:ascii="Arial" w:cs="Arial" w:eastAsia="Arial" w:hAnsi="Arial"/>
          <w:sz w:val="18"/>
          <w:szCs w:val="18"/>
          <w:color w:val="auto"/>
        </w:rPr>
        <w:t>– H&amp;R Block Instant Refund</w:t>
      </w:r>
      <w:r>
        <w:rPr>
          <w:rFonts w:ascii="Arial" w:cs="Arial" w:eastAsia="Arial" w:hAnsi="Arial"/>
          <w:sz w:val="10"/>
          <w:szCs w:val="10"/>
          <w:color w:val="auto"/>
        </w:rPr>
        <w:t>TM</w:t>
      </w:r>
      <w:r>
        <w:rPr>
          <w:rFonts w:ascii="Arial" w:cs="Arial" w:eastAsia="Arial" w:hAnsi="Arial"/>
          <w:sz w:val="18"/>
          <w:szCs w:val="18"/>
          <w:b w:val="1"/>
          <w:bCs w:val="1"/>
          <w:color w:val="auto"/>
        </w:rPr>
        <w:t xml:space="preserve"> </w:t>
      </w:r>
      <w:r>
        <w:rPr>
          <w:rFonts w:ascii="Arial" w:cs="Arial" w:eastAsia="Arial" w:hAnsi="Arial"/>
          <w:sz w:val="18"/>
          <w:szCs w:val="18"/>
          <w:color w:val="auto"/>
        </w:rPr>
        <w:t>amounts are generally received from the Canada Revenue</w:t>
      </w:r>
      <w:r>
        <w:rPr>
          <w:rFonts w:ascii="Arial" w:cs="Arial" w:eastAsia="Arial" w:hAnsi="Arial"/>
          <w:sz w:val="18"/>
          <w:szCs w:val="18"/>
          <w:b w:val="1"/>
          <w:bCs w:val="1"/>
          <w:color w:val="auto"/>
        </w:rPr>
        <w:t xml:space="preserve"> </w:t>
      </w:r>
      <w:r>
        <w:rPr>
          <w:rFonts w:ascii="Arial" w:cs="Arial" w:eastAsia="Arial" w:hAnsi="Arial"/>
          <w:sz w:val="18"/>
          <w:szCs w:val="18"/>
          <w:color w:val="auto"/>
        </w:rPr>
        <w:t>Agency (CRA) within 60 days of filing the client's return, with the remaining balance collectible from the client.</w:t>
      </w:r>
    </w:p>
    <w:p>
      <w:pPr>
        <w:spacing w:after="0" w:line="41" w:lineRule="exact"/>
        <w:rPr>
          <w:sz w:val="20"/>
          <w:szCs w:val="20"/>
          <w:color w:val="auto"/>
        </w:rPr>
      </w:pPr>
    </w:p>
    <w:p>
      <w:pPr>
        <w:jc w:val="both"/>
        <w:ind w:firstLine="201"/>
        <w:spacing w:after="0" w:line="267" w:lineRule="auto"/>
        <w:rPr>
          <w:sz w:val="20"/>
          <w:szCs w:val="20"/>
          <w:color w:val="auto"/>
        </w:rPr>
      </w:pPr>
      <w:r>
        <w:rPr>
          <w:rFonts w:ascii="Arial" w:cs="Arial" w:eastAsia="Arial" w:hAnsi="Arial"/>
          <w:sz w:val="18"/>
          <w:szCs w:val="18"/>
          <w:color w:val="auto"/>
        </w:rPr>
        <w:t>We review the credit quality of our Instant Refund receivables based on pools, which are segregated by the year of origination, with older years being deemed more unlikely to be repaid. Current balances and amounts on non-accrual status and classified as impaired, or more than 60 days past due, by year of origination, as of October 31, 2020 are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7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(in 000s)</w:t>
            </w:r>
          </w:p>
        </w:tc>
      </w:tr>
      <w:tr>
        <w:trPr>
          <w:trHeight w:val="208"/>
        </w:trPr>
        <w:tc>
          <w:tcPr>
            <w:tcW w:w="67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Year of Origination</w:t>
            </w:r>
          </w:p>
        </w:tc>
        <w:tc>
          <w:tcPr>
            <w:tcW w:w="4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700"/>
              <w:spacing w:after="0"/>
              <w:rPr>
                <w:sz w:val="20"/>
                <w:szCs w:val="20"/>
                <w:color w:val="auto"/>
              </w:rPr>
            </w:pPr>
            <w:r>
              <w:rPr>
                <w:rFonts w:ascii="Arial" w:cs="Arial" w:eastAsia="Arial" w:hAnsi="Arial"/>
                <w:sz w:val="16"/>
                <w:szCs w:val="16"/>
                <w:color w:val="auto"/>
              </w:rPr>
              <w:t>Balance</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561"/>
              <w:spacing w:after="0"/>
              <w:rPr>
                <w:sz w:val="20"/>
                <w:szCs w:val="20"/>
                <w:color w:val="auto"/>
              </w:rPr>
            </w:pPr>
            <w:r>
              <w:rPr>
                <w:rFonts w:ascii="Arial" w:cs="Arial" w:eastAsia="Arial" w:hAnsi="Arial"/>
                <w:sz w:val="16"/>
                <w:szCs w:val="16"/>
                <w:color w:val="auto"/>
              </w:rPr>
              <w:t>Non-Accrual</w:t>
            </w:r>
          </w:p>
        </w:tc>
      </w:tr>
      <w:tr>
        <w:trPr>
          <w:trHeight w:val="34"/>
        </w:trPr>
        <w:tc>
          <w:tcPr>
            <w:tcW w:w="6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14"/>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2020</w:t>
            </w:r>
          </w:p>
        </w:tc>
        <w:tc>
          <w:tcPr>
            <w:tcW w:w="440" w:type="dxa"/>
            <w:vAlign w:val="bottom"/>
            <w:shd w:val="clear" w:color="auto" w:fill="CCEEFF"/>
          </w:tcPr>
          <w:p>
            <w:pPr>
              <w:jc w:val="right"/>
              <w:ind w:right="260"/>
              <w:spacing w:after="0"/>
              <w:rPr>
                <w:sz w:val="20"/>
                <w:szCs w:val="20"/>
                <w:color w:val="auto"/>
              </w:rPr>
            </w:pPr>
            <w:r>
              <w:rPr>
                <w:rFonts w:ascii="Arial" w:cs="Arial" w:eastAsia="Arial" w:hAnsi="Arial"/>
                <w:sz w:val="16"/>
                <w:szCs w:val="16"/>
                <w:b w:val="1"/>
                <w:bCs w:val="1"/>
                <w:color w:val="auto"/>
                <w:w w:val="8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4,116</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80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2,572</w:t>
            </w:r>
          </w:p>
        </w:tc>
      </w:tr>
      <w:tr>
        <w:trPr>
          <w:trHeight w:val="214"/>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2019 and prior</w:t>
            </w:r>
          </w:p>
        </w:tc>
        <w:tc>
          <w:tcPr>
            <w:tcW w:w="4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209</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209</w:t>
            </w:r>
          </w:p>
        </w:tc>
      </w:tr>
      <w:tr>
        <w:trPr>
          <w:trHeight w:val="208"/>
        </w:trPr>
        <w:tc>
          <w:tcPr>
            <w:tcW w:w="6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4,325</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8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2,781</w:t>
            </w:r>
          </w:p>
        </w:tc>
      </w:tr>
      <w:tr>
        <w:trPr>
          <w:trHeight w:val="194"/>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Allowance</w:t>
            </w:r>
          </w:p>
        </w:tc>
        <w:tc>
          <w:tcPr>
            <w:tcW w:w="4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(2,343)</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CCEEFF"/>
            </w:tcBorders>
          </w:tcPr>
          <w:p>
            <w:pPr>
              <w:spacing w:after="0"/>
              <w:rPr>
                <w:sz w:val="16"/>
                <w:szCs w:val="16"/>
                <w:color w:val="auto"/>
              </w:rPr>
            </w:pPr>
          </w:p>
        </w:tc>
        <w:tc>
          <w:tcPr>
            <w:tcW w:w="1800" w:type="dxa"/>
            <w:vAlign w:val="bottom"/>
            <w:tcBorders>
              <w:bottom w:val="single" w:sz="8" w:color="CCEEFF"/>
            </w:tcBorders>
          </w:tcPr>
          <w:p>
            <w:pPr>
              <w:spacing w:after="0"/>
              <w:rPr>
                <w:sz w:val="16"/>
                <w:szCs w:val="16"/>
                <w:color w:val="auto"/>
              </w:rPr>
            </w:pPr>
          </w:p>
        </w:tc>
      </w:tr>
      <w:tr>
        <w:trPr>
          <w:trHeight w:val="208"/>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balance</w:t>
            </w:r>
          </w:p>
        </w:tc>
        <w:tc>
          <w:tcPr>
            <w:tcW w:w="44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6"/>
                <w:szCs w:val="16"/>
                <w:b w:val="1"/>
                <w:bCs w:val="1"/>
                <w:color w:val="auto"/>
                <w:w w:val="8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1,982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34"/>
        </w:trPr>
        <w:tc>
          <w:tcPr>
            <w:tcW w:w="6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bl>
    <w:p>
      <w:pPr>
        <w:spacing w:after="0" w:line="163" w:lineRule="exact"/>
        <w:rPr>
          <w:sz w:val="20"/>
          <w:szCs w:val="20"/>
          <w:color w:val="auto"/>
        </w:rPr>
      </w:pPr>
    </w:p>
    <w:p>
      <w:pPr>
        <w:jc w:val="both"/>
        <w:ind w:firstLine="241"/>
        <w:spacing w:after="0" w:line="239" w:lineRule="auto"/>
        <w:rPr>
          <w:sz w:val="20"/>
          <w:szCs w:val="20"/>
          <w:color w:val="auto"/>
        </w:rPr>
      </w:pPr>
      <w:r>
        <w:rPr>
          <w:rFonts w:ascii="Arial" w:cs="Arial" w:eastAsia="Arial" w:hAnsi="Arial"/>
          <w:sz w:val="18"/>
          <w:szCs w:val="18"/>
          <w:b w:val="1"/>
          <w:bCs w:val="1"/>
          <w:color w:val="auto"/>
        </w:rPr>
        <w:t>H&amp;R BLOCK EMERALD ADVANCE</w:t>
      </w:r>
      <w:r>
        <w:rPr>
          <w:rFonts w:ascii="Arial" w:cs="Arial" w:eastAsia="Arial" w:hAnsi="Arial"/>
          <w:sz w:val="18"/>
          <w:szCs w:val="18"/>
          <w:color w:val="auto"/>
        </w:rPr>
        <w:t>®</w:t>
      </w:r>
      <w:r>
        <w:rPr>
          <w:rFonts w:ascii="Arial" w:cs="Arial" w:eastAsia="Arial" w:hAnsi="Arial"/>
          <w:sz w:val="18"/>
          <w:szCs w:val="18"/>
          <w:b w:val="1"/>
          <w:bCs w:val="1"/>
          <w:color w:val="auto"/>
        </w:rPr>
        <w:t xml:space="preserve"> LINES OF CREDIT </w:t>
      </w:r>
      <w:r>
        <w:rPr>
          <w:rFonts w:ascii="Arial" w:cs="Arial" w:eastAsia="Arial" w:hAnsi="Arial"/>
          <w:sz w:val="18"/>
          <w:szCs w:val="18"/>
          <w:color w:val="auto"/>
        </w:rPr>
        <w:t>– We review the credit quality of our purchased participation interests in</w:t>
      </w:r>
      <w:r>
        <w:rPr>
          <w:rFonts w:ascii="Arial" w:cs="Arial" w:eastAsia="Arial" w:hAnsi="Arial"/>
          <w:sz w:val="18"/>
          <w:szCs w:val="18"/>
          <w:b w:val="1"/>
          <w:bCs w:val="1"/>
          <w:color w:val="auto"/>
        </w:rPr>
        <w:t xml:space="preserve"> </w:t>
      </w:r>
      <w:r>
        <w:rPr>
          <w:rFonts w:ascii="Arial" w:cs="Arial" w:eastAsia="Arial" w:hAnsi="Arial"/>
          <w:sz w:val="18"/>
          <w:szCs w:val="18"/>
          <w:color w:val="auto"/>
        </w:rPr>
        <w:t>Emerald Advance</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(EA) receivables based on pools, which are segregated by the year of origination, with older years being deemed more unlikely to be repaid. Balances and amounts on non-accrual status and classified as impaired, or more than 60 days past due, as of October 31, 2020, by year of origination, are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(in 000s)</w:t>
            </w:r>
          </w:p>
        </w:tc>
      </w:tr>
      <w:tr>
        <w:trPr>
          <w:trHeight w:val="208"/>
        </w:trPr>
        <w:tc>
          <w:tcPr>
            <w:tcW w:w="6760" w:type="dxa"/>
            <w:vAlign w:val="bottom"/>
            <w:gridSpan w:val="2"/>
          </w:tcPr>
          <w:p>
            <w:pPr>
              <w:ind w:left="20"/>
              <w:spacing w:after="0"/>
              <w:rPr>
                <w:sz w:val="20"/>
                <w:szCs w:val="20"/>
                <w:color w:val="auto"/>
              </w:rPr>
            </w:pPr>
            <w:r>
              <w:rPr>
                <w:rFonts w:ascii="Arial" w:cs="Arial" w:eastAsia="Arial" w:hAnsi="Arial"/>
                <w:sz w:val="16"/>
                <w:szCs w:val="16"/>
                <w:color w:val="auto"/>
              </w:rPr>
              <w:t>Year of origination:</w:t>
            </w:r>
          </w:p>
        </w:tc>
        <w:tc>
          <w:tcPr>
            <w:tcW w:w="8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Balance</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Non-Accrual</w:t>
            </w:r>
          </w:p>
        </w:tc>
      </w:tr>
      <w:tr>
        <w:trPr>
          <w:trHeight w:val="208"/>
        </w:trPr>
        <w:tc>
          <w:tcPr>
            <w:tcW w:w="664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2020</w:t>
            </w: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640"/>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27,565</w:t>
            </w: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00"/>
              <w:spacing w:after="0"/>
              <w:rPr>
                <w:sz w:val="20"/>
                <w:szCs w:val="20"/>
                <w:color w:val="auto"/>
              </w:rPr>
            </w:pPr>
            <w:r>
              <w:rPr>
                <w:rFonts w:ascii="Arial" w:cs="Arial" w:eastAsia="Arial" w:hAnsi="Arial"/>
                <w:sz w:val="16"/>
                <w:szCs w:val="16"/>
                <w:b w:val="1"/>
                <w:bCs w:val="1"/>
                <w:color w:val="auto"/>
              </w:rPr>
              <w:t>$</w:t>
            </w:r>
          </w:p>
        </w:tc>
        <w:tc>
          <w:tcPr>
            <w:tcW w:w="14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27,565</w:t>
            </w:r>
          </w:p>
        </w:tc>
      </w:tr>
      <w:tr>
        <w:trPr>
          <w:trHeight w:val="214"/>
        </w:trPr>
        <w:tc>
          <w:tcPr>
            <w:tcW w:w="6760" w:type="dxa"/>
            <w:vAlign w:val="bottom"/>
            <w:gridSpan w:val="2"/>
          </w:tcPr>
          <w:p>
            <w:pPr>
              <w:ind w:left="140"/>
              <w:spacing w:after="0"/>
              <w:rPr>
                <w:sz w:val="20"/>
                <w:szCs w:val="20"/>
                <w:color w:val="auto"/>
              </w:rPr>
            </w:pPr>
            <w:r>
              <w:rPr>
                <w:rFonts w:ascii="Arial" w:cs="Arial" w:eastAsia="Arial" w:hAnsi="Arial"/>
                <w:sz w:val="16"/>
                <w:szCs w:val="16"/>
                <w:color w:val="auto"/>
              </w:rPr>
              <w:t>2019 and prior</w:t>
            </w:r>
          </w:p>
        </w:tc>
        <w:tc>
          <w:tcPr>
            <w:tcW w:w="8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4,572</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80" w:type="dxa"/>
            <w:vAlign w:val="bottom"/>
          </w:tcPr>
          <w:p>
            <w:pPr>
              <w:jc w:val="right"/>
              <w:ind w:right="1"/>
              <w:spacing w:after="0"/>
              <w:rPr>
                <w:sz w:val="20"/>
                <w:szCs w:val="20"/>
                <w:color w:val="auto"/>
              </w:rPr>
            </w:pPr>
            <w:r>
              <w:rPr>
                <w:rFonts w:ascii="Arial" w:cs="Arial" w:eastAsia="Arial" w:hAnsi="Arial"/>
                <w:sz w:val="16"/>
                <w:szCs w:val="16"/>
                <w:b w:val="1"/>
                <w:bCs w:val="1"/>
                <w:color w:val="auto"/>
              </w:rPr>
              <w:t>4,572</w:t>
            </w:r>
          </w:p>
        </w:tc>
      </w:tr>
      <w:tr>
        <w:trPr>
          <w:trHeight w:val="214"/>
        </w:trPr>
        <w:tc>
          <w:tcPr>
            <w:tcW w:w="67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Revolving loans</w:t>
            </w:r>
          </w:p>
        </w:tc>
        <w:tc>
          <w:tcPr>
            <w:tcW w:w="8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15,189</w:t>
            </w:r>
          </w:p>
        </w:tc>
        <w:tc>
          <w:tcPr>
            <w:tcW w:w="1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13,822</w:t>
            </w:r>
          </w:p>
        </w:tc>
      </w:tr>
      <w:tr>
        <w:trPr>
          <w:trHeight w:val="208"/>
        </w:trPr>
        <w:tc>
          <w:tcPr>
            <w:tcW w:w="66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47,326</w:t>
            </w:r>
          </w:p>
        </w:tc>
        <w:tc>
          <w:tcPr>
            <w:tcW w:w="12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ind w:right="500"/>
              <w:spacing w:after="0"/>
              <w:rPr>
                <w:sz w:val="20"/>
                <w:szCs w:val="20"/>
                <w:color w:val="auto"/>
              </w:rPr>
            </w:pPr>
            <w:r>
              <w:rPr>
                <w:rFonts w:ascii="Arial" w:cs="Arial" w:eastAsia="Arial" w:hAnsi="Arial"/>
                <w:sz w:val="16"/>
                <w:szCs w:val="16"/>
                <w:b w:val="1"/>
                <w:bCs w:val="1"/>
                <w:color w:val="auto"/>
              </w:rPr>
              <w:t>$</w:t>
            </w:r>
          </w:p>
        </w:tc>
        <w:tc>
          <w:tcPr>
            <w:tcW w:w="14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45,959</w:t>
            </w:r>
          </w:p>
        </w:tc>
      </w:tr>
      <w:tr>
        <w:trPr>
          <w:trHeight w:val="194"/>
        </w:trPr>
        <w:tc>
          <w:tcPr>
            <w:tcW w:w="67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Allowance</w:t>
            </w:r>
          </w:p>
        </w:tc>
        <w:tc>
          <w:tcPr>
            <w:tcW w:w="82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(29,325)</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r>
      <w:tr>
        <w:trPr>
          <w:trHeight w:val="246"/>
        </w:trPr>
        <w:tc>
          <w:tcPr>
            <w:tcW w:w="676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Net balance</w:t>
            </w:r>
          </w:p>
        </w:tc>
        <w:tc>
          <w:tcPr>
            <w:tcW w:w="820" w:type="dxa"/>
            <w:vAlign w:val="bottom"/>
            <w:tcBorders>
              <w:bottom w:val="single" w:sz="8" w:color="auto"/>
            </w:tcBorders>
          </w:tcPr>
          <w:p>
            <w:pPr>
              <w:jc w:val="right"/>
              <w:ind w:right="640"/>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18,001</w:t>
            </w:r>
          </w:p>
        </w:tc>
        <w:tc>
          <w:tcPr>
            <w:tcW w:w="120" w:type="dxa"/>
            <w:vAlign w:val="bottom"/>
            <w:tcBorders>
              <w:bottom w:val="single" w:sz="8" w:color="CCEEFF"/>
            </w:tcBorders>
          </w:tcPr>
          <w:p>
            <w:pPr>
              <w:spacing w:after="0"/>
              <w:rPr>
                <w:sz w:val="20"/>
                <w:szCs w:val="20"/>
                <w:color w:val="auto"/>
              </w:rPr>
            </w:pPr>
          </w:p>
        </w:tc>
        <w:tc>
          <w:tcPr>
            <w:tcW w:w="700" w:type="dxa"/>
            <w:vAlign w:val="bottom"/>
            <w:tcBorders>
              <w:bottom w:val="single" w:sz="8" w:color="CCEEFF"/>
            </w:tcBorders>
          </w:tcPr>
          <w:p>
            <w:pPr>
              <w:spacing w:after="0"/>
              <w:rPr>
                <w:sz w:val="20"/>
                <w:szCs w:val="20"/>
                <w:color w:val="auto"/>
              </w:rPr>
            </w:pPr>
          </w:p>
        </w:tc>
        <w:tc>
          <w:tcPr>
            <w:tcW w:w="1480" w:type="dxa"/>
            <w:vAlign w:val="bottom"/>
            <w:tcBorders>
              <w:bottom w:val="single" w:sz="8" w:color="CCEEFF"/>
            </w:tcBorders>
          </w:tcPr>
          <w:p>
            <w:pPr>
              <w:spacing w:after="0"/>
              <w:rPr>
                <w:sz w:val="20"/>
                <w:szCs w:val="20"/>
                <w:color w:val="auto"/>
              </w:rPr>
            </w:pPr>
          </w:p>
        </w:tc>
      </w:tr>
      <w:tr>
        <w:trPr>
          <w:trHeight w:val="20"/>
        </w:trPr>
        <w:tc>
          <w:tcPr>
            <w:tcW w:w="664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820" w:type="dxa"/>
            <w:vAlign w:val="bottom"/>
            <w:tcBorders>
              <w:top w:val="single" w:sz="8" w:color="CCEEFF"/>
            </w:tcBorders>
            <w:shd w:val="clear" w:color="auto" w:fill="000000"/>
          </w:tcPr>
          <w:p>
            <w:pPr>
              <w:spacing w:after="0" w:line="20" w:lineRule="exact"/>
              <w:rPr>
                <w:sz w:val="1"/>
                <w:szCs w:val="1"/>
                <w:color w:val="auto"/>
              </w:rPr>
            </w:pPr>
          </w:p>
        </w:tc>
        <w:tc>
          <w:tcPr>
            <w:tcW w:w="134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700" w:type="dxa"/>
            <w:vAlign w:val="bottom"/>
            <w:tcBorders>
              <w:top w:val="single" w:sz="8" w:color="CCEEFF"/>
            </w:tcBorders>
            <w:shd w:val="clear" w:color="auto" w:fill="000000"/>
          </w:tcPr>
          <w:p>
            <w:pPr>
              <w:spacing w:after="0" w:line="20" w:lineRule="exact"/>
              <w:rPr>
                <w:sz w:val="1"/>
                <w:szCs w:val="1"/>
                <w:color w:val="auto"/>
              </w:rPr>
            </w:pPr>
          </w:p>
        </w:tc>
        <w:tc>
          <w:tcPr>
            <w:tcW w:w="1480" w:type="dxa"/>
            <w:vAlign w:val="bottom"/>
            <w:tcBorders>
              <w:top w:val="single" w:sz="8" w:color="CCEEFF"/>
            </w:tcBorders>
            <w:shd w:val="clear" w:color="auto" w:fill="000000"/>
          </w:tcPr>
          <w:p>
            <w:pPr>
              <w:spacing w:after="0" w:line="20" w:lineRule="exact"/>
              <w:rPr>
                <w:sz w:val="1"/>
                <w:szCs w:val="1"/>
                <w:color w:val="auto"/>
              </w:rPr>
            </w:pPr>
          </w:p>
        </w:tc>
      </w:tr>
    </w:tbl>
    <w:p>
      <w:pPr>
        <w:spacing w:after="0" w:line="176" w:lineRule="exact"/>
        <w:rPr>
          <w:sz w:val="20"/>
          <w:szCs w:val="20"/>
          <w:color w:val="auto"/>
        </w:rPr>
      </w:pPr>
    </w:p>
    <w:p>
      <w:pPr>
        <w:jc w:val="both"/>
        <w:ind w:firstLine="201"/>
        <w:spacing w:after="0" w:line="288" w:lineRule="auto"/>
        <w:rPr>
          <w:sz w:val="20"/>
          <w:szCs w:val="20"/>
          <w:color w:val="auto"/>
        </w:rPr>
      </w:pPr>
      <w:r>
        <w:rPr>
          <w:rFonts w:ascii="Arial" w:cs="Arial" w:eastAsia="Arial" w:hAnsi="Arial"/>
          <w:sz w:val="18"/>
          <w:szCs w:val="18"/>
          <w:b w:val="1"/>
          <w:bCs w:val="1"/>
          <w:color w:val="auto"/>
        </w:rPr>
        <w:t xml:space="preserve">ALLOWANCE FOR CREDIT LOSSES </w:t>
      </w:r>
      <w:r>
        <w:rPr>
          <w:rFonts w:ascii="Arial" w:cs="Arial" w:eastAsia="Arial" w:hAnsi="Arial"/>
          <w:sz w:val="18"/>
          <w:szCs w:val="18"/>
          <w:color w:val="auto"/>
        </w:rPr>
        <w:t>– Activity in the allowance for credit losses for our EA and all other short-term and long-term</w:t>
      </w:r>
      <w:r>
        <w:rPr>
          <w:rFonts w:ascii="Arial" w:cs="Arial" w:eastAsia="Arial" w:hAnsi="Arial"/>
          <w:sz w:val="18"/>
          <w:szCs w:val="18"/>
          <w:b w:val="1"/>
          <w:bCs w:val="1"/>
          <w:color w:val="auto"/>
        </w:rPr>
        <w:t xml:space="preserve"> </w:t>
      </w:r>
      <w:r>
        <w:rPr>
          <w:rFonts w:ascii="Arial" w:cs="Arial" w:eastAsia="Arial" w:hAnsi="Arial"/>
          <w:sz w:val="18"/>
          <w:szCs w:val="18"/>
          <w:color w:val="auto"/>
        </w:rPr>
        <w:t>receivables for the six months ended October 31, 2020 and 2019 is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4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(in 000s)</w:t>
            </w:r>
          </w:p>
        </w:tc>
      </w:tr>
      <w:tr>
        <w:trPr>
          <w:trHeight w:val="208"/>
        </w:trPr>
        <w:tc>
          <w:tcPr>
            <w:tcW w:w="5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60" w:type="dxa"/>
            <w:vAlign w:val="bottom"/>
            <w:gridSpan w:val="2"/>
          </w:tcPr>
          <w:p>
            <w:pPr>
              <w:ind w:left="820"/>
              <w:spacing w:after="0"/>
              <w:rPr>
                <w:sz w:val="20"/>
                <w:szCs w:val="20"/>
                <w:color w:val="auto"/>
              </w:rPr>
            </w:pPr>
            <w:r>
              <w:rPr>
                <w:rFonts w:ascii="Arial" w:cs="Arial" w:eastAsia="Arial" w:hAnsi="Arial"/>
                <w:sz w:val="16"/>
                <w:szCs w:val="16"/>
                <w:color w:val="auto"/>
              </w:rPr>
              <w:t>EAs</w:t>
            </w:r>
          </w:p>
        </w:tc>
        <w:tc>
          <w:tcPr>
            <w:tcW w:w="640" w:type="dxa"/>
            <w:vAlign w:val="bottom"/>
          </w:tcPr>
          <w:p>
            <w:pPr>
              <w:spacing w:after="0"/>
              <w:rPr>
                <w:sz w:val="18"/>
                <w:szCs w:val="18"/>
                <w:color w:val="auto"/>
              </w:rPr>
            </w:pPr>
          </w:p>
        </w:tc>
        <w:tc>
          <w:tcPr>
            <w:tcW w:w="1280" w:type="dxa"/>
            <w:vAlign w:val="bottom"/>
            <w:gridSpan w:val="2"/>
          </w:tcPr>
          <w:p>
            <w:pPr>
              <w:ind w:left="520"/>
              <w:spacing w:after="0"/>
              <w:rPr>
                <w:sz w:val="20"/>
                <w:szCs w:val="20"/>
                <w:color w:val="auto"/>
              </w:rPr>
            </w:pPr>
            <w:r>
              <w:rPr>
                <w:rFonts w:ascii="Arial" w:cs="Arial" w:eastAsia="Arial" w:hAnsi="Arial"/>
                <w:sz w:val="16"/>
                <w:szCs w:val="16"/>
                <w:color w:val="auto"/>
              </w:rPr>
              <w:t>All Other</w:t>
            </w:r>
          </w:p>
        </w:tc>
        <w:tc>
          <w:tcPr>
            <w:tcW w:w="6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Total</w:t>
            </w:r>
          </w:p>
        </w:tc>
      </w:tr>
      <w:tr>
        <w:trPr>
          <w:trHeight w:val="208"/>
        </w:trPr>
        <w:tc>
          <w:tcPr>
            <w:tcW w:w="5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Balances as of May 1, 2020</w:t>
            </w: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480"/>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32,034</w:t>
            </w:r>
          </w:p>
        </w:tc>
        <w:tc>
          <w:tcPr>
            <w:tcW w:w="1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460"/>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50,446</w:t>
            </w: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480"/>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82,480</w:t>
            </w:r>
          </w:p>
        </w:tc>
      </w:tr>
      <w:tr>
        <w:trPr>
          <w:trHeight w:val="214"/>
        </w:trPr>
        <w:tc>
          <w:tcPr>
            <w:tcW w:w="5560" w:type="dxa"/>
            <w:vAlign w:val="bottom"/>
            <w:gridSpan w:val="2"/>
          </w:tcPr>
          <w:p>
            <w:pPr>
              <w:ind w:left="20"/>
              <w:spacing w:after="0"/>
              <w:rPr>
                <w:sz w:val="20"/>
                <w:szCs w:val="20"/>
                <w:color w:val="auto"/>
              </w:rPr>
            </w:pPr>
            <w:r>
              <w:rPr>
                <w:rFonts w:ascii="Arial" w:cs="Arial" w:eastAsia="Arial" w:hAnsi="Arial"/>
                <w:sz w:val="16"/>
                <w:szCs w:val="16"/>
                <w:color w:val="auto"/>
              </w:rPr>
              <w:t>Provision</w:t>
            </w:r>
          </w:p>
        </w:tc>
        <w:tc>
          <w:tcPr>
            <w:tcW w:w="6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(2,709)</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7,287</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Arial" w:cs="Arial" w:eastAsia="Arial" w:hAnsi="Arial"/>
                <w:sz w:val="16"/>
                <w:szCs w:val="16"/>
                <w:b w:val="1"/>
                <w:bCs w:val="1"/>
                <w:color w:val="auto"/>
              </w:rPr>
              <w:t>4,578</w:t>
            </w:r>
          </w:p>
        </w:tc>
      </w:tr>
      <w:tr>
        <w:trPr>
          <w:trHeight w:val="214"/>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Charge-offs, recoveries and other</w:t>
            </w:r>
          </w:p>
        </w:tc>
        <w:tc>
          <w:tcPr>
            <w:tcW w:w="6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w:t>
            </w:r>
          </w:p>
        </w:tc>
        <w:tc>
          <w:tcPr>
            <w:tcW w:w="6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(4,382)</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(4,382)</w:t>
            </w:r>
          </w:p>
        </w:tc>
      </w:tr>
      <w:tr>
        <w:trPr>
          <w:trHeight w:val="246"/>
        </w:trPr>
        <w:tc>
          <w:tcPr>
            <w:tcW w:w="55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Balances as of October 31, 2020</w:t>
            </w:r>
          </w:p>
        </w:tc>
        <w:tc>
          <w:tcPr>
            <w:tcW w:w="660" w:type="dxa"/>
            <w:vAlign w:val="bottom"/>
            <w:tcBorders>
              <w:top w:val="single" w:sz="8" w:color="auto"/>
              <w:bottom w:val="single" w:sz="8" w:color="auto"/>
            </w:tcBorders>
          </w:tcPr>
          <w:p>
            <w:pPr>
              <w:jc w:val="right"/>
              <w:ind w:right="480"/>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29,325</w:t>
            </w:r>
          </w:p>
        </w:tc>
        <w:tc>
          <w:tcPr>
            <w:tcW w:w="120" w:type="dxa"/>
            <w:vAlign w:val="bottom"/>
            <w:tcBorders>
              <w:bottom w:val="single" w:sz="8" w:color="CCEEFF"/>
            </w:tcBorders>
          </w:tcPr>
          <w:p>
            <w:pPr>
              <w:spacing w:after="0"/>
              <w:rPr>
                <w:sz w:val="20"/>
                <w:szCs w:val="20"/>
                <w:color w:val="auto"/>
              </w:rPr>
            </w:pPr>
          </w:p>
        </w:tc>
        <w:tc>
          <w:tcPr>
            <w:tcW w:w="64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53,351</w:t>
            </w:r>
          </w:p>
        </w:tc>
        <w:tc>
          <w:tcPr>
            <w:tcW w:w="120" w:type="dxa"/>
            <w:vAlign w:val="bottom"/>
            <w:tcBorders>
              <w:bottom w:val="single" w:sz="8" w:color="CCEEFF"/>
            </w:tcBorders>
          </w:tcPr>
          <w:p>
            <w:pPr>
              <w:spacing w:after="0"/>
              <w:rPr>
                <w:sz w:val="20"/>
                <w:szCs w:val="20"/>
                <w:color w:val="auto"/>
              </w:rPr>
            </w:pPr>
          </w:p>
        </w:tc>
        <w:tc>
          <w:tcPr>
            <w:tcW w:w="680" w:type="dxa"/>
            <w:vAlign w:val="bottom"/>
            <w:tcBorders>
              <w:top w:val="single" w:sz="8" w:color="auto"/>
              <w:bottom w:val="single" w:sz="8" w:color="auto"/>
            </w:tcBorders>
          </w:tcPr>
          <w:p>
            <w:pPr>
              <w:jc w:val="right"/>
              <w:ind w:right="480"/>
              <w:spacing w:after="0"/>
              <w:rPr>
                <w:sz w:val="20"/>
                <w:szCs w:val="20"/>
                <w:color w:val="auto"/>
              </w:rPr>
            </w:pPr>
            <w:r>
              <w:rPr>
                <w:rFonts w:ascii="Arial" w:cs="Arial" w:eastAsia="Arial" w:hAnsi="Arial"/>
                <w:sz w:val="16"/>
                <w:szCs w:val="16"/>
                <w:b w:val="1"/>
                <w:bCs w:val="1"/>
                <w:color w:val="auto"/>
              </w:rPr>
              <w:t>$</w:t>
            </w:r>
          </w:p>
        </w:tc>
        <w:tc>
          <w:tcPr>
            <w:tcW w:w="11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82,676</w:t>
            </w:r>
          </w:p>
        </w:tc>
      </w:tr>
      <w:tr>
        <w:trPr>
          <w:trHeight w:val="214"/>
        </w:trPr>
        <w:tc>
          <w:tcPr>
            <w:tcW w:w="5560" w:type="dxa"/>
            <w:vAlign w:val="bottom"/>
            <w:tcBorders>
              <w:top w:val="single" w:sz="8" w:color="CCEEFF"/>
            </w:tcBorders>
            <w:gridSpan w:val="2"/>
          </w:tcPr>
          <w:p>
            <w:pPr>
              <w:ind w:left="20"/>
              <w:spacing w:after="0"/>
              <w:rPr>
                <w:sz w:val="20"/>
                <w:szCs w:val="20"/>
                <w:color w:val="auto"/>
              </w:rPr>
            </w:pPr>
            <w:r>
              <w:rPr>
                <w:rFonts w:ascii="Arial" w:cs="Arial" w:eastAsia="Arial" w:hAnsi="Arial"/>
                <w:sz w:val="16"/>
                <w:szCs w:val="16"/>
                <w:color w:val="auto"/>
              </w:rPr>
              <w:t>Balances as of May 1, 2019</w:t>
            </w:r>
          </w:p>
        </w:tc>
        <w:tc>
          <w:tcPr>
            <w:tcW w:w="660" w:type="dxa"/>
            <w:vAlign w:val="bottom"/>
            <w:tcBorders>
              <w:top w:val="single" w:sz="8" w:color="CCEEFF"/>
            </w:tcBorders>
          </w:tcPr>
          <w:p>
            <w:pPr>
              <w:jc w:val="right"/>
              <w:ind w:right="480"/>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27,535</w:t>
            </w:r>
          </w:p>
        </w:tc>
        <w:tc>
          <w:tcPr>
            <w:tcW w:w="1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jc w:val="right"/>
              <w:ind w:right="460"/>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53,938</w:t>
            </w:r>
          </w:p>
        </w:tc>
        <w:tc>
          <w:tcPr>
            <w:tcW w:w="1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jc w:val="right"/>
              <w:ind w:right="480"/>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CCEEFF"/>
            </w:tcBorders>
          </w:tcPr>
          <w:p>
            <w:pPr>
              <w:jc w:val="right"/>
              <w:ind w:right="1"/>
              <w:spacing w:after="0"/>
              <w:rPr>
                <w:sz w:val="20"/>
                <w:szCs w:val="20"/>
                <w:color w:val="auto"/>
              </w:rPr>
            </w:pPr>
            <w:r>
              <w:rPr>
                <w:rFonts w:ascii="Arial" w:cs="Arial" w:eastAsia="Arial" w:hAnsi="Arial"/>
                <w:sz w:val="16"/>
                <w:szCs w:val="16"/>
                <w:color w:val="auto"/>
              </w:rPr>
              <w:t>81,473</w:t>
            </w:r>
          </w:p>
        </w:tc>
      </w:tr>
      <w:tr>
        <w:trPr>
          <w:trHeight w:val="214"/>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Provision</w:t>
            </w:r>
          </w:p>
        </w:tc>
        <w:tc>
          <w:tcPr>
            <w:tcW w:w="6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1,890</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1,890</w:t>
            </w:r>
          </w:p>
        </w:tc>
      </w:tr>
      <w:tr>
        <w:trPr>
          <w:trHeight w:val="214"/>
        </w:trPr>
        <w:tc>
          <w:tcPr>
            <w:tcW w:w="5560" w:type="dxa"/>
            <w:vAlign w:val="bottom"/>
            <w:gridSpan w:val="2"/>
          </w:tcPr>
          <w:p>
            <w:pPr>
              <w:ind w:left="20"/>
              <w:spacing w:after="0"/>
              <w:rPr>
                <w:sz w:val="20"/>
                <w:szCs w:val="20"/>
                <w:color w:val="auto"/>
              </w:rPr>
            </w:pPr>
            <w:r>
              <w:rPr>
                <w:rFonts w:ascii="Arial" w:cs="Arial" w:eastAsia="Arial" w:hAnsi="Arial"/>
                <w:sz w:val="16"/>
                <w:szCs w:val="16"/>
                <w:color w:val="auto"/>
              </w:rPr>
              <w:t>Charge-offs, recoveries and other</w:t>
            </w:r>
          </w:p>
        </w:tc>
        <w:tc>
          <w:tcPr>
            <w:tcW w:w="66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(1,217)</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(1,217)</w:t>
            </w:r>
          </w:p>
        </w:tc>
      </w:tr>
      <w:tr>
        <w:trPr>
          <w:trHeight w:val="208"/>
        </w:trPr>
        <w:tc>
          <w:tcPr>
            <w:tcW w:w="55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Balances as of October 31, 2019</w:t>
            </w:r>
          </w:p>
        </w:tc>
        <w:tc>
          <w:tcPr>
            <w:tcW w:w="660" w:type="dxa"/>
            <w:vAlign w:val="bottom"/>
            <w:tcBorders>
              <w:top w:val="single" w:sz="8" w:color="auto"/>
              <w:bottom w:val="single" w:sz="8" w:color="auto"/>
            </w:tcBorders>
            <w:shd w:val="clear" w:color="auto" w:fill="CCEEFF"/>
          </w:tcPr>
          <w:p>
            <w:pPr>
              <w:jc w:val="right"/>
              <w:ind w:right="480"/>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27,535</w:t>
            </w:r>
          </w:p>
        </w:tc>
        <w:tc>
          <w:tcPr>
            <w:tcW w:w="1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ind w:right="460"/>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54,611</w:t>
            </w: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ind w:right="480"/>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82,146</w:t>
            </w:r>
          </w:p>
        </w:tc>
      </w:tr>
      <w:tr>
        <w:trPr>
          <w:trHeight w:val="34"/>
        </w:trPr>
        <w:tc>
          <w:tcPr>
            <w:tcW w:w="54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8240"/>
        <w:spacing w:after="0"/>
        <w:tabs>
          <w:tab w:leader="none" w:pos="11000" w:val="left"/>
        </w:tabs>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Q2 FY2021 Form 10-Q</w:t>
      </w:r>
      <w:r>
        <w:rPr>
          <w:sz w:val="20"/>
          <w:szCs w:val="20"/>
          <w:color w:val="auto"/>
        </w:rPr>
        <w:tab/>
      </w:r>
      <w:r>
        <w:rPr>
          <w:rFonts w:ascii="Arial" w:cs="Arial" w:eastAsia="Arial" w:hAnsi="Arial"/>
          <w:sz w:val="14"/>
          <w:szCs w:val="14"/>
          <w:color w:val="FFFFFF"/>
          <w:highlight w:val="black"/>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145415</wp:posOffset>
            </wp:positionV>
            <wp:extent cx="713359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3590" cy="17145"/>
                    </a:xfrm>
                    <a:prstGeom prst="rect">
                      <a:avLst/>
                    </a:prstGeom>
                    <a:noFill/>
                  </pic:spPr>
                </pic:pic>
              </a:graphicData>
            </a:graphic>
          </wp:anchor>
        </w:drawing>
        <w:drawing>
          <wp:anchor simplePos="0" relativeHeight="251657728" behindDoc="1" locked="0" layoutInCell="0" allowOverlap="1">
            <wp:simplePos x="0" y="0"/>
            <wp:positionH relativeFrom="column">
              <wp:posOffset>6917055</wp:posOffset>
            </wp:positionH>
            <wp:positionV relativeFrom="paragraph">
              <wp:posOffset>-100330</wp:posOffset>
            </wp:positionV>
            <wp:extent cx="220980" cy="1187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20980" cy="118745"/>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11" w:name="page12"/>
    <w:bookmarkEnd w:id="1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GOODWILL AND INTANGIBLE ASSETS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for the six months ended October 31, 2020 and 2019 are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(in 000s)</w:t>
            </w:r>
          </w:p>
        </w:tc>
        <w:tc>
          <w:tcPr>
            <w:tcW w:w="0" w:type="dxa"/>
            <w:vAlign w:val="bottom"/>
          </w:tcPr>
          <w:p>
            <w:pPr>
              <w:spacing w:after="0"/>
              <w:rPr>
                <w:sz w:val="1"/>
                <w:szCs w:val="1"/>
                <w:color w:val="auto"/>
              </w:rPr>
            </w:pPr>
          </w:p>
        </w:tc>
      </w:tr>
      <w:tr>
        <w:trPr>
          <w:trHeight w:val="154"/>
        </w:trPr>
        <w:tc>
          <w:tcPr>
            <w:tcW w:w="4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0" w:type="dxa"/>
            <w:vAlign w:val="bottom"/>
            <w:gridSpan w:val="2"/>
            <w:vMerge w:val="restart"/>
          </w:tcPr>
          <w:p>
            <w:pPr>
              <w:ind w:left="660"/>
              <w:spacing w:after="0"/>
              <w:rPr>
                <w:sz w:val="20"/>
                <w:szCs w:val="20"/>
                <w:color w:val="auto"/>
              </w:rPr>
            </w:pPr>
            <w:r>
              <w:rPr>
                <w:rFonts w:ascii="Arial" w:cs="Arial" w:eastAsia="Arial" w:hAnsi="Arial"/>
                <w:sz w:val="16"/>
                <w:szCs w:val="16"/>
                <w:color w:val="auto"/>
              </w:rPr>
              <w:t>Goodwill</w:t>
            </w:r>
          </w:p>
        </w:tc>
        <w:tc>
          <w:tcPr>
            <w:tcW w:w="180" w:type="dxa"/>
            <w:vAlign w:val="bottom"/>
          </w:tcPr>
          <w:p>
            <w:pPr>
              <w:spacing w:after="0"/>
              <w:rPr>
                <w:sz w:val="13"/>
                <w:szCs w:val="13"/>
                <w:color w:val="auto"/>
              </w:rPr>
            </w:pPr>
          </w:p>
        </w:tc>
        <w:tc>
          <w:tcPr>
            <w:tcW w:w="1980" w:type="dxa"/>
            <w:vAlign w:val="bottom"/>
            <w:gridSpan w:val="2"/>
          </w:tcPr>
          <w:p>
            <w:pPr>
              <w:jc w:val="right"/>
              <w:ind w:right="140"/>
              <w:spacing w:after="0" w:line="154" w:lineRule="exact"/>
              <w:rPr>
                <w:sz w:val="20"/>
                <w:szCs w:val="20"/>
                <w:color w:val="auto"/>
              </w:rPr>
            </w:pPr>
            <w:r>
              <w:rPr>
                <w:rFonts w:ascii="Arial" w:cs="Arial" w:eastAsia="Arial" w:hAnsi="Arial"/>
                <w:sz w:val="16"/>
                <w:szCs w:val="16"/>
                <w:color w:val="auto"/>
              </w:rPr>
              <w:t>Accumulated Impairment</w:t>
            </w:r>
          </w:p>
        </w:tc>
        <w:tc>
          <w:tcPr>
            <w:tcW w:w="760" w:type="dxa"/>
            <w:vAlign w:val="bottom"/>
          </w:tcPr>
          <w:p>
            <w:pPr>
              <w:spacing w:after="0"/>
              <w:rPr>
                <w:sz w:val="13"/>
                <w:szCs w:val="13"/>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Net</w:t>
            </w:r>
          </w:p>
        </w:tc>
        <w:tc>
          <w:tcPr>
            <w:tcW w:w="0" w:type="dxa"/>
            <w:vAlign w:val="bottom"/>
          </w:tcPr>
          <w:p>
            <w:pPr>
              <w:spacing w:after="0"/>
              <w:rPr>
                <w:sz w:val="1"/>
                <w:szCs w:val="1"/>
                <w:color w:val="auto"/>
              </w:rPr>
            </w:pPr>
          </w:p>
        </w:tc>
      </w:tr>
      <w:tr>
        <w:trPr>
          <w:trHeight w:val="214"/>
        </w:trPr>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gridSpan w:val="2"/>
          </w:tcPr>
          <w:p>
            <w:pPr>
              <w:jc w:val="right"/>
              <w:ind w:right="140"/>
              <w:spacing w:after="0"/>
              <w:rPr>
                <w:sz w:val="20"/>
                <w:szCs w:val="20"/>
                <w:color w:val="auto"/>
              </w:rPr>
            </w:pPr>
            <w:r>
              <w:rPr>
                <w:rFonts w:ascii="Arial" w:cs="Arial" w:eastAsia="Arial" w:hAnsi="Arial"/>
                <w:sz w:val="16"/>
                <w:szCs w:val="16"/>
                <w:color w:val="auto"/>
              </w:rPr>
              <w:t>Losses</w:t>
            </w:r>
          </w:p>
        </w:tc>
        <w:tc>
          <w:tcPr>
            <w:tcW w:w="76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Balances as of May 1, 2020</w:t>
            </w:r>
          </w:p>
        </w:tc>
        <w:tc>
          <w:tcPr>
            <w:tcW w:w="1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ind w:right="540"/>
              <w:spacing w:after="0"/>
              <w:rPr>
                <w:sz w:val="20"/>
                <w:szCs w:val="20"/>
                <w:color w:val="auto"/>
              </w:rPr>
            </w:pPr>
            <w:r>
              <w:rPr>
                <w:rFonts w:ascii="Arial" w:cs="Arial" w:eastAsia="Arial" w:hAnsi="Arial"/>
                <w:sz w:val="16"/>
                <w:szCs w:val="16"/>
                <w:b w:val="1"/>
                <w:bCs w:val="1"/>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850,435</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(138,297)</w:t>
            </w:r>
          </w:p>
        </w:tc>
        <w:tc>
          <w:tcPr>
            <w:tcW w:w="1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ind w:right="560"/>
              <w:spacing w:after="0"/>
              <w:rPr>
                <w:sz w:val="20"/>
                <w:szCs w:val="20"/>
                <w:color w:val="auto"/>
              </w:rPr>
            </w:pPr>
            <w:r>
              <w:rPr>
                <w:rFonts w:ascii="Arial" w:cs="Arial" w:eastAsia="Arial" w:hAnsi="Arial"/>
                <w:sz w:val="16"/>
                <w:szCs w:val="16"/>
                <w:b w:val="1"/>
                <w:bCs w:val="1"/>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712,138</w:t>
            </w:r>
          </w:p>
        </w:tc>
        <w:tc>
          <w:tcPr>
            <w:tcW w:w="0" w:type="dxa"/>
            <w:vAlign w:val="bottom"/>
          </w:tcPr>
          <w:p>
            <w:pPr>
              <w:spacing w:after="0"/>
              <w:rPr>
                <w:sz w:val="1"/>
                <w:szCs w:val="1"/>
                <w:color w:val="auto"/>
              </w:rPr>
            </w:pPr>
          </w:p>
        </w:tc>
      </w:tr>
      <w:tr>
        <w:trPr>
          <w:trHeight w:val="214"/>
        </w:trPr>
        <w:tc>
          <w:tcPr>
            <w:tcW w:w="4860" w:type="dxa"/>
            <w:vAlign w:val="bottom"/>
            <w:gridSpan w:val="2"/>
          </w:tcPr>
          <w:p>
            <w:pPr>
              <w:ind w:left="20"/>
              <w:spacing w:after="0"/>
              <w:rPr>
                <w:sz w:val="20"/>
                <w:szCs w:val="20"/>
                <w:color w:val="auto"/>
              </w:rPr>
            </w:pPr>
            <w:r>
              <w:rPr>
                <w:rFonts w:ascii="Arial" w:cs="Arial" w:eastAsia="Arial" w:hAnsi="Arial"/>
                <w:sz w:val="16"/>
                <w:szCs w:val="16"/>
                <w:color w:val="auto"/>
              </w:rPr>
              <w:t>Acquisitions</w:t>
            </w:r>
          </w:p>
        </w:tc>
        <w:tc>
          <w:tcPr>
            <w:tcW w:w="7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2,214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gridSpan w:val="2"/>
          </w:tcPr>
          <w:p>
            <w:pPr>
              <w:ind w:left="1640"/>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2,214</w:t>
            </w:r>
          </w:p>
        </w:tc>
        <w:tc>
          <w:tcPr>
            <w:tcW w:w="0" w:type="dxa"/>
            <w:vAlign w:val="bottom"/>
          </w:tcPr>
          <w:p>
            <w:pPr>
              <w:spacing w:after="0"/>
              <w:rPr>
                <w:sz w:val="1"/>
                <w:szCs w:val="1"/>
                <w:color w:val="auto"/>
              </w:rPr>
            </w:pPr>
          </w:p>
        </w:tc>
      </w:tr>
      <w:tr>
        <w:trPr>
          <w:trHeight w:val="214"/>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Disposals and foreign currency changes, net</w:t>
            </w:r>
          </w:p>
        </w:tc>
        <w:tc>
          <w:tcPr>
            <w:tcW w:w="7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13,131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ind w:left="1640"/>
              <w:spacing w:after="0"/>
              <w:rPr>
                <w:sz w:val="20"/>
                <w:szCs w:val="20"/>
                <w:color w:val="auto"/>
              </w:rPr>
            </w:pPr>
            <w:r>
              <w:rPr>
                <w:rFonts w:ascii="Arial" w:cs="Arial" w:eastAsia="Arial" w:hAnsi="Arial"/>
                <w:sz w:val="16"/>
                <w:szCs w:val="16"/>
                <w:b w:val="1"/>
                <w:bCs w:val="1"/>
                <w:color w:val="auto"/>
              </w:rPr>
              <w:t>—</w:t>
            </w:r>
          </w:p>
        </w:tc>
        <w:tc>
          <w:tcPr>
            <w:tcW w:w="7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13,131</w:t>
            </w:r>
          </w:p>
        </w:tc>
        <w:tc>
          <w:tcPr>
            <w:tcW w:w="0" w:type="dxa"/>
            <w:vAlign w:val="bottom"/>
          </w:tcPr>
          <w:p>
            <w:pPr>
              <w:spacing w:after="0"/>
              <w:rPr>
                <w:sz w:val="1"/>
                <w:szCs w:val="1"/>
                <w:color w:val="auto"/>
              </w:rPr>
            </w:pPr>
          </w:p>
        </w:tc>
      </w:tr>
      <w:tr>
        <w:trPr>
          <w:trHeight w:val="214"/>
        </w:trPr>
        <w:tc>
          <w:tcPr>
            <w:tcW w:w="4860" w:type="dxa"/>
            <w:vAlign w:val="bottom"/>
            <w:gridSpan w:val="2"/>
          </w:tcPr>
          <w:p>
            <w:pPr>
              <w:ind w:left="20"/>
              <w:spacing w:after="0"/>
              <w:rPr>
                <w:sz w:val="20"/>
                <w:szCs w:val="20"/>
                <w:color w:val="auto"/>
              </w:rPr>
            </w:pPr>
            <w:r>
              <w:rPr>
                <w:rFonts w:ascii="Arial" w:cs="Arial" w:eastAsia="Arial" w:hAnsi="Arial"/>
                <w:sz w:val="16"/>
                <w:szCs w:val="16"/>
                <w:color w:val="auto"/>
              </w:rPr>
              <w:t>Impairments</w:t>
            </w:r>
          </w:p>
        </w:tc>
        <w:tc>
          <w:tcPr>
            <w:tcW w:w="7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8"/>
                <w:szCs w:val="18"/>
                <w:color w:val="auto"/>
              </w:rPr>
            </w:pPr>
          </w:p>
        </w:tc>
        <w:tc>
          <w:tcPr>
            <w:tcW w:w="1980" w:type="dxa"/>
            <w:vAlign w:val="bottom"/>
            <w:gridSpan w:val="2"/>
          </w:tcPr>
          <w:p>
            <w:pPr>
              <w:ind w:left="1640"/>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8"/>
        </w:trPr>
        <w:tc>
          <w:tcPr>
            <w:tcW w:w="48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Balances as of October 31, 2020</w:t>
            </w:r>
          </w:p>
        </w:tc>
        <w:tc>
          <w:tcPr>
            <w:tcW w:w="740" w:type="dxa"/>
            <w:vAlign w:val="bottom"/>
            <w:tcBorders>
              <w:top w:val="single" w:sz="8" w:color="auto"/>
              <w:bottom w:val="single" w:sz="8" w:color="auto"/>
            </w:tcBorders>
            <w:shd w:val="clear" w:color="auto" w:fill="CCEEFF"/>
          </w:tcPr>
          <w:p>
            <w:pPr>
              <w:jc w:val="right"/>
              <w:ind w:right="540"/>
              <w:spacing w:after="0"/>
              <w:rPr>
                <w:sz w:val="20"/>
                <w:szCs w:val="20"/>
                <w:color w:val="auto"/>
              </w:rPr>
            </w:pPr>
            <w:r>
              <w:rPr>
                <w:rFonts w:ascii="Arial" w:cs="Arial" w:eastAsia="Arial" w:hAnsi="Arial"/>
                <w:sz w:val="16"/>
                <w:szCs w:val="16"/>
                <w:b w:val="1"/>
                <w:bCs w:val="1"/>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865,780</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(138,297)</w:t>
            </w:r>
          </w:p>
        </w:tc>
        <w:tc>
          <w:tcPr>
            <w:tcW w:w="1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ind w:right="560"/>
              <w:spacing w:after="0"/>
              <w:rPr>
                <w:sz w:val="20"/>
                <w:szCs w:val="20"/>
                <w:color w:val="auto"/>
              </w:rPr>
            </w:pPr>
            <w:r>
              <w:rPr>
                <w:rFonts w:ascii="Arial" w:cs="Arial" w:eastAsia="Arial" w:hAnsi="Arial"/>
                <w:sz w:val="16"/>
                <w:szCs w:val="16"/>
                <w:b w:val="1"/>
                <w:bCs w:val="1"/>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727,483</w:t>
            </w:r>
          </w:p>
        </w:tc>
        <w:tc>
          <w:tcPr>
            <w:tcW w:w="0" w:type="dxa"/>
            <w:vAlign w:val="bottom"/>
          </w:tcPr>
          <w:p>
            <w:pPr>
              <w:spacing w:after="0"/>
              <w:rPr>
                <w:sz w:val="1"/>
                <w:szCs w:val="1"/>
                <w:color w:val="auto"/>
              </w:rPr>
            </w:pPr>
          </w:p>
        </w:tc>
      </w:tr>
      <w:tr>
        <w:trPr>
          <w:trHeight w:val="34"/>
        </w:trPr>
        <w:tc>
          <w:tcPr>
            <w:tcW w:w="4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Balances as of May 1, 2019</w:t>
            </w:r>
          </w:p>
        </w:tc>
        <w:tc>
          <w:tcPr>
            <w:tcW w:w="740" w:type="dxa"/>
            <w:vAlign w:val="bottom"/>
            <w:shd w:val="clear" w:color="auto" w:fill="CCEEFF"/>
          </w:tcPr>
          <w:p>
            <w:pPr>
              <w:jc w:val="right"/>
              <w:ind w:right="54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552,234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(32,297)</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6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519,937</w:t>
            </w:r>
          </w:p>
        </w:tc>
        <w:tc>
          <w:tcPr>
            <w:tcW w:w="0" w:type="dxa"/>
            <w:vAlign w:val="bottom"/>
          </w:tcPr>
          <w:p>
            <w:pPr>
              <w:spacing w:after="0"/>
              <w:rPr>
                <w:sz w:val="1"/>
                <w:szCs w:val="1"/>
                <w:color w:val="auto"/>
              </w:rPr>
            </w:pPr>
          </w:p>
        </w:tc>
      </w:tr>
      <w:tr>
        <w:trPr>
          <w:trHeight w:val="214"/>
        </w:trPr>
        <w:tc>
          <w:tcPr>
            <w:tcW w:w="4860" w:type="dxa"/>
            <w:vAlign w:val="bottom"/>
            <w:gridSpan w:val="2"/>
          </w:tcPr>
          <w:p>
            <w:pPr>
              <w:ind w:left="20"/>
              <w:spacing w:after="0" w:line="214" w:lineRule="exact"/>
              <w:rPr>
                <w:sz w:val="20"/>
                <w:szCs w:val="20"/>
                <w:color w:val="auto"/>
              </w:rPr>
            </w:pPr>
            <w:r>
              <w:rPr>
                <w:rFonts w:ascii="Arial" w:cs="Arial" w:eastAsia="Arial" w:hAnsi="Arial"/>
                <w:sz w:val="16"/>
                <w:szCs w:val="16"/>
                <w:color w:val="auto"/>
              </w:rPr>
              <w:t xml:space="preserve">Acquisition of Wave </w:t>
            </w:r>
            <w:r>
              <w:rPr>
                <w:rFonts w:ascii="Arial" w:cs="Arial" w:eastAsia="Arial" w:hAnsi="Arial"/>
                <w:sz w:val="20"/>
                <w:szCs w:val="20"/>
                <w:color w:val="auto"/>
                <w:vertAlign w:val="superscript"/>
              </w:rPr>
              <w:t>(1)</w:t>
            </w:r>
          </w:p>
        </w:tc>
        <w:tc>
          <w:tcPr>
            <w:tcW w:w="7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289,492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gridSpan w:val="2"/>
          </w:tcPr>
          <w:p>
            <w:pPr>
              <w:ind w:left="164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289,492</w:t>
            </w:r>
          </w:p>
        </w:tc>
        <w:tc>
          <w:tcPr>
            <w:tcW w:w="0" w:type="dxa"/>
            <w:vAlign w:val="bottom"/>
          </w:tcPr>
          <w:p>
            <w:pPr>
              <w:spacing w:after="0"/>
              <w:rPr>
                <w:sz w:val="1"/>
                <w:szCs w:val="1"/>
                <w:color w:val="auto"/>
              </w:rPr>
            </w:pPr>
          </w:p>
        </w:tc>
      </w:tr>
      <w:tr>
        <w:trPr>
          <w:trHeight w:val="214"/>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acquisitions</w:t>
            </w:r>
          </w:p>
        </w:tc>
        <w:tc>
          <w:tcPr>
            <w:tcW w:w="7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8,491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ind w:left="164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8,491</w:t>
            </w:r>
          </w:p>
        </w:tc>
        <w:tc>
          <w:tcPr>
            <w:tcW w:w="0" w:type="dxa"/>
            <w:vAlign w:val="bottom"/>
          </w:tcPr>
          <w:p>
            <w:pPr>
              <w:spacing w:after="0"/>
              <w:rPr>
                <w:sz w:val="1"/>
                <w:szCs w:val="1"/>
                <w:color w:val="auto"/>
              </w:rPr>
            </w:pPr>
          </w:p>
        </w:tc>
      </w:tr>
      <w:tr>
        <w:trPr>
          <w:trHeight w:val="214"/>
        </w:trPr>
        <w:tc>
          <w:tcPr>
            <w:tcW w:w="4860" w:type="dxa"/>
            <w:vAlign w:val="bottom"/>
            <w:gridSpan w:val="2"/>
          </w:tcPr>
          <w:p>
            <w:pPr>
              <w:ind w:left="20"/>
              <w:spacing w:after="0"/>
              <w:rPr>
                <w:sz w:val="20"/>
                <w:szCs w:val="20"/>
                <w:color w:val="auto"/>
              </w:rPr>
            </w:pPr>
            <w:r>
              <w:rPr>
                <w:rFonts w:ascii="Arial" w:cs="Arial" w:eastAsia="Arial" w:hAnsi="Arial"/>
                <w:sz w:val="16"/>
                <w:szCs w:val="16"/>
                <w:color w:val="auto"/>
              </w:rPr>
              <w:t>Disposals and foreign currency changes, net</w:t>
            </w:r>
          </w:p>
        </w:tc>
        <w:tc>
          <w:tcPr>
            <w:tcW w:w="7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(2,589)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gridSpan w:val="2"/>
          </w:tcPr>
          <w:p>
            <w:pPr>
              <w:ind w:left="164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(2,589)</w:t>
            </w:r>
          </w:p>
        </w:tc>
        <w:tc>
          <w:tcPr>
            <w:tcW w:w="0" w:type="dxa"/>
            <w:vAlign w:val="bottom"/>
          </w:tcPr>
          <w:p>
            <w:pPr>
              <w:spacing w:after="0"/>
              <w:rPr>
                <w:sz w:val="1"/>
                <w:szCs w:val="1"/>
                <w:color w:val="auto"/>
              </w:rPr>
            </w:pPr>
          </w:p>
        </w:tc>
      </w:tr>
      <w:tr>
        <w:trPr>
          <w:trHeight w:val="214"/>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Impairments</w:t>
            </w:r>
          </w:p>
        </w:tc>
        <w:tc>
          <w:tcPr>
            <w:tcW w:w="7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ind w:left="164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6"/>
        </w:trPr>
        <w:tc>
          <w:tcPr>
            <w:tcW w:w="48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Balances as of October 31, 2019</w:t>
            </w:r>
          </w:p>
        </w:tc>
        <w:tc>
          <w:tcPr>
            <w:tcW w:w="740" w:type="dxa"/>
            <w:vAlign w:val="bottom"/>
            <w:tcBorders>
              <w:top w:val="single" w:sz="8" w:color="auto"/>
              <w:bottom w:val="single" w:sz="8" w:color="auto"/>
            </w:tcBorders>
          </w:tcPr>
          <w:p>
            <w:pPr>
              <w:jc w:val="right"/>
              <w:ind w:right="540"/>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847,628</w:t>
            </w:r>
          </w:p>
        </w:tc>
        <w:tc>
          <w:tcPr>
            <w:tcW w:w="12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(32,297)</w:t>
            </w:r>
          </w:p>
        </w:tc>
        <w:tc>
          <w:tcPr>
            <w:tcW w:w="120" w:type="dxa"/>
            <w:vAlign w:val="bottom"/>
            <w:tcBorders>
              <w:bottom w:val="single" w:sz="8" w:color="CCEEFF"/>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560"/>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815,331</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740" w:type="dxa"/>
            <w:vAlign w:val="bottom"/>
            <w:tcBorders>
              <w:top w:val="single" w:sz="8" w:color="CCEEFF"/>
            </w:tcBorders>
            <w:shd w:val="clear" w:color="auto" w:fill="000000"/>
          </w:tcPr>
          <w:p>
            <w:pPr>
              <w:spacing w:after="0" w:line="20" w:lineRule="exact"/>
              <w:rPr>
                <w:sz w:val="1"/>
                <w:szCs w:val="1"/>
                <w:color w:val="auto"/>
              </w:rPr>
            </w:pPr>
          </w:p>
        </w:tc>
        <w:tc>
          <w:tcPr>
            <w:tcW w:w="128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000000"/>
          </w:tcPr>
          <w:p>
            <w:pPr>
              <w:spacing w:after="0" w:line="20" w:lineRule="exact"/>
              <w:rPr>
                <w:sz w:val="1"/>
                <w:szCs w:val="1"/>
                <w:color w:val="auto"/>
              </w:rPr>
            </w:pPr>
          </w:p>
        </w:tc>
        <w:tc>
          <w:tcPr>
            <w:tcW w:w="186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760" w:type="dxa"/>
            <w:vAlign w:val="bottom"/>
            <w:tcBorders>
              <w:top w:val="single" w:sz="8" w:color="CCEEFF"/>
            </w:tcBorders>
            <w:shd w:val="clear" w:color="auto" w:fill="000000"/>
          </w:tcPr>
          <w:p>
            <w:pPr>
              <w:spacing w:after="0" w:line="20" w:lineRule="exact"/>
              <w:rPr>
                <w:sz w:val="1"/>
                <w:szCs w:val="1"/>
                <w:color w:val="auto"/>
              </w:rPr>
            </w:pPr>
          </w:p>
        </w:tc>
        <w:tc>
          <w:tcPr>
            <w:tcW w:w="1280" w:type="dxa"/>
            <w:vAlign w:val="bottom"/>
            <w:tcBorders>
              <w:top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240" w:hanging="233"/>
        <w:spacing w:after="0"/>
        <w:tabs>
          <w:tab w:leader="none" w:pos="240" w:val="left"/>
        </w:tabs>
        <w:numPr>
          <w:ilvl w:val="0"/>
          <w:numId w:val="9"/>
        </w:numPr>
        <w:rPr>
          <w:rFonts w:ascii="Arial" w:cs="Arial" w:eastAsia="Arial" w:hAnsi="Arial"/>
          <w:sz w:val="9"/>
          <w:szCs w:val="9"/>
          <w:color w:val="auto"/>
        </w:rPr>
      </w:pPr>
      <w:r>
        <w:rPr>
          <w:rFonts w:ascii="Arial" w:cs="Arial" w:eastAsia="Arial" w:hAnsi="Arial"/>
          <w:sz w:val="14"/>
          <w:szCs w:val="14"/>
          <w:color w:val="auto"/>
        </w:rPr>
        <w:t>At October 31, 2019, the fair value of the acquired goodwill related to our acquisition of Wave was provisional pending the final purchase price allocation.</w:t>
      </w:r>
    </w:p>
    <w:p>
      <w:pPr>
        <w:spacing w:after="0" w:line="97" w:lineRule="exact"/>
        <w:rPr>
          <w:sz w:val="20"/>
          <w:szCs w:val="20"/>
          <w:color w:val="auto"/>
        </w:rPr>
      </w:pPr>
    </w:p>
    <w:p>
      <w:pPr>
        <w:ind w:firstLine="201"/>
        <w:spacing w:after="0" w:line="286" w:lineRule="auto"/>
        <w:rPr>
          <w:sz w:val="20"/>
          <w:szCs w:val="20"/>
          <w:color w:val="auto"/>
        </w:rPr>
      </w:pPr>
      <w:r>
        <w:rPr>
          <w:rFonts w:ascii="Arial" w:cs="Arial" w:eastAsia="Arial" w:hAnsi="Arial"/>
          <w:sz w:val="18"/>
          <w:szCs w:val="18"/>
          <w:color w:val="auto"/>
        </w:rPr>
        <w:t>We test goodwill for impairment annually in our fourth quarter, or more frequently if events occur or circumstances change which would, more likely than not, reduce the fair value of a reporting unit below its carrying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60" w:hanging="265"/>
        <w:spacing w:after="0"/>
        <w:tabs>
          <w:tab w:leader="none" w:pos="360" w:val="left"/>
        </w:tabs>
        <w:numPr>
          <w:ilvl w:val="0"/>
          <w:numId w:val="10"/>
        </w:numPr>
        <w:rPr>
          <w:rFonts w:ascii="Arial" w:cs="Arial" w:eastAsia="Arial" w:hAnsi="Arial"/>
          <w:sz w:val="14"/>
          <w:szCs w:val="14"/>
          <w:color w:val="FFFFFF"/>
          <w:highlight w:val="black"/>
        </w:rPr>
      </w:pPr>
      <w:r>
        <w:rPr>
          <w:rFonts w:ascii="Arial" w:cs="Arial" w:eastAsia="Arial" w:hAnsi="Arial"/>
          <w:sz w:val="14"/>
          <w:szCs w:val="14"/>
          <w:color w:val="auto"/>
        </w:rPr>
        <w:t xml:space="preserve">Q2 FY2021 Form 10-Q | </w:t>
      </w:r>
      <w:r>
        <w:rPr>
          <w:rFonts w:ascii="Arial" w:cs="Arial" w:eastAsia="Arial" w:hAnsi="Arial"/>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137160</wp:posOffset>
            </wp:positionV>
            <wp:extent cx="713359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3590"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-100330</wp:posOffset>
            </wp:positionV>
            <wp:extent cx="212725" cy="1187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2725" cy="118745"/>
                    </a:xfrm>
                    <a:prstGeom prst="rect">
                      <a:avLst/>
                    </a:prstGeom>
                    <a:noFill/>
                  </pic:spPr>
                </pic:pic>
              </a:graphicData>
            </a:graphic>
          </wp:anchor>
        </w:drawing>
      </w:r>
    </w:p>
    <w:p>
      <w:pPr>
        <w:sectPr>
          <w:pgSz w:w="11900" w:h="16838" w:orient="portrait"/>
          <w:cols w:equalWidth="0" w:num="1">
            <w:col w:w="11220"/>
          </w:cols>
          <w:pgMar w:left="320" w:top="228" w:right="359" w:bottom="1440" w:gutter="0" w:footer="0" w:header="0"/>
        </w:sectPr>
      </w:pPr>
    </w:p>
    <w:bookmarkStart w:id="12" w:name="page13"/>
    <w:bookmarkEnd w:id="1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Components of intangible assets are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(in 000s)</w:t>
            </w:r>
          </w:p>
        </w:tc>
        <w:tc>
          <w:tcPr>
            <w:tcW w:w="0" w:type="dxa"/>
            <w:vAlign w:val="bottom"/>
          </w:tcPr>
          <w:p>
            <w:pPr>
              <w:spacing w:after="0"/>
              <w:rPr>
                <w:sz w:val="1"/>
                <w:szCs w:val="1"/>
                <w:color w:val="auto"/>
              </w:rPr>
            </w:pPr>
          </w:p>
        </w:tc>
      </w:tr>
      <w:tr>
        <w:trPr>
          <w:trHeight w:val="154"/>
        </w:trPr>
        <w:tc>
          <w:tcPr>
            <w:tcW w:w="5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40" w:type="dxa"/>
            <w:vAlign w:val="bottom"/>
            <w:gridSpan w:val="2"/>
          </w:tcPr>
          <w:p>
            <w:pPr>
              <w:jc w:val="right"/>
              <w:ind w:right="140"/>
              <w:spacing w:after="0" w:line="154" w:lineRule="exact"/>
              <w:rPr>
                <w:sz w:val="20"/>
                <w:szCs w:val="20"/>
                <w:color w:val="auto"/>
              </w:rPr>
            </w:pPr>
            <w:r>
              <w:rPr>
                <w:rFonts w:ascii="Arial" w:cs="Arial" w:eastAsia="Arial" w:hAnsi="Arial"/>
                <w:sz w:val="16"/>
                <w:szCs w:val="16"/>
                <w:color w:val="auto"/>
              </w:rPr>
              <w:t>Gross</w:t>
            </w:r>
          </w:p>
        </w:tc>
        <w:tc>
          <w:tcPr>
            <w:tcW w:w="440" w:type="dxa"/>
            <w:vAlign w:val="bottom"/>
          </w:tcPr>
          <w:p>
            <w:pPr>
              <w:spacing w:after="0"/>
              <w:rPr>
                <w:sz w:val="13"/>
                <w:szCs w:val="13"/>
                <w:color w:val="auto"/>
              </w:rPr>
            </w:pPr>
          </w:p>
        </w:tc>
        <w:tc>
          <w:tcPr>
            <w:tcW w:w="14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Accumulated</w:t>
            </w:r>
          </w:p>
        </w:tc>
        <w:tc>
          <w:tcPr>
            <w:tcW w:w="6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5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40" w:type="dxa"/>
            <w:vAlign w:val="bottom"/>
            <w:gridSpan w:val="2"/>
          </w:tcPr>
          <w:p>
            <w:pPr>
              <w:jc w:val="right"/>
              <w:ind w:right="140"/>
              <w:spacing w:after="0" w:line="161" w:lineRule="exact"/>
              <w:rPr>
                <w:sz w:val="20"/>
                <w:szCs w:val="20"/>
                <w:color w:val="auto"/>
              </w:rPr>
            </w:pPr>
            <w:r>
              <w:rPr>
                <w:rFonts w:ascii="Arial" w:cs="Arial" w:eastAsia="Arial" w:hAnsi="Arial"/>
                <w:sz w:val="16"/>
                <w:szCs w:val="16"/>
                <w:color w:val="auto"/>
              </w:rPr>
              <w:t>Carrying</w:t>
            </w:r>
          </w:p>
        </w:tc>
        <w:tc>
          <w:tcPr>
            <w:tcW w:w="440" w:type="dxa"/>
            <w:vAlign w:val="bottom"/>
          </w:tcPr>
          <w:p>
            <w:pPr>
              <w:spacing w:after="0"/>
              <w:rPr>
                <w:sz w:val="13"/>
                <w:szCs w:val="13"/>
                <w:color w:val="auto"/>
              </w:rPr>
            </w:pPr>
          </w:p>
        </w:tc>
        <w:tc>
          <w:tcPr>
            <w:tcW w:w="1420" w:type="dxa"/>
            <w:vAlign w:val="bottom"/>
            <w:gridSpan w:val="2"/>
            <w:vMerge w:val="continue"/>
          </w:tcPr>
          <w:p>
            <w:pPr>
              <w:spacing w:after="0"/>
              <w:rPr>
                <w:sz w:val="13"/>
                <w:szCs w:val="13"/>
                <w:color w:val="auto"/>
              </w:rPr>
            </w:pPr>
          </w:p>
        </w:tc>
        <w:tc>
          <w:tcPr>
            <w:tcW w:w="62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Net</w:t>
            </w:r>
          </w:p>
        </w:tc>
        <w:tc>
          <w:tcPr>
            <w:tcW w:w="0" w:type="dxa"/>
            <w:vAlign w:val="bottom"/>
          </w:tcPr>
          <w:p>
            <w:pPr>
              <w:spacing w:after="0"/>
              <w:rPr>
                <w:sz w:val="1"/>
                <w:szCs w:val="1"/>
                <w:color w:val="auto"/>
              </w:rPr>
            </w:pPr>
          </w:p>
        </w:tc>
      </w:tr>
      <w:tr>
        <w:trPr>
          <w:trHeight w:val="214"/>
        </w:trPr>
        <w:tc>
          <w:tcPr>
            <w:tcW w:w="5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6"/>
                <w:szCs w:val="16"/>
                <w:color w:val="auto"/>
              </w:rPr>
              <w:t>Amount</w:t>
            </w:r>
          </w:p>
        </w:tc>
        <w:tc>
          <w:tcPr>
            <w:tcW w:w="44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6"/>
                <w:szCs w:val="16"/>
                <w:color w:val="auto"/>
              </w:rPr>
              <w:t>Amortization</w:t>
            </w:r>
          </w:p>
        </w:tc>
        <w:tc>
          <w:tcPr>
            <w:tcW w:w="6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As of October 31, 2020:</w:t>
            </w:r>
          </w:p>
        </w:tc>
        <w:tc>
          <w:tcPr>
            <w:tcW w:w="1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700" w:type="dxa"/>
            <w:vAlign w:val="bottom"/>
            <w:gridSpan w:val="2"/>
          </w:tcPr>
          <w:p>
            <w:pPr>
              <w:ind w:left="140"/>
              <w:spacing w:after="0"/>
              <w:rPr>
                <w:sz w:val="20"/>
                <w:szCs w:val="20"/>
                <w:color w:val="auto"/>
              </w:rPr>
            </w:pPr>
            <w:r>
              <w:rPr>
                <w:rFonts w:ascii="Arial" w:cs="Arial" w:eastAsia="Arial" w:hAnsi="Arial"/>
                <w:sz w:val="16"/>
                <w:szCs w:val="16"/>
                <w:color w:val="auto"/>
              </w:rPr>
              <w:t>Reacquired franchise rights</w:t>
            </w:r>
          </w:p>
        </w:tc>
        <w:tc>
          <w:tcPr>
            <w:tcW w:w="540" w:type="dxa"/>
            <w:vAlign w:val="bottom"/>
          </w:tcPr>
          <w:p>
            <w:pPr>
              <w:jc w:val="right"/>
              <w:ind w:right="360"/>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367,151</w:t>
            </w:r>
          </w:p>
        </w:tc>
        <w:tc>
          <w:tcPr>
            <w:tcW w:w="120" w:type="dxa"/>
            <w:vAlign w:val="bottom"/>
          </w:tcPr>
          <w:p>
            <w:pPr>
              <w:spacing w:after="0"/>
              <w:rPr>
                <w:sz w:val="18"/>
                <w:szCs w:val="18"/>
                <w:color w:val="auto"/>
              </w:rPr>
            </w:pPr>
          </w:p>
        </w:tc>
        <w:tc>
          <w:tcPr>
            <w:tcW w:w="440" w:type="dxa"/>
            <w:vAlign w:val="bottom"/>
          </w:tcPr>
          <w:p>
            <w:pPr>
              <w:jc w:val="right"/>
              <w:ind w:right="260"/>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(169,613)</w:t>
            </w:r>
          </w:p>
        </w:tc>
        <w:tc>
          <w:tcPr>
            <w:tcW w:w="120" w:type="dxa"/>
            <w:vAlign w:val="bottom"/>
          </w:tcPr>
          <w:p>
            <w:pPr>
              <w:spacing w:after="0"/>
              <w:rPr>
                <w:sz w:val="18"/>
                <w:szCs w:val="18"/>
                <w:color w:val="auto"/>
              </w:rPr>
            </w:pPr>
          </w:p>
        </w:tc>
        <w:tc>
          <w:tcPr>
            <w:tcW w:w="620" w:type="dxa"/>
            <w:vAlign w:val="bottom"/>
          </w:tcPr>
          <w:p>
            <w:pPr>
              <w:jc w:val="right"/>
              <w:ind w:right="420"/>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197,538</w:t>
            </w:r>
          </w:p>
        </w:tc>
        <w:tc>
          <w:tcPr>
            <w:tcW w:w="0" w:type="dxa"/>
            <w:vAlign w:val="bottom"/>
          </w:tcPr>
          <w:p>
            <w:pPr>
              <w:spacing w:after="0"/>
              <w:rPr>
                <w:sz w:val="1"/>
                <w:szCs w:val="1"/>
                <w:color w:val="auto"/>
              </w:rPr>
            </w:pPr>
          </w:p>
        </w:tc>
      </w:tr>
      <w:tr>
        <w:trPr>
          <w:trHeight w:val="214"/>
        </w:trPr>
        <w:tc>
          <w:tcPr>
            <w:tcW w:w="57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Customer relationships</w:t>
            </w: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311,291</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(237,906)</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73,385</w:t>
            </w:r>
          </w:p>
        </w:tc>
        <w:tc>
          <w:tcPr>
            <w:tcW w:w="0" w:type="dxa"/>
            <w:vAlign w:val="bottom"/>
          </w:tcPr>
          <w:p>
            <w:pPr>
              <w:spacing w:after="0"/>
              <w:rPr>
                <w:sz w:val="1"/>
                <w:szCs w:val="1"/>
                <w:color w:val="auto"/>
              </w:rPr>
            </w:pPr>
          </w:p>
        </w:tc>
      </w:tr>
      <w:tr>
        <w:trPr>
          <w:trHeight w:val="214"/>
        </w:trPr>
        <w:tc>
          <w:tcPr>
            <w:tcW w:w="5700" w:type="dxa"/>
            <w:vAlign w:val="bottom"/>
            <w:gridSpan w:val="2"/>
          </w:tcPr>
          <w:p>
            <w:pPr>
              <w:ind w:left="140"/>
              <w:spacing w:after="0"/>
              <w:rPr>
                <w:sz w:val="20"/>
                <w:szCs w:val="20"/>
                <w:color w:val="auto"/>
              </w:rPr>
            </w:pPr>
            <w:r>
              <w:rPr>
                <w:rFonts w:ascii="Arial" w:cs="Arial" w:eastAsia="Arial" w:hAnsi="Arial"/>
                <w:sz w:val="16"/>
                <w:szCs w:val="16"/>
                <w:color w:val="auto"/>
              </w:rPr>
              <w:t>Internally-developed software</w:t>
            </w:r>
          </w:p>
        </w:tc>
        <w:tc>
          <w:tcPr>
            <w:tcW w:w="5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164,610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(118,216)</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46,394</w:t>
            </w:r>
          </w:p>
        </w:tc>
        <w:tc>
          <w:tcPr>
            <w:tcW w:w="0" w:type="dxa"/>
            <w:vAlign w:val="bottom"/>
          </w:tcPr>
          <w:p>
            <w:pPr>
              <w:spacing w:after="0"/>
              <w:rPr>
                <w:sz w:val="1"/>
                <w:szCs w:val="1"/>
                <w:color w:val="auto"/>
              </w:rPr>
            </w:pPr>
          </w:p>
        </w:tc>
      </w:tr>
      <w:tr>
        <w:trPr>
          <w:trHeight w:val="214"/>
        </w:trPr>
        <w:tc>
          <w:tcPr>
            <w:tcW w:w="57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Noncompete agreements</w:t>
            </w: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40,894</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(34,436)</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6,458</w:t>
            </w:r>
          </w:p>
        </w:tc>
        <w:tc>
          <w:tcPr>
            <w:tcW w:w="0" w:type="dxa"/>
            <w:vAlign w:val="bottom"/>
          </w:tcPr>
          <w:p>
            <w:pPr>
              <w:spacing w:after="0"/>
              <w:rPr>
                <w:sz w:val="1"/>
                <w:szCs w:val="1"/>
                <w:color w:val="auto"/>
              </w:rPr>
            </w:pPr>
          </w:p>
        </w:tc>
      </w:tr>
      <w:tr>
        <w:trPr>
          <w:trHeight w:val="214"/>
        </w:trPr>
        <w:tc>
          <w:tcPr>
            <w:tcW w:w="5700" w:type="dxa"/>
            <w:vAlign w:val="bottom"/>
            <w:gridSpan w:val="2"/>
          </w:tcPr>
          <w:p>
            <w:pPr>
              <w:ind w:left="140"/>
              <w:spacing w:after="0"/>
              <w:rPr>
                <w:sz w:val="20"/>
                <w:szCs w:val="20"/>
                <w:color w:val="auto"/>
              </w:rPr>
            </w:pPr>
            <w:r>
              <w:rPr>
                <w:rFonts w:ascii="Arial" w:cs="Arial" w:eastAsia="Arial" w:hAnsi="Arial"/>
                <w:sz w:val="16"/>
                <w:szCs w:val="16"/>
                <w:color w:val="auto"/>
              </w:rPr>
              <w:t>Franchise agreements</w:t>
            </w:r>
          </w:p>
        </w:tc>
        <w:tc>
          <w:tcPr>
            <w:tcW w:w="5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19,201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(15,254)</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3,947</w:t>
            </w:r>
          </w:p>
        </w:tc>
        <w:tc>
          <w:tcPr>
            <w:tcW w:w="0" w:type="dxa"/>
            <w:vAlign w:val="bottom"/>
          </w:tcPr>
          <w:p>
            <w:pPr>
              <w:spacing w:after="0"/>
              <w:rPr>
                <w:sz w:val="1"/>
                <w:szCs w:val="1"/>
                <w:color w:val="auto"/>
              </w:rPr>
            </w:pPr>
          </w:p>
        </w:tc>
      </w:tr>
      <w:tr>
        <w:trPr>
          <w:trHeight w:val="214"/>
        </w:trPr>
        <w:tc>
          <w:tcPr>
            <w:tcW w:w="57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Purchased technology</w:t>
            </w: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122,700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(65,078)</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57,622</w:t>
            </w:r>
          </w:p>
        </w:tc>
        <w:tc>
          <w:tcPr>
            <w:tcW w:w="0" w:type="dxa"/>
            <w:vAlign w:val="bottom"/>
          </w:tcPr>
          <w:p>
            <w:pPr>
              <w:spacing w:after="0"/>
              <w:rPr>
                <w:sz w:val="1"/>
                <w:szCs w:val="1"/>
                <w:color w:val="auto"/>
              </w:rPr>
            </w:pPr>
          </w:p>
        </w:tc>
      </w:tr>
      <w:tr>
        <w:trPr>
          <w:trHeight w:val="214"/>
        </w:trPr>
        <w:tc>
          <w:tcPr>
            <w:tcW w:w="570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Trade name</w:t>
            </w:r>
          </w:p>
        </w:tc>
        <w:tc>
          <w:tcPr>
            <w:tcW w:w="5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5,800</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(773)</w:t>
            </w:r>
          </w:p>
        </w:tc>
        <w:tc>
          <w:tcPr>
            <w:tcW w:w="12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5,027</w:t>
            </w:r>
          </w:p>
        </w:tc>
        <w:tc>
          <w:tcPr>
            <w:tcW w:w="0" w:type="dxa"/>
            <w:vAlign w:val="bottom"/>
          </w:tcPr>
          <w:p>
            <w:pPr>
              <w:spacing w:after="0"/>
              <w:rPr>
                <w:sz w:val="1"/>
                <w:szCs w:val="1"/>
                <w:color w:val="auto"/>
              </w:rPr>
            </w:pPr>
          </w:p>
        </w:tc>
      </w:tr>
      <w:tr>
        <w:trPr>
          <w:trHeight w:val="208"/>
        </w:trPr>
        <w:tc>
          <w:tcPr>
            <w:tcW w:w="5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60"/>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1,031,647</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(641,276)</w:t>
            </w:r>
          </w:p>
        </w:tc>
        <w:tc>
          <w:tcPr>
            <w:tcW w:w="1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420"/>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390,371</w:t>
            </w:r>
          </w:p>
        </w:tc>
        <w:tc>
          <w:tcPr>
            <w:tcW w:w="0" w:type="dxa"/>
            <w:vAlign w:val="bottom"/>
          </w:tcPr>
          <w:p>
            <w:pPr>
              <w:spacing w:after="0"/>
              <w:rPr>
                <w:sz w:val="1"/>
                <w:szCs w:val="1"/>
                <w:color w:val="auto"/>
              </w:rPr>
            </w:pPr>
          </w:p>
        </w:tc>
      </w:tr>
      <w:tr>
        <w:trPr>
          <w:trHeight w:val="194"/>
        </w:trPr>
        <w:tc>
          <w:tcPr>
            <w:tcW w:w="5700" w:type="dxa"/>
            <w:vAlign w:val="bottom"/>
            <w:gridSpan w:val="2"/>
          </w:tcPr>
          <w:p>
            <w:pPr>
              <w:ind w:left="20"/>
              <w:spacing w:after="0"/>
              <w:rPr>
                <w:sz w:val="20"/>
                <w:szCs w:val="20"/>
                <w:color w:val="auto"/>
              </w:rPr>
            </w:pPr>
            <w:r>
              <w:rPr>
                <w:rFonts w:ascii="Arial" w:cs="Arial" w:eastAsia="Arial" w:hAnsi="Arial"/>
                <w:sz w:val="16"/>
                <w:szCs w:val="16"/>
                <w:color w:val="auto"/>
              </w:rPr>
              <w:t>As of October 31, 2019:</w:t>
            </w:r>
          </w:p>
        </w:tc>
        <w:tc>
          <w:tcPr>
            <w:tcW w:w="5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7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Reacquired franchise rights</w:t>
            </w:r>
          </w:p>
        </w:tc>
        <w:tc>
          <w:tcPr>
            <w:tcW w:w="540" w:type="dxa"/>
            <w:vAlign w:val="bottom"/>
            <w:shd w:val="clear" w:color="auto" w:fill="CCEEFF"/>
          </w:tcPr>
          <w:p>
            <w:pPr>
              <w:jc w:val="right"/>
              <w:ind w:right="360"/>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355,116</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(147,313)</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207,803</w:t>
            </w:r>
          </w:p>
        </w:tc>
        <w:tc>
          <w:tcPr>
            <w:tcW w:w="0" w:type="dxa"/>
            <w:vAlign w:val="bottom"/>
          </w:tcPr>
          <w:p>
            <w:pPr>
              <w:spacing w:after="0"/>
              <w:rPr>
                <w:sz w:val="1"/>
                <w:szCs w:val="1"/>
                <w:color w:val="auto"/>
              </w:rPr>
            </w:pPr>
          </w:p>
        </w:tc>
      </w:tr>
      <w:tr>
        <w:trPr>
          <w:trHeight w:val="214"/>
        </w:trPr>
        <w:tc>
          <w:tcPr>
            <w:tcW w:w="5700" w:type="dxa"/>
            <w:vAlign w:val="bottom"/>
            <w:gridSpan w:val="2"/>
          </w:tcPr>
          <w:p>
            <w:pPr>
              <w:ind w:left="140"/>
              <w:spacing w:after="0"/>
              <w:rPr>
                <w:sz w:val="20"/>
                <w:szCs w:val="20"/>
                <w:color w:val="auto"/>
              </w:rPr>
            </w:pPr>
            <w:r>
              <w:rPr>
                <w:rFonts w:ascii="Arial" w:cs="Arial" w:eastAsia="Arial" w:hAnsi="Arial"/>
                <w:sz w:val="16"/>
                <w:szCs w:val="16"/>
                <w:color w:val="auto"/>
              </w:rPr>
              <w:t>Customer relationships</w:t>
            </w:r>
          </w:p>
        </w:tc>
        <w:tc>
          <w:tcPr>
            <w:tcW w:w="5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299,245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(211,681)</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87,564</w:t>
            </w:r>
          </w:p>
        </w:tc>
        <w:tc>
          <w:tcPr>
            <w:tcW w:w="0" w:type="dxa"/>
            <w:vAlign w:val="bottom"/>
          </w:tcPr>
          <w:p>
            <w:pPr>
              <w:spacing w:after="0"/>
              <w:rPr>
                <w:sz w:val="1"/>
                <w:szCs w:val="1"/>
                <w:color w:val="auto"/>
              </w:rPr>
            </w:pPr>
          </w:p>
        </w:tc>
      </w:tr>
      <w:tr>
        <w:trPr>
          <w:trHeight w:val="214"/>
        </w:trPr>
        <w:tc>
          <w:tcPr>
            <w:tcW w:w="57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Internally-developed software</w:t>
            </w: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149,644</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(113,863)</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35,781</w:t>
            </w:r>
          </w:p>
        </w:tc>
        <w:tc>
          <w:tcPr>
            <w:tcW w:w="0" w:type="dxa"/>
            <w:vAlign w:val="bottom"/>
          </w:tcPr>
          <w:p>
            <w:pPr>
              <w:spacing w:after="0"/>
              <w:rPr>
                <w:sz w:val="1"/>
                <w:szCs w:val="1"/>
                <w:color w:val="auto"/>
              </w:rPr>
            </w:pPr>
          </w:p>
        </w:tc>
      </w:tr>
      <w:tr>
        <w:trPr>
          <w:trHeight w:val="214"/>
        </w:trPr>
        <w:tc>
          <w:tcPr>
            <w:tcW w:w="5700" w:type="dxa"/>
            <w:vAlign w:val="bottom"/>
            <w:gridSpan w:val="2"/>
          </w:tcPr>
          <w:p>
            <w:pPr>
              <w:ind w:left="140"/>
              <w:spacing w:after="0"/>
              <w:rPr>
                <w:sz w:val="20"/>
                <w:szCs w:val="20"/>
                <w:color w:val="auto"/>
              </w:rPr>
            </w:pPr>
            <w:r>
              <w:rPr>
                <w:rFonts w:ascii="Arial" w:cs="Arial" w:eastAsia="Arial" w:hAnsi="Arial"/>
                <w:sz w:val="16"/>
                <w:szCs w:val="16"/>
                <w:color w:val="auto"/>
              </w:rPr>
              <w:t>Noncompete agreements</w:t>
            </w:r>
          </w:p>
        </w:tc>
        <w:tc>
          <w:tcPr>
            <w:tcW w:w="5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40,636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(32,620)</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8,016</w:t>
            </w:r>
          </w:p>
        </w:tc>
        <w:tc>
          <w:tcPr>
            <w:tcW w:w="0" w:type="dxa"/>
            <w:vAlign w:val="bottom"/>
          </w:tcPr>
          <w:p>
            <w:pPr>
              <w:spacing w:after="0"/>
              <w:rPr>
                <w:sz w:val="1"/>
                <w:szCs w:val="1"/>
                <w:color w:val="auto"/>
              </w:rPr>
            </w:pPr>
          </w:p>
        </w:tc>
      </w:tr>
      <w:tr>
        <w:trPr>
          <w:trHeight w:val="214"/>
        </w:trPr>
        <w:tc>
          <w:tcPr>
            <w:tcW w:w="57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Franchise agreements</w:t>
            </w: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19,201</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(13,974)</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5,227</w:t>
            </w:r>
          </w:p>
        </w:tc>
        <w:tc>
          <w:tcPr>
            <w:tcW w:w="0" w:type="dxa"/>
            <w:vAlign w:val="bottom"/>
          </w:tcPr>
          <w:p>
            <w:pPr>
              <w:spacing w:after="0"/>
              <w:rPr>
                <w:sz w:val="1"/>
                <w:szCs w:val="1"/>
                <w:color w:val="auto"/>
              </w:rPr>
            </w:pPr>
          </w:p>
        </w:tc>
      </w:tr>
      <w:tr>
        <w:trPr>
          <w:trHeight w:val="214"/>
        </w:trPr>
        <w:tc>
          <w:tcPr>
            <w:tcW w:w="5700" w:type="dxa"/>
            <w:vAlign w:val="bottom"/>
            <w:gridSpan w:val="2"/>
          </w:tcPr>
          <w:p>
            <w:pPr>
              <w:ind w:left="140"/>
              <w:spacing w:after="0"/>
              <w:rPr>
                <w:sz w:val="20"/>
                <w:szCs w:val="20"/>
                <w:color w:val="auto"/>
              </w:rPr>
            </w:pPr>
            <w:r>
              <w:rPr>
                <w:rFonts w:ascii="Arial" w:cs="Arial" w:eastAsia="Arial" w:hAnsi="Arial"/>
                <w:sz w:val="16"/>
                <w:szCs w:val="16"/>
                <w:color w:val="auto"/>
              </w:rPr>
              <w:t>Purchased technology</w:t>
            </w:r>
          </w:p>
        </w:tc>
        <w:tc>
          <w:tcPr>
            <w:tcW w:w="5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122,700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(49,503)</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73,197</w:t>
            </w:r>
          </w:p>
        </w:tc>
        <w:tc>
          <w:tcPr>
            <w:tcW w:w="0" w:type="dxa"/>
            <w:vAlign w:val="bottom"/>
          </w:tcPr>
          <w:p>
            <w:pPr>
              <w:spacing w:after="0"/>
              <w:rPr>
                <w:sz w:val="1"/>
                <w:szCs w:val="1"/>
                <w:color w:val="auto"/>
              </w:rPr>
            </w:pPr>
          </w:p>
        </w:tc>
      </w:tr>
      <w:tr>
        <w:trPr>
          <w:trHeight w:val="214"/>
        </w:trPr>
        <w:tc>
          <w:tcPr>
            <w:tcW w:w="57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Trade name</w:t>
            </w: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5,800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5,608</w:t>
            </w:r>
          </w:p>
        </w:tc>
        <w:tc>
          <w:tcPr>
            <w:tcW w:w="0" w:type="dxa"/>
            <w:vAlign w:val="bottom"/>
          </w:tcPr>
          <w:p>
            <w:pPr>
              <w:spacing w:after="0"/>
              <w:rPr>
                <w:sz w:val="1"/>
                <w:szCs w:val="1"/>
                <w:color w:val="auto"/>
              </w:rPr>
            </w:pPr>
          </w:p>
        </w:tc>
      </w:tr>
      <w:tr>
        <w:trPr>
          <w:trHeight w:val="214"/>
        </w:trPr>
        <w:tc>
          <w:tcPr>
            <w:tcW w:w="5700" w:type="dxa"/>
            <w:vAlign w:val="bottom"/>
            <w:gridSpan w:val="2"/>
          </w:tcPr>
          <w:p>
            <w:pPr>
              <w:ind w:left="140"/>
              <w:spacing w:after="0" w:line="214" w:lineRule="exact"/>
              <w:rPr>
                <w:sz w:val="20"/>
                <w:szCs w:val="20"/>
                <w:color w:val="auto"/>
              </w:rPr>
            </w:pPr>
            <w:r>
              <w:rPr>
                <w:rFonts w:ascii="Arial" w:cs="Arial" w:eastAsia="Arial" w:hAnsi="Arial"/>
                <w:sz w:val="16"/>
                <w:szCs w:val="16"/>
                <w:color w:val="auto"/>
              </w:rPr>
              <w:t xml:space="preserve">Acquired assets pending final allocation </w:t>
            </w:r>
            <w:r>
              <w:rPr>
                <w:rFonts w:ascii="Arial" w:cs="Arial" w:eastAsia="Arial" w:hAnsi="Arial"/>
                <w:sz w:val="20"/>
                <w:szCs w:val="20"/>
                <w:color w:val="auto"/>
                <w:vertAlign w:val="superscript"/>
              </w:rPr>
              <w:t>(1)</w:t>
            </w:r>
          </w:p>
        </w:tc>
        <w:tc>
          <w:tcPr>
            <w:tcW w:w="5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2,181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gridSpan w:val="2"/>
          </w:tcPr>
          <w:p>
            <w:pPr>
              <w:ind w:left="1080"/>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2,181</w:t>
            </w:r>
          </w:p>
        </w:tc>
        <w:tc>
          <w:tcPr>
            <w:tcW w:w="0" w:type="dxa"/>
            <w:vAlign w:val="bottom"/>
          </w:tcPr>
          <w:p>
            <w:pPr>
              <w:spacing w:after="0"/>
              <w:rPr>
                <w:sz w:val="1"/>
                <w:szCs w:val="1"/>
                <w:color w:val="auto"/>
              </w:rPr>
            </w:pPr>
          </w:p>
        </w:tc>
      </w:tr>
      <w:tr>
        <w:trPr>
          <w:trHeight w:val="208"/>
        </w:trPr>
        <w:tc>
          <w:tcPr>
            <w:tcW w:w="55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ind w:right="360"/>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994,523</w:t>
            </w: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60"/>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(569,146)</w:t>
            </w:r>
          </w:p>
        </w:tc>
        <w:tc>
          <w:tcPr>
            <w:tcW w:w="1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425,377</w:t>
            </w:r>
          </w:p>
        </w:tc>
        <w:tc>
          <w:tcPr>
            <w:tcW w:w="0" w:type="dxa"/>
            <w:vAlign w:val="bottom"/>
          </w:tcPr>
          <w:p>
            <w:pPr>
              <w:spacing w:after="0"/>
              <w:rPr>
                <w:sz w:val="1"/>
                <w:szCs w:val="1"/>
                <w:color w:val="auto"/>
              </w:rPr>
            </w:pPr>
          </w:p>
        </w:tc>
      </w:tr>
      <w:tr>
        <w:trPr>
          <w:trHeight w:val="194"/>
        </w:trPr>
        <w:tc>
          <w:tcPr>
            <w:tcW w:w="5700" w:type="dxa"/>
            <w:vAlign w:val="bottom"/>
            <w:gridSpan w:val="2"/>
          </w:tcPr>
          <w:p>
            <w:pPr>
              <w:ind w:left="20"/>
              <w:spacing w:after="0"/>
              <w:rPr>
                <w:sz w:val="20"/>
                <w:szCs w:val="20"/>
                <w:color w:val="auto"/>
              </w:rPr>
            </w:pPr>
            <w:r>
              <w:rPr>
                <w:rFonts w:ascii="Arial" w:cs="Arial" w:eastAsia="Arial" w:hAnsi="Arial"/>
                <w:sz w:val="16"/>
                <w:szCs w:val="16"/>
                <w:color w:val="auto"/>
              </w:rPr>
              <w:t>As of April 30, 2020:</w:t>
            </w:r>
          </w:p>
        </w:tc>
        <w:tc>
          <w:tcPr>
            <w:tcW w:w="5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7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Reacquired franchise rights</w:t>
            </w:r>
          </w:p>
        </w:tc>
        <w:tc>
          <w:tcPr>
            <w:tcW w:w="540" w:type="dxa"/>
            <w:vAlign w:val="bottom"/>
            <w:shd w:val="clear" w:color="auto" w:fill="CCEEFF"/>
          </w:tcPr>
          <w:p>
            <w:pPr>
              <w:jc w:val="right"/>
              <w:ind w:right="360"/>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365,062</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(159,754)</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205,308</w:t>
            </w:r>
          </w:p>
        </w:tc>
        <w:tc>
          <w:tcPr>
            <w:tcW w:w="0" w:type="dxa"/>
            <w:vAlign w:val="bottom"/>
          </w:tcPr>
          <w:p>
            <w:pPr>
              <w:spacing w:after="0"/>
              <w:rPr>
                <w:sz w:val="1"/>
                <w:szCs w:val="1"/>
                <w:color w:val="auto"/>
              </w:rPr>
            </w:pPr>
          </w:p>
        </w:tc>
      </w:tr>
      <w:tr>
        <w:trPr>
          <w:trHeight w:val="214"/>
        </w:trPr>
        <w:tc>
          <w:tcPr>
            <w:tcW w:w="5700" w:type="dxa"/>
            <w:vAlign w:val="bottom"/>
            <w:gridSpan w:val="2"/>
          </w:tcPr>
          <w:p>
            <w:pPr>
              <w:ind w:left="140"/>
              <w:spacing w:after="0"/>
              <w:rPr>
                <w:sz w:val="20"/>
                <w:szCs w:val="20"/>
                <w:color w:val="auto"/>
              </w:rPr>
            </w:pPr>
            <w:r>
              <w:rPr>
                <w:rFonts w:ascii="Arial" w:cs="Arial" w:eastAsia="Arial" w:hAnsi="Arial"/>
                <w:sz w:val="16"/>
                <w:szCs w:val="16"/>
                <w:color w:val="auto"/>
              </w:rPr>
              <w:t>Customer relationships</w:t>
            </w:r>
          </w:p>
        </w:tc>
        <w:tc>
          <w:tcPr>
            <w:tcW w:w="5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314,191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(227,445)</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86,746</w:t>
            </w:r>
          </w:p>
        </w:tc>
        <w:tc>
          <w:tcPr>
            <w:tcW w:w="0" w:type="dxa"/>
            <w:vAlign w:val="bottom"/>
          </w:tcPr>
          <w:p>
            <w:pPr>
              <w:spacing w:after="0"/>
              <w:rPr>
                <w:sz w:val="1"/>
                <w:szCs w:val="1"/>
                <w:color w:val="auto"/>
              </w:rPr>
            </w:pPr>
          </w:p>
        </w:tc>
      </w:tr>
      <w:tr>
        <w:trPr>
          <w:trHeight w:val="214"/>
        </w:trPr>
        <w:tc>
          <w:tcPr>
            <w:tcW w:w="57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Internally-developed software</w:t>
            </w: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154,083</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(113,698)</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40,385</w:t>
            </w:r>
          </w:p>
        </w:tc>
        <w:tc>
          <w:tcPr>
            <w:tcW w:w="0" w:type="dxa"/>
            <w:vAlign w:val="bottom"/>
          </w:tcPr>
          <w:p>
            <w:pPr>
              <w:spacing w:after="0"/>
              <w:rPr>
                <w:sz w:val="1"/>
                <w:szCs w:val="1"/>
                <w:color w:val="auto"/>
              </w:rPr>
            </w:pPr>
          </w:p>
        </w:tc>
      </w:tr>
      <w:tr>
        <w:trPr>
          <w:trHeight w:val="214"/>
        </w:trPr>
        <w:tc>
          <w:tcPr>
            <w:tcW w:w="5700" w:type="dxa"/>
            <w:vAlign w:val="bottom"/>
            <w:gridSpan w:val="2"/>
          </w:tcPr>
          <w:p>
            <w:pPr>
              <w:ind w:left="140"/>
              <w:spacing w:after="0"/>
              <w:rPr>
                <w:sz w:val="20"/>
                <w:szCs w:val="20"/>
                <w:color w:val="auto"/>
              </w:rPr>
            </w:pPr>
            <w:r>
              <w:rPr>
                <w:rFonts w:ascii="Arial" w:cs="Arial" w:eastAsia="Arial" w:hAnsi="Arial"/>
                <w:sz w:val="16"/>
                <w:szCs w:val="16"/>
                <w:color w:val="auto"/>
              </w:rPr>
              <w:t>Noncompete agreements</w:t>
            </w:r>
          </w:p>
        </w:tc>
        <w:tc>
          <w:tcPr>
            <w:tcW w:w="5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41,072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(33,639)</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7,433</w:t>
            </w:r>
          </w:p>
        </w:tc>
        <w:tc>
          <w:tcPr>
            <w:tcW w:w="0" w:type="dxa"/>
            <w:vAlign w:val="bottom"/>
          </w:tcPr>
          <w:p>
            <w:pPr>
              <w:spacing w:after="0"/>
              <w:rPr>
                <w:sz w:val="1"/>
                <w:szCs w:val="1"/>
                <w:color w:val="auto"/>
              </w:rPr>
            </w:pPr>
          </w:p>
        </w:tc>
      </w:tr>
      <w:tr>
        <w:trPr>
          <w:trHeight w:val="214"/>
        </w:trPr>
        <w:tc>
          <w:tcPr>
            <w:tcW w:w="57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Franchise agreements</w:t>
            </w: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19,201</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(14,614)</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4,587</w:t>
            </w:r>
          </w:p>
        </w:tc>
        <w:tc>
          <w:tcPr>
            <w:tcW w:w="0" w:type="dxa"/>
            <w:vAlign w:val="bottom"/>
          </w:tcPr>
          <w:p>
            <w:pPr>
              <w:spacing w:after="0"/>
              <w:rPr>
                <w:sz w:val="1"/>
                <w:szCs w:val="1"/>
                <w:color w:val="auto"/>
              </w:rPr>
            </w:pPr>
          </w:p>
        </w:tc>
      </w:tr>
      <w:tr>
        <w:trPr>
          <w:trHeight w:val="214"/>
        </w:trPr>
        <w:tc>
          <w:tcPr>
            <w:tcW w:w="5700" w:type="dxa"/>
            <w:vAlign w:val="bottom"/>
            <w:gridSpan w:val="2"/>
          </w:tcPr>
          <w:p>
            <w:pPr>
              <w:ind w:left="140"/>
              <w:spacing w:after="0"/>
              <w:rPr>
                <w:sz w:val="20"/>
                <w:szCs w:val="20"/>
                <w:color w:val="auto"/>
              </w:rPr>
            </w:pPr>
            <w:r>
              <w:rPr>
                <w:rFonts w:ascii="Arial" w:cs="Arial" w:eastAsia="Arial" w:hAnsi="Arial"/>
                <w:sz w:val="16"/>
                <w:szCs w:val="16"/>
                <w:color w:val="auto"/>
              </w:rPr>
              <w:t>Purchased technology</w:t>
            </w:r>
          </w:p>
        </w:tc>
        <w:tc>
          <w:tcPr>
            <w:tcW w:w="5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122,700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(57,548)</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65,152</w:t>
            </w:r>
          </w:p>
        </w:tc>
        <w:tc>
          <w:tcPr>
            <w:tcW w:w="0" w:type="dxa"/>
            <w:vAlign w:val="bottom"/>
          </w:tcPr>
          <w:p>
            <w:pPr>
              <w:spacing w:after="0"/>
              <w:rPr>
                <w:sz w:val="1"/>
                <w:szCs w:val="1"/>
                <w:color w:val="auto"/>
              </w:rPr>
            </w:pPr>
          </w:p>
        </w:tc>
      </w:tr>
      <w:tr>
        <w:trPr>
          <w:trHeight w:val="214"/>
        </w:trPr>
        <w:tc>
          <w:tcPr>
            <w:tcW w:w="57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Trade name</w:t>
            </w: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5,800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5,317</w:t>
            </w:r>
          </w:p>
        </w:tc>
        <w:tc>
          <w:tcPr>
            <w:tcW w:w="0" w:type="dxa"/>
            <w:vAlign w:val="bottom"/>
          </w:tcPr>
          <w:p>
            <w:pPr>
              <w:spacing w:after="0"/>
              <w:rPr>
                <w:sz w:val="1"/>
                <w:szCs w:val="1"/>
                <w:color w:val="auto"/>
              </w:rPr>
            </w:pPr>
          </w:p>
        </w:tc>
      </w:tr>
      <w:tr>
        <w:trPr>
          <w:trHeight w:val="214"/>
        </w:trPr>
        <w:tc>
          <w:tcPr>
            <w:tcW w:w="5700" w:type="dxa"/>
            <w:vAlign w:val="bottom"/>
            <w:gridSpan w:val="2"/>
          </w:tcPr>
          <w:p>
            <w:pPr>
              <w:ind w:left="140"/>
              <w:spacing w:after="0" w:line="214" w:lineRule="exact"/>
              <w:rPr>
                <w:sz w:val="20"/>
                <w:szCs w:val="20"/>
                <w:color w:val="auto"/>
              </w:rPr>
            </w:pPr>
            <w:r>
              <w:rPr>
                <w:rFonts w:ascii="Arial" w:cs="Arial" w:eastAsia="Arial" w:hAnsi="Arial"/>
                <w:sz w:val="16"/>
                <w:szCs w:val="16"/>
                <w:color w:val="auto"/>
              </w:rPr>
              <w:t xml:space="preserve">Acquired assets pending final allocation </w:t>
            </w:r>
            <w:r>
              <w:rPr>
                <w:rFonts w:ascii="Arial" w:cs="Arial" w:eastAsia="Arial" w:hAnsi="Arial"/>
                <w:sz w:val="20"/>
                <w:szCs w:val="20"/>
                <w:color w:val="auto"/>
                <w:vertAlign w:val="superscript"/>
              </w:rPr>
              <w:t>(1)</w:t>
            </w:r>
          </w:p>
        </w:tc>
        <w:tc>
          <w:tcPr>
            <w:tcW w:w="5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gridSpan w:val="2"/>
          </w:tcPr>
          <w:p>
            <w:pPr>
              <w:ind w:left="1080"/>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08"/>
        </w:trPr>
        <w:tc>
          <w:tcPr>
            <w:tcW w:w="55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ind w:right="360"/>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1,022,157</w:t>
            </w: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60"/>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(607,181)</w:t>
            </w:r>
          </w:p>
        </w:tc>
        <w:tc>
          <w:tcPr>
            <w:tcW w:w="1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414,976</w:t>
            </w:r>
          </w:p>
        </w:tc>
        <w:tc>
          <w:tcPr>
            <w:tcW w:w="0" w:type="dxa"/>
            <w:vAlign w:val="bottom"/>
          </w:tcPr>
          <w:p>
            <w:pPr>
              <w:spacing w:after="0"/>
              <w:rPr>
                <w:sz w:val="1"/>
                <w:szCs w:val="1"/>
                <w:color w:val="auto"/>
              </w:rPr>
            </w:pPr>
          </w:p>
        </w:tc>
      </w:tr>
      <w:tr>
        <w:trPr>
          <w:trHeight w:val="34"/>
        </w:trPr>
        <w:tc>
          <w:tcPr>
            <w:tcW w:w="5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280" w:hanging="273"/>
        <w:spacing w:after="0"/>
        <w:tabs>
          <w:tab w:leader="none" w:pos="280" w:val="left"/>
        </w:tabs>
        <w:numPr>
          <w:ilvl w:val="0"/>
          <w:numId w:val="11"/>
        </w:numPr>
        <w:rPr>
          <w:rFonts w:ascii="Arial" w:cs="Arial" w:eastAsia="Arial" w:hAnsi="Arial"/>
          <w:sz w:val="9"/>
          <w:szCs w:val="9"/>
          <w:color w:val="auto"/>
        </w:rPr>
      </w:pPr>
      <w:r>
        <w:rPr>
          <w:rFonts w:ascii="Arial" w:cs="Arial" w:eastAsia="Arial" w:hAnsi="Arial"/>
          <w:sz w:val="14"/>
          <w:szCs w:val="14"/>
          <w:color w:val="auto"/>
        </w:rPr>
        <w:t>Represents franchisee and competitor business acquisitions for which final purchase price allocations have not yet been determined.</w:t>
      </w:r>
    </w:p>
    <w:p>
      <w:pPr>
        <w:spacing w:after="0" w:line="97" w:lineRule="exact"/>
        <w:rPr>
          <w:sz w:val="20"/>
          <w:szCs w:val="20"/>
          <w:color w:val="auto"/>
        </w:rPr>
      </w:pPr>
    </w:p>
    <w:p>
      <w:pPr>
        <w:jc w:val="both"/>
        <w:ind w:firstLine="201"/>
        <w:spacing w:after="0" w:line="260" w:lineRule="auto"/>
        <w:rPr>
          <w:sz w:val="20"/>
          <w:szCs w:val="20"/>
          <w:color w:val="auto"/>
        </w:rPr>
      </w:pPr>
      <w:r>
        <w:rPr>
          <w:rFonts w:ascii="Arial" w:cs="Arial" w:eastAsia="Arial" w:hAnsi="Arial"/>
          <w:sz w:val="18"/>
          <w:szCs w:val="18"/>
          <w:color w:val="auto"/>
        </w:rPr>
        <w:t>We made payments to acquire businesses totaling $3.7 million and $416.9 million during the six months ended October 31, 2020 and 2019, respectively. The six months ended October 31, 2019 included the acquisition of Wave. The amounts and weighted-average lives of intangible assets acquired during the six months ended October 31, 2020, including amounts capitalized and placed in service related to internally-developed software, are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7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(dollars in 000s)</w:t>
            </w:r>
          </w:p>
        </w:tc>
      </w:tr>
      <w:tr>
        <w:trPr>
          <w:trHeight w:val="208"/>
        </w:trPr>
        <w:tc>
          <w:tcPr>
            <w:tcW w:w="57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Amount</w:t>
            </w:r>
          </w:p>
        </w:tc>
        <w:tc>
          <w:tcPr>
            <w:tcW w:w="3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Weighted-Average life (in years)</w:t>
            </w:r>
          </w:p>
        </w:tc>
      </w:tr>
      <w:tr>
        <w:trPr>
          <w:trHeight w:val="208"/>
        </w:trPr>
        <w:tc>
          <w:tcPr>
            <w:tcW w:w="5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Capitalized software</w:t>
            </w:r>
          </w:p>
        </w:tc>
        <w:tc>
          <w:tcPr>
            <w:tcW w:w="980" w:type="dxa"/>
            <w:vAlign w:val="bottom"/>
            <w:shd w:val="clear" w:color="auto" w:fill="CCEEFF"/>
          </w:tcPr>
          <w:p>
            <w:pPr>
              <w:jc w:val="right"/>
              <w:ind w:right="800"/>
              <w:spacing w:after="0"/>
              <w:rPr>
                <w:sz w:val="20"/>
                <w:szCs w:val="20"/>
                <w:color w:val="auto"/>
              </w:rPr>
            </w:pPr>
            <w:r>
              <w:rPr>
                <w:rFonts w:ascii="Arial" w:cs="Arial" w:eastAsia="Arial" w:hAnsi="Arial"/>
                <w:sz w:val="16"/>
                <w:szCs w:val="16"/>
                <w:b w:val="1"/>
                <w:bCs w:val="1"/>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w:t>
            </w:r>
          </w:p>
        </w:tc>
        <w:tc>
          <w:tcPr>
            <w:tcW w:w="3040" w:type="dxa"/>
            <w:vAlign w:val="bottom"/>
            <w:shd w:val="clear" w:color="auto" w:fill="CCEEFF"/>
          </w:tcPr>
          <w:p>
            <w:pPr>
              <w:jc w:val="right"/>
              <w:ind w:right="1341"/>
              <w:spacing w:after="0"/>
              <w:rPr>
                <w:sz w:val="20"/>
                <w:szCs w:val="20"/>
                <w:color w:val="auto"/>
              </w:rPr>
            </w:pPr>
            <w:r>
              <w:rPr>
                <w:rFonts w:ascii="Arial" w:cs="Arial" w:eastAsia="Arial" w:hAnsi="Arial"/>
                <w:sz w:val="16"/>
                <w:szCs w:val="16"/>
                <w:b w:val="1"/>
                <w:bCs w:val="1"/>
                <w:color w:val="auto"/>
              </w:rPr>
              <w:t>3</w:t>
            </w:r>
          </w:p>
        </w:tc>
      </w:tr>
      <w:tr>
        <w:trPr>
          <w:trHeight w:val="214"/>
        </w:trPr>
        <w:tc>
          <w:tcPr>
            <w:tcW w:w="5760" w:type="dxa"/>
            <w:vAlign w:val="bottom"/>
          </w:tcPr>
          <w:p>
            <w:pPr>
              <w:ind w:left="20"/>
              <w:spacing w:after="0"/>
              <w:rPr>
                <w:sz w:val="20"/>
                <w:szCs w:val="20"/>
                <w:color w:val="auto"/>
              </w:rPr>
            </w:pPr>
            <w:r>
              <w:rPr>
                <w:rFonts w:ascii="Arial" w:cs="Arial" w:eastAsia="Arial" w:hAnsi="Arial"/>
                <w:sz w:val="16"/>
                <w:szCs w:val="16"/>
                <w:color w:val="auto"/>
              </w:rPr>
              <w:t>Customer relationships</w:t>
            </w:r>
          </w:p>
        </w:tc>
        <w:tc>
          <w:tcPr>
            <w:tcW w:w="9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3,011</w:t>
            </w:r>
          </w:p>
        </w:tc>
        <w:tc>
          <w:tcPr>
            <w:tcW w:w="3040" w:type="dxa"/>
            <w:vAlign w:val="bottom"/>
          </w:tcPr>
          <w:p>
            <w:pPr>
              <w:jc w:val="right"/>
              <w:ind w:right="1341"/>
              <w:spacing w:after="0"/>
              <w:rPr>
                <w:sz w:val="20"/>
                <w:szCs w:val="20"/>
                <w:color w:val="auto"/>
              </w:rPr>
            </w:pPr>
            <w:r>
              <w:rPr>
                <w:rFonts w:ascii="Arial" w:cs="Arial" w:eastAsia="Arial" w:hAnsi="Arial"/>
                <w:sz w:val="16"/>
                <w:szCs w:val="16"/>
                <w:b w:val="1"/>
                <w:bCs w:val="1"/>
                <w:color w:val="auto"/>
              </w:rPr>
              <w:t>5</w:t>
            </w:r>
          </w:p>
        </w:tc>
      </w:tr>
      <w:tr>
        <w:trPr>
          <w:trHeight w:val="214"/>
        </w:trPr>
        <w:tc>
          <w:tcPr>
            <w:tcW w:w="5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Reacquired franchise rights</w:t>
            </w:r>
          </w:p>
        </w:tc>
        <w:tc>
          <w:tcPr>
            <w:tcW w:w="9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3,182</w:t>
            </w:r>
          </w:p>
        </w:tc>
        <w:tc>
          <w:tcPr>
            <w:tcW w:w="3040" w:type="dxa"/>
            <w:vAlign w:val="bottom"/>
            <w:shd w:val="clear" w:color="auto" w:fill="CCEEFF"/>
          </w:tcPr>
          <w:p>
            <w:pPr>
              <w:jc w:val="right"/>
              <w:ind w:right="1341"/>
              <w:spacing w:after="0"/>
              <w:rPr>
                <w:sz w:val="20"/>
                <w:szCs w:val="20"/>
                <w:color w:val="auto"/>
              </w:rPr>
            </w:pPr>
            <w:r>
              <w:rPr>
                <w:rFonts w:ascii="Arial" w:cs="Arial" w:eastAsia="Arial" w:hAnsi="Arial"/>
                <w:sz w:val="16"/>
                <w:szCs w:val="16"/>
                <w:b w:val="1"/>
                <w:bCs w:val="1"/>
                <w:color w:val="auto"/>
              </w:rPr>
              <w:t>6</w:t>
            </w:r>
          </w:p>
        </w:tc>
      </w:tr>
      <w:tr>
        <w:trPr>
          <w:trHeight w:val="214"/>
        </w:trPr>
        <w:tc>
          <w:tcPr>
            <w:tcW w:w="57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Noncompete agreements</w:t>
            </w:r>
          </w:p>
        </w:tc>
        <w:tc>
          <w:tcPr>
            <w:tcW w:w="9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94</w:t>
            </w:r>
          </w:p>
        </w:tc>
        <w:tc>
          <w:tcPr>
            <w:tcW w:w="3040" w:type="dxa"/>
            <w:vAlign w:val="bottom"/>
            <w:tcBorders>
              <w:bottom w:val="single" w:sz="8" w:color="CCEEFF"/>
            </w:tcBorders>
          </w:tcPr>
          <w:p>
            <w:pPr>
              <w:jc w:val="right"/>
              <w:ind w:right="1341"/>
              <w:spacing w:after="0"/>
              <w:rPr>
                <w:sz w:val="20"/>
                <w:szCs w:val="20"/>
                <w:color w:val="auto"/>
              </w:rPr>
            </w:pPr>
            <w:r>
              <w:rPr>
                <w:rFonts w:ascii="Arial" w:cs="Arial" w:eastAsia="Arial" w:hAnsi="Arial"/>
                <w:sz w:val="16"/>
                <w:szCs w:val="16"/>
                <w:b w:val="1"/>
                <w:bCs w:val="1"/>
                <w:color w:val="auto"/>
              </w:rPr>
              <w:t>5</w:t>
            </w:r>
          </w:p>
        </w:tc>
      </w:tr>
      <w:tr>
        <w:trPr>
          <w:trHeight w:val="208"/>
        </w:trPr>
        <w:tc>
          <w:tcPr>
            <w:tcW w:w="5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980" w:type="dxa"/>
            <w:vAlign w:val="bottom"/>
            <w:tcBorders>
              <w:bottom w:val="single" w:sz="8" w:color="auto"/>
            </w:tcBorders>
            <w:shd w:val="clear" w:color="auto" w:fill="CCEEFF"/>
          </w:tcPr>
          <w:p>
            <w:pPr>
              <w:jc w:val="right"/>
              <w:ind w:right="800"/>
              <w:spacing w:after="0"/>
              <w:rPr>
                <w:sz w:val="20"/>
                <w:szCs w:val="20"/>
                <w:color w:val="auto"/>
              </w:rPr>
            </w:pPr>
            <w:r>
              <w:rPr>
                <w:rFonts w:ascii="Arial" w:cs="Arial" w:eastAsia="Arial" w:hAnsi="Arial"/>
                <w:sz w:val="16"/>
                <w:szCs w:val="16"/>
                <w:b w:val="1"/>
                <w:bCs w:val="1"/>
                <w:color w:val="auto"/>
                <w:w w:val="8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6,306</w:t>
            </w:r>
          </w:p>
        </w:tc>
        <w:tc>
          <w:tcPr>
            <w:tcW w:w="3040" w:type="dxa"/>
            <w:vAlign w:val="bottom"/>
            <w:shd w:val="clear" w:color="auto" w:fill="CCEEFF"/>
          </w:tcPr>
          <w:p>
            <w:pPr>
              <w:jc w:val="right"/>
              <w:ind w:right="1341"/>
              <w:spacing w:after="0"/>
              <w:rPr>
                <w:sz w:val="20"/>
                <w:szCs w:val="20"/>
                <w:color w:val="auto"/>
              </w:rPr>
            </w:pPr>
            <w:r>
              <w:rPr>
                <w:rFonts w:ascii="Arial" w:cs="Arial" w:eastAsia="Arial" w:hAnsi="Arial"/>
                <w:sz w:val="16"/>
                <w:szCs w:val="16"/>
                <w:b w:val="1"/>
                <w:bCs w:val="1"/>
                <w:color w:val="auto"/>
              </w:rPr>
              <w:t>5</w:t>
            </w:r>
          </w:p>
        </w:tc>
      </w:tr>
      <w:tr>
        <w:trPr>
          <w:trHeight w:val="34"/>
        </w:trPr>
        <w:tc>
          <w:tcPr>
            <w:tcW w:w="57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824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Q2 FY2021 Form 10-Q</w:t>
      </w:r>
      <w:r>
        <w:rPr>
          <w:rFonts w:ascii="Arial" w:cs="Arial" w:eastAsia="Arial" w:hAnsi="Arial"/>
          <w:sz w:val="14"/>
          <w:szCs w:val="14"/>
          <w:b w:val="1"/>
          <w:bCs w:val="1"/>
          <w:color w:val="auto"/>
        </w:rPr>
        <w:t xml:space="preserve">  </w:t>
      </w:r>
      <w:r>
        <w:rPr>
          <w:rFonts w:ascii="Arial" w:cs="Arial" w:eastAsia="Arial" w:hAnsi="Arial"/>
          <w:sz w:val="14"/>
          <w:szCs w:val="14"/>
          <w:color w:val="FFFFFF"/>
          <w:highlight w:val="black"/>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145415</wp:posOffset>
            </wp:positionV>
            <wp:extent cx="713359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3590" cy="17145"/>
                    </a:xfrm>
                    <a:prstGeom prst="rect">
                      <a:avLst/>
                    </a:prstGeom>
                    <a:noFill/>
                  </pic:spPr>
                </pic:pic>
              </a:graphicData>
            </a:graphic>
          </wp:anchor>
        </w:drawing>
        <w:drawing>
          <wp:anchor simplePos="0" relativeHeight="251657728" behindDoc="1" locked="0" layoutInCell="0" allowOverlap="1">
            <wp:simplePos x="0" y="0"/>
            <wp:positionH relativeFrom="column">
              <wp:posOffset>6917055</wp:posOffset>
            </wp:positionH>
            <wp:positionV relativeFrom="paragraph">
              <wp:posOffset>-100330</wp:posOffset>
            </wp:positionV>
            <wp:extent cx="220980" cy="1187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20980" cy="118745"/>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13" w:name="page14"/>
    <w:bookmarkEnd w:id="1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firstLine="201"/>
        <w:spacing w:after="0" w:line="260" w:lineRule="auto"/>
        <w:rPr>
          <w:sz w:val="20"/>
          <w:szCs w:val="20"/>
          <w:color w:val="auto"/>
        </w:rPr>
      </w:pPr>
      <w:r>
        <w:rPr>
          <w:rFonts w:ascii="Arial" w:cs="Arial" w:eastAsia="Arial" w:hAnsi="Arial"/>
          <w:sz w:val="18"/>
          <w:szCs w:val="18"/>
          <w:color w:val="auto"/>
        </w:rPr>
        <w:t>Amortization of intangible assets for the three and six months ended October 31, 2020 was $19.5 million and $40.4 million, respectively, compared to $21.6 million and $39.8 million for the three and six months ended October 31, 2019, respectively. Estimated amortization of intangible assets for fiscal years 2021, 2022, 2023, 2024 and 2025 is $76.5 million, $60.9 million, $43.3 million, $32.2 million and $19.0 million, respectively.</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LONG-TERM DEBT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long-term debt are as follows:</w:t>
      </w:r>
    </w:p>
    <w:p>
      <w:pPr>
        <w:spacing w:after="0" w:line="151" w:lineRule="exact"/>
        <w:rPr>
          <w:sz w:val="20"/>
          <w:szCs w:val="20"/>
          <w:color w:val="auto"/>
        </w:rPr>
      </w:pPr>
    </w:p>
    <w:tbl>
      <w:tblPr>
        <w:tblLayout w:type="fixed"/>
        <w:tblInd w:w="20" w:type="dxa"/>
        <w:tblCellMar>
          <w:top w:w="0" w:type="dxa"/>
          <w:left w:w="0" w:type="dxa"/>
          <w:bottom w:w="0" w:type="dxa"/>
          <w:right w:w="0" w:type="dxa"/>
        </w:tblCellMar>
      </w:tblPr>
      <w:tr>
        <w:trPr>
          <w:trHeight w:val="187"/>
        </w:trPr>
        <w:tc>
          <w:tcPr>
            <w:tcW w:w="4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(in 000s)</w:t>
            </w:r>
          </w:p>
        </w:tc>
      </w:tr>
      <w:tr>
        <w:trPr>
          <w:trHeight w:val="208"/>
        </w:trPr>
        <w:tc>
          <w:tcPr>
            <w:tcW w:w="4340" w:type="dxa"/>
            <w:vAlign w:val="bottom"/>
            <w:gridSpan w:val="2"/>
          </w:tcPr>
          <w:p>
            <w:pPr>
              <w:ind w:left="20"/>
              <w:spacing w:after="0"/>
              <w:rPr>
                <w:sz w:val="20"/>
                <w:szCs w:val="20"/>
                <w:color w:val="auto"/>
              </w:rPr>
            </w:pPr>
            <w:r>
              <w:rPr>
                <w:rFonts w:ascii="Arial" w:cs="Arial" w:eastAsia="Arial" w:hAnsi="Arial"/>
                <w:sz w:val="16"/>
                <w:szCs w:val="16"/>
                <w:color w:val="auto"/>
              </w:rPr>
              <w:t>As of</w:t>
            </w:r>
          </w:p>
        </w:tc>
        <w:tc>
          <w:tcPr>
            <w:tcW w:w="480" w:type="dxa"/>
            <w:vAlign w:val="bottom"/>
          </w:tcPr>
          <w:p>
            <w:pPr>
              <w:spacing w:after="0"/>
              <w:rPr>
                <w:sz w:val="18"/>
                <w:szCs w:val="18"/>
                <w:color w:val="auto"/>
              </w:rPr>
            </w:pPr>
          </w:p>
        </w:tc>
        <w:tc>
          <w:tcPr>
            <w:tcW w:w="1800" w:type="dxa"/>
            <w:vAlign w:val="bottom"/>
            <w:gridSpan w:val="2"/>
          </w:tcPr>
          <w:p>
            <w:pPr>
              <w:ind w:left="380"/>
              <w:spacing w:after="0"/>
              <w:rPr>
                <w:sz w:val="20"/>
                <w:szCs w:val="20"/>
                <w:color w:val="auto"/>
              </w:rPr>
            </w:pPr>
            <w:r>
              <w:rPr>
                <w:rFonts w:ascii="Arial" w:cs="Arial" w:eastAsia="Arial" w:hAnsi="Arial"/>
                <w:sz w:val="16"/>
                <w:szCs w:val="16"/>
                <w:b w:val="1"/>
                <w:bCs w:val="1"/>
                <w:color w:val="auto"/>
              </w:rPr>
              <w:t>October 31, 2020</w:t>
            </w:r>
          </w:p>
        </w:tc>
        <w:tc>
          <w:tcPr>
            <w:tcW w:w="540" w:type="dxa"/>
            <w:vAlign w:val="bottom"/>
          </w:tcPr>
          <w:p>
            <w:pPr>
              <w:spacing w:after="0"/>
              <w:rPr>
                <w:sz w:val="18"/>
                <w:szCs w:val="18"/>
                <w:color w:val="auto"/>
              </w:rPr>
            </w:pPr>
          </w:p>
        </w:tc>
        <w:tc>
          <w:tcPr>
            <w:tcW w:w="1820" w:type="dxa"/>
            <w:vAlign w:val="bottom"/>
            <w:gridSpan w:val="2"/>
          </w:tcPr>
          <w:p>
            <w:pPr>
              <w:ind w:left="440"/>
              <w:spacing w:after="0"/>
              <w:rPr>
                <w:sz w:val="20"/>
                <w:szCs w:val="20"/>
                <w:color w:val="auto"/>
              </w:rPr>
            </w:pPr>
            <w:r>
              <w:rPr>
                <w:rFonts w:ascii="Arial" w:cs="Arial" w:eastAsia="Arial" w:hAnsi="Arial"/>
                <w:sz w:val="16"/>
                <w:szCs w:val="16"/>
                <w:color w:val="auto"/>
              </w:rPr>
              <w:t>October 31, 2019</w:t>
            </w:r>
          </w:p>
        </w:tc>
        <w:tc>
          <w:tcPr>
            <w:tcW w:w="6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April 30, 2020</w:t>
            </w:r>
          </w:p>
        </w:tc>
      </w:tr>
      <w:tr>
        <w:trPr>
          <w:trHeight w:val="208"/>
        </w:trPr>
        <w:tc>
          <w:tcPr>
            <w:tcW w:w="4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Senior Notes, 4.125%, due October 2020</w:t>
            </w: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300"/>
              <w:spacing w:after="0"/>
              <w:rPr>
                <w:sz w:val="20"/>
                <w:szCs w:val="20"/>
                <w:color w:val="auto"/>
              </w:rPr>
            </w:pPr>
            <w:r>
              <w:rPr>
                <w:rFonts w:ascii="Arial" w:cs="Arial" w:eastAsia="Arial" w:hAnsi="Arial"/>
                <w:sz w:val="16"/>
                <w:szCs w:val="16"/>
                <w:b w:val="1"/>
                <w:bCs w:val="1"/>
                <w:color w:val="auto"/>
                <w:w w:val="8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650,000</w:t>
            </w: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480"/>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650,000</w:t>
            </w:r>
          </w:p>
        </w:tc>
      </w:tr>
      <w:tr>
        <w:trPr>
          <w:trHeight w:val="214"/>
        </w:trPr>
        <w:tc>
          <w:tcPr>
            <w:tcW w:w="4340" w:type="dxa"/>
            <w:vAlign w:val="bottom"/>
            <w:gridSpan w:val="2"/>
          </w:tcPr>
          <w:p>
            <w:pPr>
              <w:ind w:left="20"/>
              <w:spacing w:after="0"/>
              <w:rPr>
                <w:sz w:val="20"/>
                <w:szCs w:val="20"/>
                <w:color w:val="auto"/>
              </w:rPr>
            </w:pPr>
            <w:r>
              <w:rPr>
                <w:rFonts w:ascii="Arial" w:cs="Arial" w:eastAsia="Arial" w:hAnsi="Arial"/>
                <w:sz w:val="16"/>
                <w:szCs w:val="16"/>
                <w:color w:val="auto"/>
              </w:rPr>
              <w:t>Senior Notes, 5.500%, due November 2022</w:t>
            </w:r>
          </w:p>
        </w:tc>
        <w:tc>
          <w:tcPr>
            <w:tcW w:w="4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b w:val="1"/>
                <w:bCs w:val="1"/>
                <w:color w:val="auto"/>
              </w:rPr>
              <w:t>500,000</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500,000</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500,000</w:t>
            </w:r>
          </w:p>
        </w:tc>
      </w:tr>
      <w:tr>
        <w:trPr>
          <w:trHeight w:val="214"/>
        </w:trPr>
        <w:tc>
          <w:tcPr>
            <w:tcW w:w="4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Senior Notes, 5.250%, due October 2025</w:t>
            </w:r>
          </w:p>
        </w:tc>
        <w:tc>
          <w:tcPr>
            <w:tcW w:w="4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350,000</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350,000</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350,000</w:t>
            </w:r>
          </w:p>
        </w:tc>
      </w:tr>
      <w:tr>
        <w:trPr>
          <w:trHeight w:val="214"/>
        </w:trPr>
        <w:tc>
          <w:tcPr>
            <w:tcW w:w="4340" w:type="dxa"/>
            <w:vAlign w:val="bottom"/>
            <w:gridSpan w:val="2"/>
          </w:tcPr>
          <w:p>
            <w:pPr>
              <w:ind w:left="20"/>
              <w:spacing w:after="0"/>
              <w:rPr>
                <w:sz w:val="20"/>
                <w:szCs w:val="20"/>
                <w:color w:val="auto"/>
              </w:rPr>
            </w:pPr>
            <w:r>
              <w:rPr>
                <w:rFonts w:ascii="Arial" w:cs="Arial" w:eastAsia="Arial" w:hAnsi="Arial"/>
                <w:sz w:val="16"/>
                <w:szCs w:val="16"/>
                <w:color w:val="auto"/>
              </w:rPr>
              <w:t>Senior Notes, 3.875%, due August 2030</w:t>
            </w:r>
          </w:p>
        </w:tc>
        <w:tc>
          <w:tcPr>
            <w:tcW w:w="4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b w:val="1"/>
                <w:bCs w:val="1"/>
                <w:color w:val="auto"/>
              </w:rPr>
              <w:t>650,000</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4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Committed line of credit borrowings</w:t>
            </w:r>
          </w:p>
        </w:tc>
        <w:tc>
          <w:tcPr>
            <w:tcW w:w="4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70,000</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135,000</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2,000,000</w:t>
            </w:r>
          </w:p>
        </w:tc>
      </w:tr>
      <w:tr>
        <w:trPr>
          <w:trHeight w:val="214"/>
        </w:trPr>
        <w:tc>
          <w:tcPr>
            <w:tcW w:w="43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Debt issuance costs and discounts</w:t>
            </w:r>
          </w:p>
        </w:tc>
        <w:tc>
          <w:tcPr>
            <w:tcW w:w="4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(10,907)</w:t>
            </w: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(6,050)</w:t>
            </w:r>
          </w:p>
        </w:tc>
        <w:tc>
          <w:tcPr>
            <w:tcW w:w="12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(4,743)</w:t>
            </w:r>
          </w:p>
        </w:tc>
      </w:tr>
      <w:tr>
        <w:trPr>
          <w:trHeight w:val="208"/>
        </w:trPr>
        <w:tc>
          <w:tcPr>
            <w:tcW w:w="4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1,559,093</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1,628,950</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3,495,257</w:t>
            </w:r>
          </w:p>
        </w:tc>
      </w:tr>
      <w:tr>
        <w:trPr>
          <w:trHeight w:val="214"/>
        </w:trPr>
        <w:tc>
          <w:tcPr>
            <w:tcW w:w="4340" w:type="dxa"/>
            <w:vAlign w:val="bottom"/>
            <w:gridSpan w:val="2"/>
          </w:tcPr>
          <w:p>
            <w:pPr>
              <w:ind w:left="20"/>
              <w:spacing w:after="0"/>
              <w:rPr>
                <w:sz w:val="20"/>
                <w:szCs w:val="20"/>
                <w:color w:val="auto"/>
              </w:rPr>
            </w:pPr>
            <w:r>
              <w:rPr>
                <w:rFonts w:ascii="Arial" w:cs="Arial" w:eastAsia="Arial" w:hAnsi="Arial"/>
                <w:sz w:val="16"/>
                <w:szCs w:val="16"/>
                <w:color w:val="auto"/>
              </w:rPr>
              <w:t>Less: Current portion</w:t>
            </w:r>
          </w:p>
        </w:tc>
        <w:tc>
          <w:tcPr>
            <w:tcW w:w="480" w:type="dxa"/>
            <w:vAlign w:val="bottom"/>
          </w:tcPr>
          <w:p>
            <w:pPr>
              <w:spacing w:after="0"/>
              <w:rPr>
                <w:sz w:val="18"/>
                <w:szCs w:val="18"/>
                <w:color w:val="auto"/>
              </w:rPr>
            </w:pPr>
          </w:p>
        </w:tc>
        <w:tc>
          <w:tcPr>
            <w:tcW w:w="180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5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(648,651)</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(649,384)</w:t>
            </w:r>
          </w:p>
        </w:tc>
      </w:tr>
      <w:tr>
        <w:trPr>
          <w:trHeight w:val="208"/>
        </w:trPr>
        <w:tc>
          <w:tcPr>
            <w:tcW w:w="4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300"/>
              <w:spacing w:after="0"/>
              <w:rPr>
                <w:sz w:val="20"/>
                <w:szCs w:val="20"/>
                <w:color w:val="auto"/>
              </w:rPr>
            </w:pPr>
            <w:r>
              <w:rPr>
                <w:rFonts w:ascii="Arial" w:cs="Arial" w:eastAsia="Arial" w:hAnsi="Arial"/>
                <w:sz w:val="16"/>
                <w:szCs w:val="16"/>
                <w:b w:val="1"/>
                <w:bCs w:val="1"/>
                <w:color w:val="auto"/>
                <w:w w:val="89"/>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1,559,093</w:t>
            </w:r>
          </w:p>
        </w:tc>
        <w:tc>
          <w:tcPr>
            <w:tcW w:w="1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980,299</w:t>
            </w: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ind w:right="480"/>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2,845,873</w:t>
            </w:r>
          </w:p>
        </w:tc>
      </w:tr>
      <w:tr>
        <w:trPr>
          <w:trHeight w:val="34"/>
        </w:trPr>
        <w:tc>
          <w:tcPr>
            <w:tcW w:w="4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bl>
    <w:p>
      <w:pPr>
        <w:spacing w:after="0" w:line="151" w:lineRule="exact"/>
        <w:rPr>
          <w:sz w:val="20"/>
          <w:szCs w:val="20"/>
          <w:color w:val="auto"/>
        </w:rPr>
      </w:pPr>
    </w:p>
    <w:p>
      <w:pPr>
        <w:jc w:val="both"/>
        <w:ind w:firstLine="241"/>
        <w:spacing w:after="0" w:line="232" w:lineRule="auto"/>
        <w:rPr>
          <w:sz w:val="20"/>
          <w:szCs w:val="20"/>
          <w:color w:val="auto"/>
        </w:rPr>
      </w:pPr>
      <w:r>
        <w:rPr>
          <w:rFonts w:ascii="Arial" w:cs="Arial" w:eastAsia="Arial" w:hAnsi="Arial"/>
          <w:sz w:val="18"/>
          <w:szCs w:val="18"/>
          <w:color w:val="auto"/>
        </w:rPr>
        <w:t>On August 7, 2020, we issued $650.0 million of 3.875% Senior Notes due August 15, 2030 (2030 Senior Notes). The 2030 Senior Notes are not redeemable by the bondholders prior to maturity, although we have the right to redeem some or all of these notes at any time, at specified redemption prices. The proceeds of the 2030 Senior Notes were used to repay $650 million Senior Notes that matured on October 1, 2020.</w:t>
      </w:r>
    </w:p>
    <w:p>
      <w:pPr>
        <w:spacing w:after="0" w:line="68" w:lineRule="exact"/>
        <w:rPr>
          <w:sz w:val="20"/>
          <w:szCs w:val="20"/>
          <w:color w:val="auto"/>
        </w:rPr>
      </w:pPr>
    </w:p>
    <w:p>
      <w:pPr>
        <w:jc w:val="both"/>
        <w:ind w:firstLine="241"/>
        <w:spacing w:after="0" w:line="256" w:lineRule="auto"/>
        <w:rPr>
          <w:sz w:val="20"/>
          <w:szCs w:val="20"/>
          <w:color w:val="auto"/>
        </w:rPr>
      </w:pPr>
      <w:r>
        <w:rPr>
          <w:rFonts w:ascii="Arial" w:cs="Arial" w:eastAsia="Arial" w:hAnsi="Arial"/>
          <w:sz w:val="18"/>
          <w:szCs w:val="18"/>
          <w:b w:val="1"/>
          <w:bCs w:val="1"/>
          <w:color w:val="auto"/>
        </w:rPr>
        <w:t xml:space="preserve">UNSECURED COMMITTED LINE OF CREDIT </w:t>
      </w:r>
      <w:r>
        <w:rPr>
          <w:rFonts w:ascii="Arial" w:cs="Arial" w:eastAsia="Arial" w:hAnsi="Arial"/>
          <w:sz w:val="18"/>
          <w:szCs w:val="18"/>
          <w:color w:val="auto"/>
        </w:rPr>
        <w:t>– Our unsecured committed line of credit (CLOC) provides for an unsecured senior</w:t>
      </w:r>
      <w:r>
        <w:rPr>
          <w:rFonts w:ascii="Arial" w:cs="Arial" w:eastAsia="Arial" w:hAnsi="Arial"/>
          <w:sz w:val="18"/>
          <w:szCs w:val="18"/>
          <w:b w:val="1"/>
          <w:bCs w:val="1"/>
          <w:color w:val="auto"/>
        </w:rPr>
        <w:t xml:space="preserve"> </w:t>
      </w:r>
      <w:r>
        <w:rPr>
          <w:rFonts w:ascii="Arial" w:cs="Arial" w:eastAsia="Arial" w:hAnsi="Arial"/>
          <w:sz w:val="18"/>
          <w:szCs w:val="18"/>
          <w:color w:val="auto"/>
        </w:rPr>
        <w:t>revolving credit facility in the aggregate principal amount of $2.0 billion, which includes a $ 200.0 million sublimit for swingline loans and a $50.0 million sublimit for standby letters of credit. We may request increases in the aggregate principal amount of the revolving credit facility of up to $500.0 million, subject to obtaining commitments from lenders and meeting certain other conditions. The CLOC will mature on September 21, 2023, unless extended pursuant to the terms of the CLOC, at which time all outstanding amounts thereunder will be due and payable. Our CLOC includes an annual facility fee, which will vary depending on our then current credit ratings.</w:t>
      </w:r>
    </w:p>
    <w:p>
      <w:pPr>
        <w:spacing w:after="0" w:line="70" w:lineRule="exact"/>
        <w:rPr>
          <w:sz w:val="20"/>
          <w:szCs w:val="20"/>
          <w:color w:val="auto"/>
        </w:rPr>
      </w:pPr>
    </w:p>
    <w:p>
      <w:pPr>
        <w:jc w:val="both"/>
        <w:ind w:firstLine="241"/>
        <w:spacing w:after="0" w:line="269" w:lineRule="auto"/>
        <w:rPr>
          <w:sz w:val="20"/>
          <w:szCs w:val="20"/>
          <w:color w:val="auto"/>
        </w:rPr>
      </w:pPr>
      <w:r>
        <w:rPr>
          <w:rFonts w:ascii="Arial" w:cs="Arial" w:eastAsia="Arial" w:hAnsi="Arial"/>
          <w:sz w:val="17"/>
          <w:szCs w:val="17"/>
          <w:color w:val="auto"/>
        </w:rPr>
        <w:t>The CLOC is subject to various conditions, triggers, events or occurrences that could result in earlier termination and contains customary representations, warranties, covenants and events of default, including, without limitation: (1) a covenant requiring the Company to maintain a debt-to-EBITDA ratio calculated on a consolidated basis of no greater than (a) 3.50 to 1.00 as of the last day of each fiscal quarter ending on April 30, July 31, and October 31 of each year and (b) 4.50 to 1.00 as of the last day of each fiscal quarter ending on January 31 of each year;</w:t>
      </w:r>
    </w:p>
    <w:p>
      <w:pPr>
        <w:spacing w:after="0" w:line="3" w:lineRule="exact"/>
        <w:rPr>
          <w:sz w:val="20"/>
          <w:szCs w:val="20"/>
          <w:color w:val="auto"/>
        </w:rPr>
      </w:pPr>
    </w:p>
    <w:p>
      <w:pPr>
        <w:jc w:val="both"/>
        <w:ind w:firstLine="7"/>
        <w:spacing w:after="0" w:line="250" w:lineRule="auto"/>
        <w:tabs>
          <w:tab w:leader="none" w:pos="272"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covenant requiring us to maintain an interest coverage ratio (EBITDA-to-interest expense) calculated on a consolidated basis of not less than 2.50 to 1.00 as of the last date of any fiscal quarter; and (3) covenants restricting our ability to incur certain additional debt, incur liens, merge or consolidate with other companies, sell or dispose of assets (including equity interests), liquidate or dissolve, engage in certain transactions with affiliates or enter into certain restrictive agreements. The CLOC includes provisions for an equity cure which could potentially allow us to independently cure certain defaults. Proceeds under the CLOC may be used for working capital needs or for other general corporate purposes. We were in compliance with these requirements as of October 31, 2020.</w:t>
      </w:r>
    </w:p>
    <w:p>
      <w:pPr>
        <w:spacing w:after="0" w:line="77" w:lineRule="exact"/>
        <w:rPr>
          <w:sz w:val="20"/>
          <w:szCs w:val="20"/>
          <w:color w:val="auto"/>
        </w:rPr>
      </w:pPr>
    </w:p>
    <w:p>
      <w:pPr>
        <w:jc w:val="both"/>
        <w:ind w:firstLine="241"/>
        <w:spacing w:after="0" w:line="260" w:lineRule="auto"/>
        <w:rPr>
          <w:sz w:val="20"/>
          <w:szCs w:val="20"/>
          <w:color w:val="auto"/>
        </w:rPr>
      </w:pPr>
      <w:r>
        <w:rPr>
          <w:rFonts w:ascii="Arial" w:cs="Arial" w:eastAsia="Arial" w:hAnsi="Arial"/>
          <w:sz w:val="18"/>
          <w:szCs w:val="18"/>
          <w:color w:val="auto"/>
        </w:rPr>
        <w:t>In September 2020, we utilized our cash on hand to repay the outstanding $2.0 billion balance on our CLOC. In October 2020, we began drawing on our CLOC in order to meet our seasonal liquidity needs. We had an outstanding balance of $70.0 million under the CLOC as of October 31, 2020, and amounts available to borrow were limited by the debt-to-EBITDA covenant to approximately $1.0 billion as of October 31, 2020.</w:t>
      </w:r>
    </w:p>
    <w:p>
      <w:pPr>
        <w:spacing w:after="0" w:line="67" w:lineRule="exact"/>
        <w:rPr>
          <w:sz w:val="20"/>
          <w:szCs w:val="20"/>
          <w:color w:val="auto"/>
        </w:rPr>
      </w:pPr>
    </w:p>
    <w:p>
      <w:pPr>
        <w:jc w:val="both"/>
        <w:ind w:firstLine="241"/>
        <w:spacing w:after="0" w:line="286" w:lineRule="auto"/>
        <w:rPr>
          <w:sz w:val="20"/>
          <w:szCs w:val="20"/>
          <w:color w:val="auto"/>
        </w:rPr>
      </w:pPr>
      <w:r>
        <w:rPr>
          <w:rFonts w:ascii="Arial" w:cs="Arial" w:eastAsia="Arial" w:hAnsi="Arial"/>
          <w:sz w:val="18"/>
          <w:szCs w:val="18"/>
          <w:color w:val="auto"/>
        </w:rPr>
        <w:t>The estimated fair value of our long-term debt, including the current portion of long-term debt, as of October 31, 2020 and 2019 and April 30, 2020 totaled $1.7 billion, $1.7 billion and $3.5 billion,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60" w:hanging="265"/>
        <w:spacing w:after="0"/>
        <w:tabs>
          <w:tab w:leader="none" w:pos="360" w:val="left"/>
        </w:tabs>
        <w:numPr>
          <w:ilvl w:val="0"/>
          <w:numId w:val="13"/>
        </w:numPr>
        <w:rPr>
          <w:rFonts w:ascii="Arial" w:cs="Arial" w:eastAsia="Arial" w:hAnsi="Arial"/>
          <w:sz w:val="14"/>
          <w:szCs w:val="14"/>
          <w:color w:val="FFFFFF"/>
          <w:highlight w:val="black"/>
        </w:rPr>
      </w:pPr>
      <w:r>
        <w:rPr>
          <w:rFonts w:ascii="Arial" w:cs="Arial" w:eastAsia="Arial" w:hAnsi="Arial"/>
          <w:sz w:val="14"/>
          <w:szCs w:val="14"/>
          <w:color w:val="auto"/>
        </w:rPr>
        <w:t xml:space="preserve">Q2 FY2021 Form 10-Q | </w:t>
      </w:r>
      <w:r>
        <w:rPr>
          <w:rFonts w:ascii="Arial" w:cs="Arial" w:eastAsia="Arial" w:hAnsi="Arial"/>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137160</wp:posOffset>
            </wp:positionV>
            <wp:extent cx="713359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3590"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-100330</wp:posOffset>
            </wp:positionV>
            <wp:extent cx="212725" cy="1187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12725" cy="1187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4" w:name="page15"/>
    <w:bookmarkEnd w:id="1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INCOME TAXES</w:t>
      </w:r>
    </w:p>
    <w:p>
      <w:pPr>
        <w:spacing w:after="0" w:line="1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file a consolidated federal income tax return in the U.S. with the IRS and file tax returns in various state, local, and foreign jurisdictions. Tax returns are typically examined and either settled upon completion of the examination or through the appeals process. Our U.S. federal income tax returns for 2017 and later years remain open for examination. Our U.S. federal income tax returns for 2016 and all prior periods are currently closed. With respect to state and local jurisdictions and countries outside of the U.S., we are typically subject to examination for three to six years after the income tax returns have been filed. Although the outcome of tax audits is always uncertain, we believe that adequate amounts of tax, interest, and penalties have been provided for in the accompanying consolidated financial statements for any adjustments that might be incurred due to federal, state, local or foreign audits.</w:t>
      </w:r>
    </w:p>
    <w:p>
      <w:pPr>
        <w:spacing w:after="0" w:line="73" w:lineRule="exact"/>
        <w:rPr>
          <w:sz w:val="20"/>
          <w:szCs w:val="20"/>
          <w:color w:val="auto"/>
        </w:rPr>
      </w:pPr>
    </w:p>
    <w:p>
      <w:pPr>
        <w:jc w:val="both"/>
        <w:ind w:firstLine="201"/>
        <w:spacing w:after="0" w:line="252" w:lineRule="auto"/>
        <w:rPr>
          <w:sz w:val="20"/>
          <w:szCs w:val="20"/>
          <w:color w:val="auto"/>
        </w:rPr>
      </w:pPr>
      <w:r>
        <w:rPr>
          <w:rFonts w:ascii="Arial" w:cs="Arial" w:eastAsia="Arial" w:hAnsi="Arial"/>
          <w:sz w:val="18"/>
          <w:szCs w:val="18"/>
          <w:color w:val="auto"/>
        </w:rPr>
        <w:t>On March 27, 2020, the Coronavirus Aid, Relief, and Economic Security Act (the CARES Act) was signed into law. The CARES Act includes, among other items, modifications to net operating loss carryback periods, net interest deduction limitations, and technical corrections to tax depreciation methods for qualified improvement property. The CARES Act allows a five-year carryback of net operating losses generated between 2018 and 2021 to fully offset taxable income previously subject to a 35% statutory tax rate. As a result of the CARES Act and changes to our methods of accounting for items under the Internal Revenue Code, we anticipate generating a loss for tax purposes on our calendar 2020 tax return, plan to carry back the loss to two of the five preceding tax years, and obtain a refund of previously paid federal income taxes. For the quarter ended October 31, 2020, the net operating loss carryback has been factored into our annual effective tax rate which has reduced our effective tax rate and income taxes payable and increased our unrecognized tax benefits, income tax refund receivables, and deferred tax liabilities. We also expect that the net operating loss carryback will reopen our 2015 and 2016 tax returns to examination.</w:t>
      </w:r>
    </w:p>
    <w:p>
      <w:pPr>
        <w:spacing w:after="0" w:line="76" w:lineRule="exact"/>
        <w:rPr>
          <w:sz w:val="20"/>
          <w:szCs w:val="20"/>
          <w:color w:val="auto"/>
        </w:rPr>
      </w:pPr>
    </w:p>
    <w:p>
      <w:pPr>
        <w:jc w:val="both"/>
        <w:ind w:firstLine="201"/>
        <w:spacing w:after="0" w:line="255" w:lineRule="auto"/>
        <w:rPr>
          <w:sz w:val="20"/>
          <w:szCs w:val="20"/>
          <w:color w:val="auto"/>
        </w:rPr>
      </w:pPr>
      <w:r>
        <w:rPr>
          <w:rFonts w:ascii="Arial" w:cs="Arial" w:eastAsia="Arial" w:hAnsi="Arial"/>
          <w:sz w:val="18"/>
          <w:szCs w:val="18"/>
          <w:color w:val="auto"/>
        </w:rPr>
        <w:t>For the three months ended July 31, 2020, we reported income from continuing operations before income taxes of $124.0 million and income tax expense of $30.5 million, resulting in an effective tax rate of 24.6%. For the three months ended October 31, 2020, we reported loss from continuing operations before income taxes of $237.0 million and an income tax benefit of $14.5 million, resulting in an effective tax rate of 6.1%. The decreased effective tax rate for the current quarter reflects our expectation of a lower annual effective tax rate for the full fiscal year and $31.6 million of discrete tax expense recorded during the quarter, which is primarily related to applying the effects of the CARES Act and the anticipated taxable loss to our year-to-date results.</w:t>
      </w:r>
    </w:p>
    <w:p>
      <w:pPr>
        <w:spacing w:after="0" w:line="73" w:lineRule="exact"/>
        <w:rPr>
          <w:sz w:val="20"/>
          <w:szCs w:val="20"/>
          <w:color w:val="auto"/>
        </w:rPr>
      </w:pPr>
    </w:p>
    <w:p>
      <w:pPr>
        <w:jc w:val="both"/>
        <w:ind w:firstLine="201"/>
        <w:spacing w:after="0" w:line="251" w:lineRule="auto"/>
        <w:rPr>
          <w:sz w:val="20"/>
          <w:szCs w:val="20"/>
          <w:color w:val="auto"/>
        </w:rPr>
      </w:pPr>
      <w:r>
        <w:rPr>
          <w:rFonts w:ascii="Arial" w:cs="Arial" w:eastAsia="Arial" w:hAnsi="Arial"/>
          <w:sz w:val="18"/>
          <w:szCs w:val="18"/>
          <w:color w:val="auto"/>
        </w:rPr>
        <w:t>The decreased estimated annual effective tax rate for the fiscal year, including discrete items, causes a negative effective tax rate for the six months ended October 31, 2020, which resulted in income tax expense in a period of losses from continuing operations before income taxes. Our effective tax rate for continuing operations, including the effects of discrete tax items was (14.1)% and 29.7% for the six months ended October 31, 2020 and 2019, respectively. Discrete items decreased the effective tax rate for the six months ended October 31, 2020 by (28.5)% and increased the effective tax rate for the six months ended October 31, 2019 by 5.4%. A discrete income tax expense of $32.2 million was recorded in the six months ended October 31, 2020 compared to a discrete tax benefit of $25.2 million in the same period of the prior year. The discrete tax expense recorded in the current period primarily resulted from uncertain tax benefits related to the net operating loss carryback. The discrete tax benefit recorded in the prior year resulted primarily from favorable audit settlements, statutes of limitations releases and valuation allowance changes related to utilization of foreign losses. Due to the loss through the second quarter, a discrete tax benefit increases the tax rate while an item of discrete tax expense decreases the tax rate. The impact of discrete tax items combined with the seasonal nature of our business causes the effective tax rate through our second quarter to be significantly different than the rate for our full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824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Q2 FY2021 Form 10-Q</w:t>
      </w:r>
      <w:r>
        <w:rPr>
          <w:rFonts w:ascii="Arial" w:cs="Arial" w:eastAsia="Arial" w:hAnsi="Arial"/>
          <w:sz w:val="14"/>
          <w:szCs w:val="14"/>
          <w:b w:val="1"/>
          <w:bCs w:val="1"/>
          <w:color w:val="auto"/>
        </w:rPr>
        <w:t xml:space="preserve">  </w:t>
      </w:r>
      <w:r>
        <w:rPr>
          <w:rFonts w:ascii="Arial" w:cs="Arial" w:eastAsia="Arial" w:hAnsi="Arial"/>
          <w:sz w:val="14"/>
          <w:szCs w:val="14"/>
          <w:color w:val="FFFFFF"/>
          <w:highlight w:val="black"/>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145415</wp:posOffset>
            </wp:positionV>
            <wp:extent cx="713359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3590" cy="17145"/>
                    </a:xfrm>
                    <a:prstGeom prst="rect">
                      <a:avLst/>
                    </a:prstGeom>
                    <a:noFill/>
                  </pic:spPr>
                </pic:pic>
              </a:graphicData>
            </a:graphic>
          </wp:anchor>
        </w:drawing>
        <w:drawing>
          <wp:anchor simplePos="0" relativeHeight="251657728" behindDoc="1" locked="0" layoutInCell="0" allowOverlap="1">
            <wp:simplePos x="0" y="0"/>
            <wp:positionH relativeFrom="column">
              <wp:posOffset>6917055</wp:posOffset>
            </wp:positionH>
            <wp:positionV relativeFrom="paragraph">
              <wp:posOffset>-100330</wp:posOffset>
            </wp:positionV>
            <wp:extent cx="220980" cy="1187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20980" cy="1187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5" w:name="page16"/>
    <w:bookmarkEnd w:id="1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Changes in unrecognized tax benefits for six months ended October 31, 2020 are as follows:</w:t>
      </w:r>
    </w:p>
    <w:p>
      <w:pPr>
        <w:spacing w:after="0" w:line="164" w:lineRule="exact"/>
        <w:rPr>
          <w:sz w:val="20"/>
          <w:szCs w:val="20"/>
          <w:color w:val="auto"/>
        </w:rPr>
      </w:pPr>
    </w:p>
    <w:tbl>
      <w:tblPr>
        <w:tblLayout w:type="fixed"/>
        <w:tblInd w:w="200" w:type="dxa"/>
        <w:tblCellMar>
          <w:top w:w="0" w:type="dxa"/>
          <w:left w:w="0" w:type="dxa"/>
          <w:bottom w:w="0" w:type="dxa"/>
          <w:right w:w="0" w:type="dxa"/>
        </w:tblCellMar>
      </w:tblPr>
      <w:tr>
        <w:trPr>
          <w:trHeight w:val="187"/>
        </w:trPr>
        <w:tc>
          <w:tcPr>
            <w:tcW w:w="85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ind w:left="940"/>
              <w:spacing w:after="0"/>
              <w:rPr>
                <w:sz w:val="20"/>
                <w:szCs w:val="20"/>
                <w:color w:val="auto"/>
              </w:rPr>
            </w:pPr>
            <w:r>
              <w:rPr>
                <w:rFonts w:ascii="Arial" w:cs="Arial" w:eastAsia="Arial" w:hAnsi="Arial"/>
                <w:sz w:val="14"/>
                <w:szCs w:val="14"/>
                <w:color w:val="auto"/>
                <w:w w:val="96"/>
              </w:rPr>
              <w:t>(in 000s</w:t>
            </w:r>
          </w:p>
        </w:tc>
      </w:tr>
      <w:tr>
        <w:trPr>
          <w:trHeight w:val="208"/>
        </w:trPr>
        <w:tc>
          <w:tcPr>
            <w:tcW w:w="8520" w:type="dxa"/>
            <w:vAlign w:val="bottom"/>
          </w:tcPr>
          <w:p>
            <w:pPr>
              <w:ind w:left="220"/>
              <w:spacing w:after="0"/>
              <w:rPr>
                <w:sz w:val="20"/>
                <w:szCs w:val="20"/>
                <w:color w:val="auto"/>
              </w:rPr>
            </w:pPr>
            <w:r>
              <w:rPr>
                <w:rFonts w:ascii="Arial" w:cs="Arial" w:eastAsia="Arial" w:hAnsi="Arial"/>
                <w:sz w:val="16"/>
                <w:szCs w:val="16"/>
                <w:color w:val="auto"/>
              </w:rPr>
              <w:t>Six months ended October 31, 2020</w:t>
            </w:r>
          </w:p>
        </w:tc>
        <w:tc>
          <w:tcPr>
            <w:tcW w:w="1200" w:type="dxa"/>
            <w:vAlign w:val="bottom"/>
          </w:tcPr>
          <w:p>
            <w:pPr>
              <w:spacing w:after="0"/>
              <w:rPr>
                <w:sz w:val="18"/>
                <w:szCs w:val="18"/>
                <w:color w:val="auto"/>
              </w:rPr>
            </w:pPr>
          </w:p>
        </w:tc>
        <w:tc>
          <w:tcPr>
            <w:tcW w:w="1440" w:type="dxa"/>
            <w:vAlign w:val="bottom"/>
            <w:gridSpan w:val="2"/>
          </w:tcPr>
          <w:p>
            <w:pPr>
              <w:ind w:left="960"/>
              <w:spacing w:after="0"/>
              <w:rPr>
                <w:sz w:val="20"/>
                <w:szCs w:val="20"/>
                <w:color w:val="auto"/>
              </w:rPr>
            </w:pPr>
            <w:r>
              <w:rPr>
                <w:rFonts w:ascii="Arial" w:cs="Arial" w:eastAsia="Arial" w:hAnsi="Arial"/>
                <w:sz w:val="16"/>
                <w:szCs w:val="16"/>
                <w:color w:val="auto"/>
                <w:w w:val="90"/>
              </w:rPr>
              <w:t>Amoun</w:t>
            </w:r>
          </w:p>
        </w:tc>
      </w:tr>
      <w:tr>
        <w:trPr>
          <w:trHeight w:val="208"/>
        </w:trPr>
        <w:tc>
          <w:tcPr>
            <w:tcW w:w="852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Balance, beginning of the period</w:t>
            </w:r>
          </w:p>
        </w:tc>
        <w:tc>
          <w:tcPr>
            <w:tcW w:w="1200" w:type="dxa"/>
            <w:vAlign w:val="bottom"/>
            <w:tcBorders>
              <w:top w:val="single" w:sz="8" w:color="auto"/>
            </w:tcBorders>
            <w:shd w:val="clear" w:color="auto" w:fill="CCEEFF"/>
          </w:tcPr>
          <w:p>
            <w:pPr>
              <w:jc w:val="right"/>
              <w:ind w:right="800"/>
              <w:spacing w:after="0"/>
              <w:rPr>
                <w:sz w:val="20"/>
                <w:szCs w:val="20"/>
                <w:color w:val="auto"/>
              </w:rPr>
            </w:pPr>
            <w:r>
              <w:rPr>
                <w:rFonts w:ascii="Arial" w:cs="Arial" w:eastAsia="Arial" w:hAnsi="Arial"/>
                <w:sz w:val="16"/>
                <w:szCs w:val="16"/>
                <w:b w:val="1"/>
                <w:bCs w:val="1"/>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168,062</w:t>
            </w:r>
          </w:p>
        </w:tc>
        <w:tc>
          <w:tcPr>
            <w:tcW w:w="20" w:type="dxa"/>
            <w:vAlign w:val="bottom"/>
          </w:tcPr>
          <w:p>
            <w:pPr>
              <w:spacing w:after="0"/>
              <w:rPr>
                <w:sz w:val="18"/>
                <w:szCs w:val="18"/>
                <w:color w:val="auto"/>
              </w:rPr>
            </w:pPr>
          </w:p>
        </w:tc>
      </w:tr>
      <w:tr>
        <w:trPr>
          <w:trHeight w:val="214"/>
        </w:trPr>
        <w:tc>
          <w:tcPr>
            <w:tcW w:w="8520" w:type="dxa"/>
            <w:vAlign w:val="bottom"/>
          </w:tcPr>
          <w:p>
            <w:pPr>
              <w:ind w:left="220"/>
              <w:spacing w:after="0"/>
              <w:rPr>
                <w:sz w:val="20"/>
                <w:szCs w:val="20"/>
                <w:color w:val="auto"/>
              </w:rPr>
            </w:pPr>
            <w:r>
              <w:rPr>
                <w:rFonts w:ascii="Arial" w:cs="Arial" w:eastAsia="Arial" w:hAnsi="Arial"/>
                <w:sz w:val="16"/>
                <w:szCs w:val="16"/>
                <w:color w:val="auto"/>
              </w:rPr>
              <w:t>Additions based on tax positions related to prior years</w:t>
            </w:r>
          </w:p>
        </w:tc>
        <w:tc>
          <w:tcPr>
            <w:tcW w:w="1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103,822</w:t>
            </w:r>
          </w:p>
        </w:tc>
        <w:tc>
          <w:tcPr>
            <w:tcW w:w="20" w:type="dxa"/>
            <w:vAlign w:val="bottom"/>
          </w:tcPr>
          <w:p>
            <w:pPr>
              <w:spacing w:after="0"/>
              <w:rPr>
                <w:sz w:val="18"/>
                <w:szCs w:val="18"/>
                <w:color w:val="auto"/>
              </w:rPr>
            </w:pPr>
          </w:p>
        </w:tc>
      </w:tr>
      <w:tr>
        <w:trPr>
          <w:trHeight w:val="214"/>
        </w:trPr>
        <w:tc>
          <w:tcPr>
            <w:tcW w:w="8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Reductions based on tax positions related to prior years</w:t>
            </w:r>
          </w:p>
        </w:tc>
        <w:tc>
          <w:tcPr>
            <w:tcW w:w="1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(8,180</w:t>
            </w:r>
          </w:p>
        </w:tc>
        <w:tc>
          <w:tcPr>
            <w:tcW w:w="20" w:type="dxa"/>
            <w:vAlign w:val="bottom"/>
          </w:tcPr>
          <w:p>
            <w:pPr>
              <w:spacing w:after="0"/>
              <w:rPr>
                <w:sz w:val="18"/>
                <w:szCs w:val="18"/>
                <w:color w:val="auto"/>
              </w:rPr>
            </w:pPr>
          </w:p>
        </w:tc>
      </w:tr>
      <w:tr>
        <w:trPr>
          <w:trHeight w:val="214"/>
        </w:trPr>
        <w:tc>
          <w:tcPr>
            <w:tcW w:w="8520" w:type="dxa"/>
            <w:vAlign w:val="bottom"/>
          </w:tcPr>
          <w:p>
            <w:pPr>
              <w:ind w:left="220"/>
              <w:spacing w:after="0"/>
              <w:rPr>
                <w:sz w:val="20"/>
                <w:szCs w:val="20"/>
                <w:color w:val="auto"/>
              </w:rPr>
            </w:pPr>
            <w:r>
              <w:rPr>
                <w:rFonts w:ascii="Arial" w:cs="Arial" w:eastAsia="Arial" w:hAnsi="Arial"/>
                <w:sz w:val="16"/>
                <w:szCs w:val="16"/>
                <w:color w:val="auto"/>
              </w:rPr>
              <w:t>Reductions related to settlements with tax authorities</w:t>
            </w:r>
          </w:p>
        </w:tc>
        <w:tc>
          <w:tcPr>
            <w:tcW w:w="1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(17,632</w:t>
            </w:r>
          </w:p>
        </w:tc>
        <w:tc>
          <w:tcPr>
            <w:tcW w:w="20" w:type="dxa"/>
            <w:vAlign w:val="bottom"/>
          </w:tcPr>
          <w:p>
            <w:pPr>
              <w:spacing w:after="0"/>
              <w:rPr>
                <w:sz w:val="18"/>
                <w:szCs w:val="18"/>
                <w:color w:val="auto"/>
              </w:rPr>
            </w:pPr>
          </w:p>
        </w:tc>
      </w:tr>
      <w:tr>
        <w:trPr>
          <w:trHeight w:val="214"/>
        </w:trPr>
        <w:tc>
          <w:tcPr>
            <w:tcW w:w="8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Expiration of statute of limitations</w:t>
            </w:r>
          </w:p>
        </w:tc>
        <w:tc>
          <w:tcPr>
            <w:tcW w:w="12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(3,819</w:t>
            </w:r>
          </w:p>
        </w:tc>
        <w:tc>
          <w:tcPr>
            <w:tcW w:w="20" w:type="dxa"/>
            <w:vAlign w:val="bottom"/>
          </w:tcPr>
          <w:p>
            <w:pPr>
              <w:spacing w:after="0"/>
              <w:rPr>
                <w:sz w:val="18"/>
                <w:szCs w:val="18"/>
                <w:color w:val="auto"/>
              </w:rPr>
            </w:pPr>
          </w:p>
        </w:tc>
      </w:tr>
      <w:tr>
        <w:trPr>
          <w:trHeight w:val="246"/>
        </w:trPr>
        <w:tc>
          <w:tcPr>
            <w:tcW w:w="85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Balance, end of the period</w:t>
            </w:r>
          </w:p>
        </w:tc>
        <w:tc>
          <w:tcPr>
            <w:tcW w:w="1200" w:type="dxa"/>
            <w:vAlign w:val="bottom"/>
            <w:tcBorders>
              <w:bottom w:val="single" w:sz="8" w:color="auto"/>
            </w:tcBorders>
          </w:tcPr>
          <w:p>
            <w:pPr>
              <w:jc w:val="right"/>
              <w:ind w:right="800"/>
              <w:spacing w:after="0"/>
              <w:rPr>
                <w:sz w:val="20"/>
                <w:szCs w:val="20"/>
                <w:color w:val="auto"/>
              </w:rPr>
            </w:pPr>
            <w:r>
              <w:rPr>
                <w:rFonts w:ascii="Arial" w:cs="Arial" w:eastAsia="Arial" w:hAnsi="Arial"/>
                <w:sz w:val="16"/>
                <w:szCs w:val="16"/>
                <w:b w:val="1"/>
                <w:bCs w:val="1"/>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242,253</w:t>
            </w:r>
          </w:p>
        </w:tc>
        <w:tc>
          <w:tcPr>
            <w:tcW w:w="20" w:type="dxa"/>
            <w:vAlign w:val="bottom"/>
            <w:tcBorders>
              <w:bottom w:val="single" w:sz="8" w:color="CCEEFF"/>
            </w:tcBorders>
          </w:tcPr>
          <w:p>
            <w:pPr>
              <w:spacing w:after="0"/>
              <w:rPr>
                <w:sz w:val="20"/>
                <w:szCs w:val="20"/>
                <w:color w:val="auto"/>
              </w:rPr>
            </w:pPr>
          </w:p>
        </w:tc>
      </w:tr>
      <w:tr>
        <w:trPr>
          <w:trHeight w:val="20"/>
        </w:trPr>
        <w:tc>
          <w:tcPr>
            <w:tcW w:w="8520" w:type="dxa"/>
            <w:vAlign w:val="bottom"/>
            <w:tcBorders>
              <w:top w:val="single" w:sz="8" w:color="CCEEFF"/>
            </w:tcBorders>
            <w:shd w:val="clear" w:color="auto" w:fill="000000"/>
          </w:tcPr>
          <w:p>
            <w:pPr>
              <w:spacing w:after="0" w:line="20" w:lineRule="exact"/>
              <w:rPr>
                <w:sz w:val="1"/>
                <w:szCs w:val="1"/>
                <w:color w:val="auto"/>
              </w:rPr>
            </w:pPr>
          </w:p>
        </w:tc>
        <w:tc>
          <w:tcPr>
            <w:tcW w:w="1200" w:type="dxa"/>
            <w:vAlign w:val="bottom"/>
            <w:tcBorders>
              <w:top w:val="single" w:sz="8" w:color="CCEEFF"/>
            </w:tcBorders>
            <w:shd w:val="clear" w:color="auto" w:fill="000000"/>
          </w:tcPr>
          <w:p>
            <w:pPr>
              <w:spacing w:after="0" w:line="20" w:lineRule="exact"/>
              <w:rPr>
                <w:sz w:val="1"/>
                <w:szCs w:val="1"/>
                <w:color w:val="auto"/>
              </w:rPr>
            </w:pPr>
          </w:p>
        </w:tc>
        <w:tc>
          <w:tcPr>
            <w:tcW w:w="1420" w:type="dxa"/>
            <w:vAlign w:val="bottom"/>
            <w:tcBorders>
              <w:top w:val="single" w:sz="8" w:color="CCEEFF"/>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r>
    </w:tbl>
    <w:p>
      <w:pPr>
        <w:spacing w:after="0" w:line="178" w:lineRule="exact"/>
        <w:rPr>
          <w:sz w:val="20"/>
          <w:szCs w:val="20"/>
          <w:color w:val="auto"/>
        </w:rPr>
      </w:pPr>
    </w:p>
    <w:p>
      <w:pPr>
        <w:jc w:val="both"/>
        <w:ind w:right="100" w:firstLine="201"/>
        <w:spacing w:after="0" w:line="254" w:lineRule="auto"/>
        <w:rPr>
          <w:sz w:val="20"/>
          <w:szCs w:val="20"/>
          <w:color w:val="auto"/>
        </w:rPr>
      </w:pPr>
      <w:r>
        <w:rPr>
          <w:rFonts w:ascii="Arial" w:cs="Arial" w:eastAsia="Arial" w:hAnsi="Arial"/>
          <w:sz w:val="18"/>
          <w:szCs w:val="18"/>
          <w:color w:val="auto"/>
        </w:rPr>
        <w:t>We had gross unrecognized tax benefits of $242.3 million, $156.7 million and $ 168.1 million as of October 31, 2020 and 2019 and April 30, 2020, respectively. The gross unrecognized tax benefits increased $74.2 million and decreased $ 28.4 million during the six months ended October 31, 2020 and 2019, respectively. The increase in unrecognized tax benefits during the six months ending October 31, 2020 is primarily related to the net operating loss carryback. We believe it is reasonably possible that the balance of unrecognized tax benefits could decrease by approximately $70.0 million within the next twelve months. The anticipated decrease is due to the expiration of statutes of limitations and anticipated closure of various state matters currently under examination. For such matters where a change in the balance of unrecognized tax benefits is not yet deemed reasonably possible, no estimate has been included.</w:t>
      </w:r>
    </w:p>
    <w:p>
      <w:pPr>
        <w:spacing w:after="0" w:line="73" w:lineRule="exact"/>
        <w:rPr>
          <w:sz w:val="20"/>
          <w:szCs w:val="20"/>
          <w:color w:val="auto"/>
        </w:rPr>
      </w:pPr>
    </w:p>
    <w:p>
      <w:pPr>
        <w:jc w:val="both"/>
        <w:ind w:right="100" w:firstLine="201"/>
        <w:spacing w:after="0" w:line="257" w:lineRule="auto"/>
        <w:rPr>
          <w:sz w:val="20"/>
          <w:szCs w:val="20"/>
          <w:color w:val="auto"/>
        </w:rPr>
      </w:pPr>
      <w:r>
        <w:rPr>
          <w:rFonts w:ascii="Arial" w:cs="Arial" w:eastAsia="Arial" w:hAnsi="Arial"/>
          <w:sz w:val="18"/>
          <w:szCs w:val="18"/>
          <w:color w:val="auto"/>
        </w:rPr>
        <w:t>We had income tax receivables of $57.9 million, $36.7 million, and $ 28.5 million as of October 31, 2020, 2019, and April 30, 2020, respectively, and we had net deferred tax liabilities of $ 113.5 million, $35.0 million, and $ 22.0 million as of October 31, 2020, 2019, and April 30, 2020, respectively. Our income tax receivables and net deferred tax liability balances increased primarily as a result of changes we made to our methods of accounting for items under the Internal Revenue Code during the quarter, which also impacted the timing of our tax payments.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OTHER INCOME AND OTHER EXPENSES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components of other income (expense), net:</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(in 000s)</w:t>
            </w:r>
          </w:p>
        </w:tc>
      </w:tr>
      <w:tr>
        <w:trPr>
          <w:trHeight w:val="208"/>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00" w:type="dxa"/>
            <w:vAlign w:val="bottom"/>
            <w:gridSpan w:val="5"/>
          </w:tcPr>
          <w:p>
            <w:pPr>
              <w:ind w:left="180"/>
              <w:spacing w:after="0"/>
              <w:rPr>
                <w:sz w:val="20"/>
                <w:szCs w:val="20"/>
                <w:color w:val="auto"/>
              </w:rPr>
            </w:pPr>
            <w:r>
              <w:rPr>
                <w:rFonts w:ascii="Arial" w:cs="Arial" w:eastAsia="Arial" w:hAnsi="Arial"/>
                <w:sz w:val="16"/>
                <w:szCs w:val="16"/>
                <w:color w:val="auto"/>
              </w:rPr>
              <w:t>Three months ended October 31,</w:t>
            </w:r>
          </w:p>
        </w:tc>
        <w:tc>
          <w:tcPr>
            <w:tcW w:w="340" w:type="dxa"/>
            <w:vAlign w:val="bottom"/>
          </w:tcPr>
          <w:p>
            <w:pPr>
              <w:spacing w:after="0"/>
              <w:rPr>
                <w:sz w:val="18"/>
                <w:szCs w:val="18"/>
                <w:color w:val="auto"/>
              </w:rPr>
            </w:pPr>
          </w:p>
        </w:tc>
        <w:tc>
          <w:tcPr>
            <w:tcW w:w="2920" w:type="dxa"/>
            <w:vAlign w:val="bottom"/>
            <w:gridSpan w:val="4"/>
          </w:tcPr>
          <w:p>
            <w:pPr>
              <w:jc w:val="right"/>
              <w:ind w:right="461"/>
              <w:spacing w:after="0"/>
              <w:rPr>
                <w:sz w:val="20"/>
                <w:szCs w:val="20"/>
                <w:color w:val="auto"/>
              </w:rPr>
            </w:pPr>
            <w:r>
              <w:rPr>
                <w:rFonts w:ascii="Arial" w:cs="Arial" w:eastAsia="Arial" w:hAnsi="Arial"/>
                <w:sz w:val="16"/>
                <w:szCs w:val="16"/>
                <w:color w:val="auto"/>
              </w:rPr>
              <w:t>Six months ended October 31,</w:t>
            </w:r>
          </w:p>
        </w:tc>
      </w:tr>
      <w:tr>
        <w:trPr>
          <w:trHeight w:val="208"/>
        </w:trPr>
        <w:tc>
          <w:tcPr>
            <w:tcW w:w="45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6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2019</w:t>
            </w:r>
          </w:p>
        </w:tc>
        <w:tc>
          <w:tcPr>
            <w:tcW w:w="12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2019</w:t>
            </w:r>
          </w:p>
        </w:tc>
      </w:tr>
      <w:tr>
        <w:trPr>
          <w:trHeight w:val="208"/>
        </w:trPr>
        <w:tc>
          <w:tcPr>
            <w:tcW w:w="4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income</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0"/>
              <w:spacing w:after="0"/>
              <w:rPr>
                <w:sz w:val="20"/>
                <w:szCs w:val="20"/>
                <w:color w:val="auto"/>
              </w:rPr>
            </w:pPr>
            <w:r>
              <w:rPr>
                <w:rFonts w:ascii="Arial" w:cs="Arial" w:eastAsia="Arial" w:hAnsi="Arial"/>
                <w:sz w:val="16"/>
                <w:szCs w:val="16"/>
                <w:b w:val="1"/>
                <w:bCs w:val="1"/>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729</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20"/>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1,888</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60"/>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10,251</w:t>
            </w:r>
          </w:p>
        </w:tc>
      </w:tr>
      <w:tr>
        <w:trPr>
          <w:trHeight w:val="214"/>
        </w:trPr>
        <w:tc>
          <w:tcPr>
            <w:tcW w:w="4620" w:type="dxa"/>
            <w:vAlign w:val="bottom"/>
            <w:gridSpan w:val="2"/>
          </w:tcPr>
          <w:p>
            <w:pPr>
              <w:ind w:left="140"/>
              <w:spacing w:after="0"/>
              <w:rPr>
                <w:sz w:val="20"/>
                <w:szCs w:val="20"/>
                <w:color w:val="auto"/>
              </w:rPr>
            </w:pPr>
            <w:r>
              <w:rPr>
                <w:rFonts w:ascii="Arial" w:cs="Arial" w:eastAsia="Arial" w:hAnsi="Arial"/>
                <w:sz w:val="16"/>
                <w:szCs w:val="16"/>
                <w:color w:val="auto"/>
              </w:rPr>
              <w:t>Foreign currency gains (losses), net</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(337)</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55</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114</w:t>
            </w:r>
          </w:p>
        </w:tc>
      </w:tr>
      <w:tr>
        <w:trPr>
          <w:trHeight w:val="214"/>
        </w:trPr>
        <w:tc>
          <w:tcPr>
            <w:tcW w:w="46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Other, net</w:t>
            </w: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(1,211)</w:t>
            </w:r>
          </w:p>
        </w:tc>
        <w:tc>
          <w:tcPr>
            <w:tcW w:w="1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409</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449</w:t>
            </w:r>
          </w:p>
        </w:tc>
        <w:tc>
          <w:tcPr>
            <w:tcW w:w="1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1,497</w:t>
            </w:r>
          </w:p>
        </w:tc>
      </w:tr>
      <w:tr>
        <w:trPr>
          <w:trHeight w:val="246"/>
        </w:trPr>
        <w:tc>
          <w:tcPr>
            <w:tcW w:w="45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(819)</w:t>
            </w:r>
          </w:p>
        </w:tc>
        <w:tc>
          <w:tcPr>
            <w:tcW w:w="12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2,739</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2,392</w:t>
            </w:r>
          </w:p>
        </w:tc>
        <w:tc>
          <w:tcPr>
            <w:tcW w:w="12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11,862</w:t>
            </w:r>
          </w:p>
        </w:tc>
      </w:tr>
      <w:tr>
        <w:trPr>
          <w:trHeight w:val="20"/>
        </w:trPr>
        <w:tc>
          <w:tcPr>
            <w:tcW w:w="450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000000"/>
          </w:tcPr>
          <w:p>
            <w:pPr>
              <w:spacing w:after="0" w:line="20" w:lineRule="exact"/>
              <w:rPr>
                <w:sz w:val="1"/>
                <w:szCs w:val="1"/>
                <w:color w:val="auto"/>
              </w:rPr>
            </w:pPr>
          </w:p>
        </w:tc>
        <w:tc>
          <w:tcPr>
            <w:tcW w:w="130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600" w:type="dxa"/>
            <w:vAlign w:val="bottom"/>
            <w:tcBorders>
              <w:top w:val="single" w:sz="8" w:color="CCEEFF"/>
            </w:tcBorders>
            <w:shd w:val="clear" w:color="auto" w:fill="000000"/>
          </w:tcPr>
          <w:p>
            <w:pPr>
              <w:spacing w:after="0" w:line="20" w:lineRule="exact"/>
              <w:rPr>
                <w:sz w:val="1"/>
                <w:szCs w:val="1"/>
                <w:color w:val="auto"/>
              </w:rPr>
            </w:pPr>
          </w:p>
        </w:tc>
        <w:tc>
          <w:tcPr>
            <w:tcW w:w="96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000000"/>
          </w:tcPr>
          <w:p>
            <w:pPr>
              <w:spacing w:after="0" w:line="20" w:lineRule="exact"/>
              <w:rPr>
                <w:sz w:val="1"/>
                <w:szCs w:val="1"/>
                <w:color w:val="auto"/>
              </w:rPr>
            </w:pPr>
          </w:p>
        </w:tc>
        <w:tc>
          <w:tcPr>
            <w:tcW w:w="124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540" w:type="dxa"/>
            <w:vAlign w:val="bottom"/>
            <w:tcBorders>
              <w:top w:val="single" w:sz="8" w:color="CCEEFF"/>
            </w:tcBorders>
            <w:shd w:val="clear" w:color="auto" w:fill="000000"/>
          </w:tcPr>
          <w:p>
            <w:pPr>
              <w:spacing w:after="0" w:line="20" w:lineRule="exact"/>
              <w:rPr>
                <w:sz w:val="1"/>
                <w:szCs w:val="1"/>
                <w:color w:val="auto"/>
              </w:rPr>
            </w:pPr>
          </w:p>
        </w:tc>
        <w:tc>
          <w:tcPr>
            <w:tcW w:w="1020" w:type="dxa"/>
            <w:vAlign w:val="bottom"/>
            <w:tcBorders>
              <w:top w:val="single" w:sz="8" w:color="CCEEFF"/>
            </w:tcBorders>
            <w:shd w:val="clear" w:color="auto" w:fill="000000"/>
          </w:tcPr>
          <w:p>
            <w:pPr>
              <w:spacing w:after="0" w:line="20" w:lineRule="exact"/>
              <w:rPr>
                <w:sz w:val="1"/>
                <w:szCs w:val="1"/>
                <w:color w:val="auto"/>
              </w:rPr>
            </w:pPr>
          </w:p>
        </w:tc>
      </w:tr>
    </w:tbl>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COMMITMENTS AND CONTINGENCIES</w:t>
      </w:r>
    </w:p>
    <w:p>
      <w:pPr>
        <w:spacing w:after="0" w:line="116"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color w:val="auto"/>
        </w:rPr>
        <w:t>All assisted tax returns, are covered by our 100% accuracy guarantee, whereby we will reimburse a client for penalties and interest attributable to an H&amp;R Block error on a return. DIY tax returns are covered by our 100% accuracy guarantee, whereby we will reimburse a client up to a maximum of $ 10,000 if our software makes an arithmetic error that results in payment of penalties and/or interest to the IRS that a client would otherwise not have been required to pay. Our liability related to estimated losses under the 100% accuracy guarantee was $9.7 million, $7.6 million and $ 9.4 million as of October 31, 2020 and 2019 and April 30, 2020, respectively. The short-term and long-term portions of this liability are included in deferred revenue and other liabilities in the consolidated balance sheets.</w:t>
      </w:r>
    </w:p>
    <w:p>
      <w:pPr>
        <w:spacing w:after="0" w:line="73" w:lineRule="exact"/>
        <w:rPr>
          <w:sz w:val="20"/>
          <w:szCs w:val="20"/>
          <w:color w:val="auto"/>
        </w:rPr>
      </w:pPr>
    </w:p>
    <w:p>
      <w:pPr>
        <w:jc w:val="both"/>
        <w:ind w:right="100" w:firstLine="201"/>
        <w:spacing w:after="0" w:line="260" w:lineRule="auto"/>
        <w:rPr>
          <w:sz w:val="20"/>
          <w:szCs w:val="20"/>
          <w:color w:val="auto"/>
        </w:rPr>
      </w:pPr>
      <w:r>
        <w:rPr>
          <w:rFonts w:ascii="Arial" w:cs="Arial" w:eastAsia="Arial" w:hAnsi="Arial"/>
          <w:sz w:val="18"/>
          <w:szCs w:val="18"/>
          <w:color w:val="auto"/>
        </w:rPr>
        <w:t>Liabilities related to acquisitions for (1) estimated contingent consideration based on expected financial performance of the acquired business and economic conditions at the time of acquisition and (2) estimated accrued compensation related to continued employment of key employees were $16.3 million, $5.8 million and $14.2 million as of October 31, 2020 and 2019 and April 30, 2020, respectively, with amounts recorded in deferred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60" w:hanging="265"/>
        <w:spacing w:after="0"/>
        <w:tabs>
          <w:tab w:leader="none" w:pos="360" w:val="left"/>
        </w:tabs>
        <w:numPr>
          <w:ilvl w:val="0"/>
          <w:numId w:val="14"/>
        </w:numPr>
        <w:rPr>
          <w:rFonts w:ascii="Arial" w:cs="Arial" w:eastAsia="Arial" w:hAnsi="Arial"/>
          <w:sz w:val="14"/>
          <w:szCs w:val="14"/>
          <w:color w:val="FFFFFF"/>
          <w:highlight w:val="black"/>
        </w:rPr>
      </w:pPr>
      <w:r>
        <w:rPr>
          <w:rFonts w:ascii="Arial" w:cs="Arial" w:eastAsia="Arial" w:hAnsi="Arial"/>
          <w:sz w:val="14"/>
          <w:szCs w:val="14"/>
          <w:color w:val="auto"/>
        </w:rPr>
        <w:t xml:space="preserve">Q2 FY2021 Form 10-Q | </w:t>
      </w:r>
      <w:r>
        <w:rPr>
          <w:rFonts w:ascii="Arial" w:cs="Arial" w:eastAsia="Arial" w:hAnsi="Arial"/>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137160</wp:posOffset>
            </wp:positionV>
            <wp:extent cx="713359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3590"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-100330</wp:posOffset>
            </wp:positionV>
            <wp:extent cx="212725" cy="1187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12725" cy="118745"/>
                    </a:xfrm>
                    <a:prstGeom prst="rect">
                      <a:avLst/>
                    </a:prstGeom>
                    <a:noFill/>
                  </pic:spPr>
                </pic:pic>
              </a:graphicData>
            </a:graphic>
          </wp:anchor>
        </w:drawing>
      </w:r>
    </w:p>
    <w:p>
      <w:pPr>
        <w:sectPr>
          <w:pgSz w:w="11900" w:h="16838" w:orient="portrait"/>
          <w:cols w:equalWidth="0" w:num="1">
            <w:col w:w="11340"/>
          </w:cols>
          <w:pgMar w:left="320" w:top="228" w:right="239" w:bottom="1440" w:gutter="0" w:footer="0" w:header="0"/>
        </w:sectPr>
      </w:pPr>
    </w:p>
    <w:bookmarkStart w:id="16" w:name="page17"/>
    <w:bookmarkEnd w:id="1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spacing w:after="0" w:line="286" w:lineRule="auto"/>
        <w:rPr>
          <w:sz w:val="20"/>
          <w:szCs w:val="20"/>
          <w:color w:val="auto"/>
        </w:rPr>
      </w:pPr>
      <w:r>
        <w:rPr>
          <w:rFonts w:ascii="Arial" w:cs="Arial" w:eastAsia="Arial" w:hAnsi="Arial"/>
          <w:sz w:val="18"/>
          <w:szCs w:val="18"/>
          <w:color w:val="auto"/>
        </w:rPr>
        <w:t>revenue and other liabilities. Should actual results differ from our estimates, future payments made will differ from the above estimate and any differences will be recorded in results from continuing operations.</w:t>
      </w:r>
    </w:p>
    <w:p>
      <w:pPr>
        <w:spacing w:after="0" w:line="42" w:lineRule="exact"/>
        <w:rPr>
          <w:sz w:val="20"/>
          <w:szCs w:val="20"/>
          <w:color w:val="auto"/>
        </w:rPr>
      </w:pPr>
    </w:p>
    <w:p>
      <w:pPr>
        <w:jc w:val="both"/>
        <w:ind w:firstLine="201"/>
        <w:spacing w:after="0" w:line="267" w:lineRule="auto"/>
        <w:rPr>
          <w:sz w:val="20"/>
          <w:szCs w:val="20"/>
          <w:color w:val="auto"/>
        </w:rPr>
      </w:pPr>
      <w:r>
        <w:rPr>
          <w:rFonts w:ascii="Arial" w:cs="Arial" w:eastAsia="Arial" w:hAnsi="Arial"/>
          <w:sz w:val="18"/>
          <w:szCs w:val="18"/>
          <w:color w:val="auto"/>
        </w:rPr>
        <w:t>We have contractual commitments to fund certain franchises with approved revolving lines of credit. Our total obligation under these lines of credit was $17.7 million at October 31, 2020, and net of amounts drawn and outstanding, our remaining commitment to fund totaled $12.2 million.</w:t>
      </w:r>
    </w:p>
    <w:p>
      <w:pPr>
        <w:spacing w:after="0" w:line="59" w:lineRule="exact"/>
        <w:rPr>
          <w:sz w:val="20"/>
          <w:szCs w:val="20"/>
          <w:color w:val="auto"/>
        </w:rPr>
      </w:pPr>
    </w:p>
    <w:p>
      <w:pPr>
        <w:jc w:val="both"/>
        <w:ind w:firstLine="241"/>
        <w:spacing w:after="0" w:line="255" w:lineRule="auto"/>
        <w:rPr>
          <w:sz w:val="20"/>
          <w:szCs w:val="20"/>
          <w:color w:val="auto"/>
        </w:rPr>
      </w:pPr>
      <w:r>
        <w:rPr>
          <w:rFonts w:ascii="Arial" w:cs="Arial" w:eastAsia="Arial" w:hAnsi="Arial"/>
          <w:sz w:val="18"/>
          <w:szCs w:val="18"/>
          <w:color w:val="auto"/>
        </w:rPr>
        <w:t>Both the U.S. and Canada implemented emergency economic relief programs as a way of minimizing the economic impact of the global COVID-19 pandemic. In the U.S., the CARES Act includes, among other items, provisions relating to refundable payroll tax credits and deferment of certain tax payments through the end of calendar 2020. In Canada the COVID-19 Economic Response Plan includes the Canada Emergency Wage Subsidy (CEWS). For our U.S. businesses we have elected to defer the employer-paid portion of social security taxes and are evaluating the employee retention credit, and in Canada we have received $14.6 million in wage subsidies during the six months ended October 31, 2020 which has been treated as a government subsidy to offset related operating expenses.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LITIGATION AND OTHER RELATED CONTINGENCIES</w:t>
      </w:r>
    </w:p>
    <w:p>
      <w:pPr>
        <w:spacing w:after="0" w:line="11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a defendant in numerous litigation matters, arising both in the ordinary course of business and otherwise, including as described below. The matters described below are not all of the lawsuits to which we are subject. In some of the matters, very large or indeterminate amounts, including punitive damages, are sought. U.S. jurisdictions permit considerable variation in the assertion of monetary damages or other relief. Jurisdictions may permit claimants not to specify the monetary damages sought or may permit claimants to state only that the amount sought is sufficient to invoke the jurisdiction of the court. In addition, jurisdictions may permit plaintiffs to allege monetary damages in amounts well exceeding reasonably possible verdicts in the jurisdiction for similar matters. We believe that the monetary relief which may be specified in a lawsuit or a claim bears little relevance to its merits or disposition value due to this variability in pleadings and our experience in litigating or resolving through settlement of numerous claims over an extended period of time.</w:t>
      </w:r>
    </w:p>
    <w:p>
      <w:pPr>
        <w:spacing w:after="0" w:line="75" w:lineRule="exact"/>
        <w:rPr>
          <w:sz w:val="20"/>
          <w:szCs w:val="20"/>
          <w:color w:val="auto"/>
        </w:rPr>
      </w:pPr>
    </w:p>
    <w:p>
      <w:pPr>
        <w:jc w:val="both"/>
        <w:ind w:firstLine="201"/>
        <w:spacing w:after="0" w:line="260" w:lineRule="auto"/>
        <w:rPr>
          <w:sz w:val="20"/>
          <w:szCs w:val="20"/>
          <w:color w:val="auto"/>
        </w:rPr>
      </w:pPr>
      <w:r>
        <w:rPr>
          <w:rFonts w:ascii="Arial" w:cs="Arial" w:eastAsia="Arial" w:hAnsi="Arial"/>
          <w:sz w:val="18"/>
          <w:szCs w:val="18"/>
          <w:color w:val="auto"/>
        </w:rPr>
        <w:t>The outcome of a litigation matter and the amount or range of potential loss at particular points in time may be difficult to ascertain. Among other things, uncertainties can include how fact finders will evaluate documentary evidence and the credibility and effectiveness of witness testimony, and how trial and appellate courts will apply the law. Disposition valuations are also subject to the uncertainty of how opposing parties and their counsel will themselves view the relevant evidence and applicable law.</w:t>
      </w:r>
    </w:p>
    <w:p>
      <w:pPr>
        <w:spacing w:after="0" w:line="67" w:lineRule="exact"/>
        <w:rPr>
          <w:sz w:val="20"/>
          <w:szCs w:val="20"/>
          <w:color w:val="auto"/>
        </w:rPr>
      </w:pPr>
    </w:p>
    <w:p>
      <w:pPr>
        <w:jc w:val="both"/>
        <w:ind w:firstLine="201"/>
        <w:spacing w:after="0" w:line="286" w:lineRule="auto"/>
        <w:rPr>
          <w:sz w:val="20"/>
          <w:szCs w:val="20"/>
          <w:color w:val="auto"/>
        </w:rPr>
      </w:pPr>
      <w:r>
        <w:rPr>
          <w:rFonts w:ascii="Arial" w:cs="Arial" w:eastAsia="Arial" w:hAnsi="Arial"/>
          <w:sz w:val="18"/>
          <w:szCs w:val="18"/>
          <w:color w:val="auto"/>
        </w:rPr>
        <w:t>In addition to litigation matters, we are also subject to claims and other loss contingencies arising out of our business activities, including as described below.</w:t>
      </w:r>
    </w:p>
    <w:p>
      <w:pPr>
        <w:spacing w:after="0" w:line="42" w:lineRule="exact"/>
        <w:rPr>
          <w:sz w:val="20"/>
          <w:szCs w:val="20"/>
          <w:color w:val="auto"/>
        </w:rPr>
      </w:pPr>
    </w:p>
    <w:p>
      <w:pPr>
        <w:jc w:val="both"/>
        <w:ind w:firstLine="201"/>
        <w:spacing w:after="0" w:line="257" w:lineRule="auto"/>
        <w:rPr>
          <w:sz w:val="20"/>
          <w:szCs w:val="20"/>
          <w:color w:val="auto"/>
        </w:rPr>
      </w:pPr>
      <w:r>
        <w:rPr>
          <w:rFonts w:ascii="Arial" w:cs="Arial" w:eastAsia="Arial" w:hAnsi="Arial"/>
          <w:sz w:val="18"/>
          <w:szCs w:val="18"/>
          <w:color w:val="auto"/>
        </w:rPr>
        <w:t>We accrue liabilities for litigation, claims, including indemnification and contribution claims, and other related loss contingencies and any related settlements (each referred to, individually, as a "matter" and, collectively, as "matters") when it is probable that a loss has been incurred and the amount of the loss can be reasonably estimated. If a range of loss is estimated, and some amount within that range appears to be a better estimate than any other amount within that range, then that amount is accrued. If no amount within the range can be identified as a better estimate than any other amount, we accrue the minimum amount in the range.</w:t>
      </w:r>
    </w:p>
    <w:p>
      <w:pPr>
        <w:spacing w:after="0" w:line="70" w:lineRule="exact"/>
        <w:rPr>
          <w:sz w:val="20"/>
          <w:szCs w:val="20"/>
          <w:color w:val="auto"/>
        </w:rPr>
      </w:pPr>
    </w:p>
    <w:p>
      <w:pPr>
        <w:jc w:val="both"/>
        <w:ind w:firstLine="201"/>
        <w:spacing w:after="0" w:line="255" w:lineRule="auto"/>
        <w:rPr>
          <w:sz w:val="20"/>
          <w:szCs w:val="20"/>
          <w:color w:val="auto"/>
        </w:rPr>
      </w:pPr>
      <w:r>
        <w:rPr>
          <w:rFonts w:ascii="Arial" w:cs="Arial" w:eastAsia="Arial" w:hAnsi="Arial"/>
          <w:sz w:val="18"/>
          <w:szCs w:val="18"/>
          <w:color w:val="auto"/>
        </w:rPr>
        <w:t>For such matters where a loss is believed to be reasonably possible, but not probable, or the loss cannot be reasonably estimated, no accrual has been made. It is possible that such matters could require us to pay damages or make other expenditures or accrue liabilities in amounts that could not be reasonably estimated as of October 31, 2020. While the potential future liabilities could be material in the particular quarterly or annual periods in which they are recorded, based on information currently known, we do not believe any such liabilities are likely to have a material adverse effect on our business and our consolidated financial position, results of operations, and cash flows. As of October 31, 2020 and 2019 and April 30, 2020, our total accrued liabilities were $5.5 million, $1.6 million and $1.6 million, respectively.</w:t>
      </w:r>
    </w:p>
    <w:p>
      <w:pPr>
        <w:spacing w:after="0" w:line="73" w:lineRule="exact"/>
        <w:rPr>
          <w:sz w:val="20"/>
          <w:szCs w:val="20"/>
          <w:color w:val="auto"/>
        </w:rPr>
      </w:pPr>
    </w:p>
    <w:p>
      <w:pPr>
        <w:jc w:val="both"/>
        <w:ind w:firstLine="201"/>
        <w:spacing w:after="0" w:line="267" w:lineRule="auto"/>
        <w:rPr>
          <w:sz w:val="20"/>
          <w:szCs w:val="20"/>
          <w:color w:val="auto"/>
        </w:rPr>
      </w:pPr>
      <w:r>
        <w:rPr>
          <w:rFonts w:ascii="Arial" w:cs="Arial" w:eastAsia="Arial" w:hAnsi="Arial"/>
          <w:sz w:val="18"/>
          <w:szCs w:val="18"/>
          <w:color w:val="auto"/>
        </w:rPr>
        <w:t>Our estimate of the aggregate range of reasonably possible losses includes (1) matters where a liability has been accrued and there is a reasonably possible loss in excess of the amount accrued for that liability, and (2) matters where a liability has not been accrued but we believe a loss is reasonably possible. This aggregate range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824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Q2 FY2021 Form 10-Q</w:t>
      </w:r>
      <w:r>
        <w:rPr>
          <w:rFonts w:ascii="Arial" w:cs="Arial" w:eastAsia="Arial" w:hAnsi="Arial"/>
          <w:sz w:val="14"/>
          <w:szCs w:val="14"/>
          <w:b w:val="1"/>
          <w:bCs w:val="1"/>
          <w:color w:val="auto"/>
        </w:rPr>
        <w:t xml:space="preserve">  </w:t>
      </w:r>
      <w:r>
        <w:rPr>
          <w:rFonts w:ascii="Arial" w:cs="Arial" w:eastAsia="Arial" w:hAnsi="Arial"/>
          <w:sz w:val="14"/>
          <w:szCs w:val="14"/>
          <w:color w:val="FFFFFF"/>
          <w:highlight w:val="black"/>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145415</wp:posOffset>
            </wp:positionV>
            <wp:extent cx="713359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3590" cy="17145"/>
                    </a:xfrm>
                    <a:prstGeom prst="rect">
                      <a:avLst/>
                    </a:prstGeom>
                    <a:noFill/>
                  </pic:spPr>
                </pic:pic>
              </a:graphicData>
            </a:graphic>
          </wp:anchor>
        </w:drawing>
        <w:drawing>
          <wp:anchor simplePos="0" relativeHeight="251657728" behindDoc="1" locked="0" layoutInCell="0" allowOverlap="1">
            <wp:simplePos x="0" y="0"/>
            <wp:positionH relativeFrom="column">
              <wp:posOffset>6917055</wp:posOffset>
            </wp:positionH>
            <wp:positionV relativeFrom="paragraph">
              <wp:posOffset>-100330</wp:posOffset>
            </wp:positionV>
            <wp:extent cx="220980" cy="1187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20980" cy="118745"/>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17" w:name="page18"/>
    <w:bookmarkEnd w:id="1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spacing w:after="0" w:line="286" w:lineRule="auto"/>
        <w:rPr>
          <w:sz w:val="20"/>
          <w:szCs w:val="20"/>
          <w:color w:val="auto"/>
        </w:rPr>
      </w:pPr>
      <w:r>
        <w:rPr>
          <w:rFonts w:ascii="Arial" w:cs="Arial" w:eastAsia="Arial" w:hAnsi="Arial"/>
          <w:sz w:val="18"/>
          <w:szCs w:val="18"/>
          <w:color w:val="auto"/>
        </w:rPr>
        <w:t>represents those losses as to which we are currently able to estimate a reasonably possible loss or range of loss. It does not represent our maximum loss exposure.</w:t>
      </w:r>
    </w:p>
    <w:p>
      <w:pPr>
        <w:spacing w:after="0" w:line="42" w:lineRule="exact"/>
        <w:rPr>
          <w:sz w:val="20"/>
          <w:szCs w:val="20"/>
          <w:color w:val="auto"/>
        </w:rPr>
      </w:pPr>
    </w:p>
    <w:p>
      <w:pPr>
        <w:jc w:val="both"/>
        <w:ind w:firstLine="201"/>
        <w:spacing w:after="0" w:line="257" w:lineRule="auto"/>
        <w:rPr>
          <w:sz w:val="20"/>
          <w:szCs w:val="20"/>
          <w:color w:val="auto"/>
        </w:rPr>
      </w:pPr>
      <w:r>
        <w:rPr>
          <w:rFonts w:ascii="Arial" w:cs="Arial" w:eastAsia="Arial" w:hAnsi="Arial"/>
          <w:sz w:val="18"/>
          <w:szCs w:val="18"/>
          <w:color w:val="auto"/>
        </w:rPr>
        <w:t>Matters for which we are not currently able to estimate the reasonably possible loss or range of loss are not included in this range. We are often unable to estimate the possible loss or range of loss until developments in such matters have provided sufficient information to support an assessment of the reasonably possible loss or range of loss, such as precise information about the amount of damages or other remedies being asserted, the defenses to the claims being asserted, discovery from other parties and investigation of factual allegations, rulings by courts on motions or appeals, analysis by experts, or the status or terms of any settlement negotiations.</w:t>
      </w:r>
    </w:p>
    <w:p>
      <w:pPr>
        <w:spacing w:after="0" w:line="70" w:lineRule="exact"/>
        <w:rPr>
          <w:sz w:val="20"/>
          <w:szCs w:val="20"/>
          <w:color w:val="auto"/>
        </w:rPr>
      </w:pPr>
    </w:p>
    <w:p>
      <w:pPr>
        <w:jc w:val="both"/>
        <w:ind w:firstLine="201"/>
        <w:spacing w:after="0" w:line="260" w:lineRule="auto"/>
        <w:rPr>
          <w:sz w:val="20"/>
          <w:szCs w:val="20"/>
          <w:color w:val="auto"/>
        </w:rPr>
      </w:pPr>
      <w:r>
        <w:rPr>
          <w:rFonts w:ascii="Arial" w:cs="Arial" w:eastAsia="Arial" w:hAnsi="Arial"/>
          <w:sz w:val="18"/>
          <w:szCs w:val="18"/>
          <w:color w:val="auto"/>
        </w:rPr>
        <w:t>The estimated range of reasonably possible loss is based upon currently available information and is subject to significant judgment and a variety of assumptions, as well as known and unknown uncertainties. The matters underlying the estimated range will change from time to time, and actual results may vary significantly from the current estimate. As of October 31, 2020, we believe the estimate of the aggregate range of reasonably possible losses in excess of amounts accrued, where the range of loss can be estimated, is not material.</w:t>
      </w:r>
    </w:p>
    <w:p>
      <w:pPr>
        <w:spacing w:after="0" w:line="67" w:lineRule="exact"/>
        <w:rPr>
          <w:sz w:val="20"/>
          <w:szCs w:val="20"/>
          <w:color w:val="auto"/>
        </w:rPr>
      </w:pPr>
    </w:p>
    <w:p>
      <w:pPr>
        <w:jc w:val="both"/>
        <w:ind w:firstLine="201"/>
        <w:spacing w:after="0" w:line="260" w:lineRule="auto"/>
        <w:rPr>
          <w:sz w:val="20"/>
          <w:szCs w:val="20"/>
          <w:color w:val="auto"/>
        </w:rPr>
      </w:pPr>
      <w:r>
        <w:rPr>
          <w:rFonts w:ascii="Arial" w:cs="Arial" w:eastAsia="Arial" w:hAnsi="Arial"/>
          <w:sz w:val="18"/>
          <w:szCs w:val="18"/>
          <w:color w:val="auto"/>
        </w:rPr>
        <w:t>On a quarterly and annual basis, we review relevant information with respect to litigation and other loss contingencies and update our accruals, disclosures, and estimates of reasonably possible loss or range of loss based on such reviews. Costs incurred with defending matters are expensed as incurred. Any receivable for insurance recoveries is recorded separately from the corresponding liability, and only if recovery is determined to be probable and reasonably estimable.</w:t>
      </w:r>
    </w:p>
    <w:p>
      <w:pPr>
        <w:spacing w:after="0" w:line="67" w:lineRule="exact"/>
        <w:rPr>
          <w:sz w:val="20"/>
          <w:szCs w:val="20"/>
          <w:color w:val="auto"/>
        </w:rPr>
      </w:pPr>
    </w:p>
    <w:p>
      <w:pPr>
        <w:jc w:val="both"/>
        <w:ind w:firstLine="201"/>
        <w:spacing w:after="0" w:line="257" w:lineRule="auto"/>
        <w:rPr>
          <w:sz w:val="20"/>
          <w:szCs w:val="20"/>
          <w:color w:val="auto"/>
        </w:rPr>
      </w:pPr>
      <w:r>
        <w:rPr>
          <w:rFonts w:ascii="Arial" w:cs="Arial" w:eastAsia="Arial" w:hAnsi="Arial"/>
          <w:sz w:val="18"/>
          <w:szCs w:val="18"/>
          <w:color w:val="auto"/>
        </w:rPr>
        <w:t>We believe we have meritorious defenses to the claims asserted in the various matters described in this note, and we intend to defend them vigorously. The amounts claimed in the matters are substantial, however, and there can be no assurances as to their outcomes. In the event of unfavorable outcomes, it could require modifications to our operations; in addition, the amounts that may be required to be paid to discharge or settle the matters could be substantial and could have a material adverse impact on our business and our consolidated financial position, results of operations, and cash flows.</w:t>
      </w:r>
    </w:p>
    <w:p>
      <w:pPr>
        <w:spacing w:after="0" w:line="6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LITIGATION, CLAIMS OR OTHER LOSS CONTINGENCIES PERTAINING TO CONTINUING OPERATIONS </w:t>
      </w:r>
      <w:r>
        <w:rPr>
          <w:rFonts w:ascii="Arial" w:cs="Arial" w:eastAsia="Arial" w:hAnsi="Arial"/>
          <w:sz w:val="18"/>
          <w:szCs w:val="18"/>
          <w:color w:val="auto"/>
        </w:rPr>
        <w:t>–</w:t>
      </w:r>
    </w:p>
    <w:p>
      <w:pPr>
        <w:spacing w:after="0" w:line="114" w:lineRule="exact"/>
        <w:rPr>
          <w:sz w:val="20"/>
          <w:szCs w:val="20"/>
          <w:color w:val="auto"/>
        </w:rPr>
      </w:pPr>
    </w:p>
    <w:p>
      <w:pPr>
        <w:jc w:val="both"/>
        <w:ind w:firstLine="201"/>
        <w:spacing w:after="0" w:line="252" w:lineRule="auto"/>
        <w:rPr>
          <w:sz w:val="20"/>
          <w:szCs w:val="20"/>
          <w:color w:val="auto"/>
        </w:rPr>
      </w:pPr>
      <w:r>
        <w:rPr>
          <w:rFonts w:ascii="Arial" w:cs="Arial" w:eastAsia="Arial" w:hAnsi="Arial"/>
          <w:sz w:val="18"/>
          <w:szCs w:val="18"/>
          <w:b w:val="1"/>
          <w:bCs w:val="1"/>
          <w:color w:val="auto"/>
        </w:rPr>
        <w:t xml:space="preserve">Free File Litigation. </w:t>
      </w:r>
      <w:r>
        <w:rPr>
          <w:rFonts w:ascii="Arial" w:cs="Arial" w:eastAsia="Arial" w:hAnsi="Arial"/>
          <w:sz w:val="18"/>
          <w:szCs w:val="18"/>
          <w:color w:val="auto"/>
        </w:rPr>
        <w:t>On May 6, 2019, the Los Angeles City Attorney filed a lawsuit on behalf of the People of the State of California in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Superior Court of California, County of Los Angeles (Case No. 19STCV15742). The case is styled </w:t>
      </w:r>
      <w:r>
        <w:rPr>
          <w:rFonts w:ascii="Arial" w:cs="Arial" w:eastAsia="Arial" w:hAnsi="Arial"/>
          <w:sz w:val="18"/>
          <w:szCs w:val="18"/>
          <w:i w:val="1"/>
          <w:iCs w:val="1"/>
          <w:color w:val="auto"/>
        </w:rPr>
        <w:t>The People of the State of California v.</w:t>
      </w:r>
      <w:r>
        <w:rPr>
          <w:rFonts w:ascii="Arial" w:cs="Arial" w:eastAsia="Arial" w:hAnsi="Arial"/>
          <w:sz w:val="18"/>
          <w:szCs w:val="18"/>
          <w:color w:val="auto"/>
        </w:rPr>
        <w:t xml:space="preserve"> </w:t>
      </w:r>
      <w:r>
        <w:rPr>
          <w:rFonts w:ascii="Arial" w:cs="Arial" w:eastAsia="Arial" w:hAnsi="Arial"/>
          <w:sz w:val="18"/>
          <w:szCs w:val="18"/>
          <w:i w:val="1"/>
          <w:iCs w:val="1"/>
          <w:color w:val="auto"/>
        </w:rPr>
        <w:t>HRB Digital LLC, et al</w:t>
      </w:r>
      <w:r>
        <w:rPr>
          <w:rFonts w:ascii="Arial" w:cs="Arial" w:eastAsia="Arial" w:hAnsi="Arial"/>
          <w:sz w:val="18"/>
          <w:szCs w:val="18"/>
          <w:color w:val="auto"/>
        </w:rPr>
        <w:t>. The complaint alleges that H&amp;R Block, Inc. and HRB Digital LLC engaged in unfair, fraudulent and deceptive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practices and acts in connection with the IRS Free File Program in violation of the California Unfair Competition Law, California Business and Professions Code §§17200 </w:t>
      </w:r>
      <w:r>
        <w:rPr>
          <w:rFonts w:ascii="Arial" w:cs="Arial" w:eastAsia="Arial" w:hAnsi="Arial"/>
          <w:sz w:val="18"/>
          <w:szCs w:val="18"/>
          <w:i w:val="1"/>
          <w:iCs w:val="1"/>
          <w:color w:val="auto"/>
        </w:rPr>
        <w:t>et seq.</w:t>
      </w:r>
      <w:r>
        <w:rPr>
          <w:rFonts w:ascii="Arial" w:cs="Arial" w:eastAsia="Arial" w:hAnsi="Arial"/>
          <w:sz w:val="18"/>
          <w:szCs w:val="18"/>
          <w:color w:val="auto"/>
        </w:rPr>
        <w:t xml:space="preserve"> The complaint seeks injunctive relief, restitution of monies paid to H&amp;R Block by persons in the State of California who were eligible to file under the IRS Free File Program for the time period starting 4 years prior to the date of the filing of the complaint, pre-judgment interest, civil penalties and costs. The City Attorney subsequently dismissed H&amp;R Block, Inc. from the case and amended its complaint to add HRB Tax Group, Inc. We filed a motion to stay the case based on the primary jurisdiction doctrine, which was denied. A trial date has been set for August 9, 2022. We have not concluded that a loss related to this matter is probable, nor have we accrued a liability related to this matter.</w:t>
      </w:r>
    </w:p>
    <w:p>
      <w:pPr>
        <w:spacing w:after="0" w:line="78" w:lineRule="exact"/>
        <w:rPr>
          <w:sz w:val="20"/>
          <w:szCs w:val="20"/>
          <w:color w:val="auto"/>
        </w:rPr>
      </w:pPr>
    </w:p>
    <w:p>
      <w:pPr>
        <w:jc w:val="both"/>
        <w:ind w:firstLine="201"/>
        <w:spacing w:after="0" w:line="252" w:lineRule="auto"/>
        <w:rPr>
          <w:sz w:val="20"/>
          <w:szCs w:val="20"/>
          <w:color w:val="auto"/>
        </w:rPr>
      </w:pPr>
      <w:r>
        <w:rPr>
          <w:rFonts w:ascii="Arial" w:cs="Arial" w:eastAsia="Arial" w:hAnsi="Arial"/>
          <w:sz w:val="18"/>
          <w:szCs w:val="18"/>
          <w:color w:val="auto"/>
        </w:rPr>
        <w:t xml:space="preserve">On May 17, 2019, a putative class action complaint was filed against H&amp;R Block, Inc., HRB Tax Group, Inc. and HRB Digital LLC in the Superior Court of the State of California, County of San Francisco (Case No. CGC-19576093). The case is styled </w:t>
      </w:r>
      <w:r>
        <w:rPr>
          <w:rFonts w:ascii="Arial" w:cs="Arial" w:eastAsia="Arial" w:hAnsi="Arial"/>
          <w:sz w:val="18"/>
          <w:szCs w:val="18"/>
          <w:i w:val="1"/>
          <w:iCs w:val="1"/>
          <w:color w:val="auto"/>
        </w:rPr>
        <w:t>Snarr v. HRB Tax Group,</w:t>
      </w:r>
      <w:r>
        <w:rPr>
          <w:rFonts w:ascii="Arial" w:cs="Arial" w:eastAsia="Arial" w:hAnsi="Arial"/>
          <w:sz w:val="18"/>
          <w:szCs w:val="18"/>
          <w:color w:val="auto"/>
        </w:rPr>
        <w:t xml:space="preserve"> </w:t>
      </w:r>
      <w:r>
        <w:rPr>
          <w:rFonts w:ascii="Arial" w:cs="Arial" w:eastAsia="Arial" w:hAnsi="Arial"/>
          <w:sz w:val="18"/>
          <w:szCs w:val="18"/>
          <w:i w:val="1"/>
          <w:iCs w:val="1"/>
          <w:color w:val="auto"/>
        </w:rPr>
        <w:t>Inc., et al</w:t>
      </w:r>
      <w:r>
        <w:rPr>
          <w:rFonts w:ascii="Arial" w:cs="Arial" w:eastAsia="Arial" w:hAnsi="Arial"/>
          <w:sz w:val="18"/>
          <w:szCs w:val="18"/>
          <w:color w:val="auto"/>
        </w:rPr>
        <w:t xml:space="preserve">. The case was removed to the United States District Court for the Northern District of California on June 21, 2019 (Case No. 3:19-cv-03610-SK). The plaintiff filed a first amended complaint on August 9, 2019, dropping H&amp;R Block, Inc. from the case. In the amended complaint, the plaintiff seeks to represent classes of all persons, between May 17, 2015 and the present, who (1) paid to file one or more federal tax returns through H&amp;R Block’s internet-based filing system, (2) were eligible to file those tax returns for free through the H&amp;R Block Free File offer of the IRS Free File Program, and (3) resided in and were citizens of California at the time of the payments. The plaintiff generally alleges unlawful, unfair, fraudulent and deceptive business practices and acts in connection with the IRS Free File Program in violation of the California Consumers Legal Remedies Act, California Civil Code §§1750, </w:t>
      </w:r>
      <w:r>
        <w:rPr>
          <w:rFonts w:ascii="Arial" w:cs="Arial" w:eastAsia="Arial" w:hAnsi="Arial"/>
          <w:sz w:val="18"/>
          <w:szCs w:val="18"/>
          <w:i w:val="1"/>
          <w:iCs w:val="1"/>
          <w:color w:val="auto"/>
        </w:rPr>
        <w:t>et seq</w:t>
      </w:r>
      <w:r>
        <w:rPr>
          <w:rFonts w:ascii="Arial" w:cs="Arial" w:eastAsia="Arial" w:hAnsi="Arial"/>
          <w:sz w:val="18"/>
          <w:szCs w:val="18"/>
          <w:color w:val="auto"/>
        </w:rPr>
        <w:t xml:space="preserve">., California False Advertising Law, California Business and Professions Code §§17500, </w:t>
      </w:r>
      <w:r>
        <w:rPr>
          <w:rFonts w:ascii="Arial" w:cs="Arial" w:eastAsia="Arial" w:hAnsi="Arial"/>
          <w:sz w:val="18"/>
          <w:szCs w:val="18"/>
          <w:i w:val="1"/>
          <w:iCs w:val="1"/>
          <w:color w:val="auto"/>
        </w:rPr>
        <w:t>et seq</w:t>
      </w:r>
      <w:r>
        <w:rPr>
          <w:rFonts w:ascii="Arial" w:cs="Arial" w:eastAsia="Arial" w:hAnsi="Arial"/>
          <w:sz w:val="18"/>
          <w:szCs w:val="18"/>
          <w:color w:val="auto"/>
        </w:rPr>
        <w:t xml:space="preserve">., and California Unfair Competition Law, California Business and Professions Code §§17200 </w:t>
      </w:r>
      <w:r>
        <w:rPr>
          <w:rFonts w:ascii="Arial" w:cs="Arial" w:eastAsia="Arial" w:hAnsi="Arial"/>
          <w:sz w:val="18"/>
          <w:szCs w:val="18"/>
          <w:i w:val="1"/>
          <w:iCs w:val="1"/>
          <w:color w:val="auto"/>
        </w:rPr>
        <w:t>et seq</w:t>
      </w:r>
      <w:r>
        <w:rPr>
          <w:rFonts w:ascii="Arial" w:cs="Arial" w:eastAsia="Arial" w:hAnsi="Arial"/>
          <w:sz w:val="18"/>
          <w:szCs w:val="18"/>
          <w:color w:val="auto"/>
        </w:rPr>
        <w:t>. The plaintiff seeks declaratory and injunctive relief, restitution, compensatory damages,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60" w:hanging="265"/>
        <w:spacing w:after="0"/>
        <w:tabs>
          <w:tab w:leader="none" w:pos="360" w:val="left"/>
        </w:tabs>
        <w:numPr>
          <w:ilvl w:val="0"/>
          <w:numId w:val="15"/>
        </w:numPr>
        <w:rPr>
          <w:rFonts w:ascii="Arial" w:cs="Arial" w:eastAsia="Arial" w:hAnsi="Arial"/>
          <w:sz w:val="14"/>
          <w:szCs w:val="14"/>
          <w:color w:val="FFFFFF"/>
          <w:highlight w:val="black"/>
        </w:rPr>
      </w:pPr>
      <w:r>
        <w:rPr>
          <w:rFonts w:ascii="Arial" w:cs="Arial" w:eastAsia="Arial" w:hAnsi="Arial"/>
          <w:sz w:val="14"/>
          <w:szCs w:val="14"/>
          <w:color w:val="auto"/>
        </w:rPr>
        <w:t xml:space="preserve">Q2 FY2021 Form 10-Q | </w:t>
      </w:r>
      <w:r>
        <w:rPr>
          <w:rFonts w:ascii="Arial" w:cs="Arial" w:eastAsia="Arial" w:hAnsi="Arial"/>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145415</wp:posOffset>
            </wp:positionV>
            <wp:extent cx="713359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3590"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-100330</wp:posOffset>
            </wp:positionV>
            <wp:extent cx="212725" cy="1187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12725" cy="118745"/>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18" w:name="page19"/>
    <w:bookmarkEnd w:id="1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punitive damages, interest, attorneys’ fees and costs. We filed a motion to stay the proceedings based on the primary jurisdiction doctrine and a motion to compel arbitration, both of which were denied. An appeal of the denial of the motion to compel arbitration is pending. We filed a motion to stay the claims pending the outcome of the appeal, as well as a motion to dismiss the claims, which also were denied. We filed an answer to the amended complaint on April 7, 2020. A trial date has been set for October 18, 2022. We have not concluded that a loss related to this matter is probable, nor have we accrued a liability related to this matter.</w:t>
      </w:r>
    </w:p>
    <w:p>
      <w:pPr>
        <w:spacing w:after="0" w:line="70" w:lineRule="exact"/>
        <w:rPr>
          <w:sz w:val="20"/>
          <w:szCs w:val="20"/>
          <w:color w:val="auto"/>
        </w:rPr>
      </w:pPr>
    </w:p>
    <w:p>
      <w:pPr>
        <w:jc w:val="both"/>
        <w:ind w:firstLine="201"/>
        <w:spacing w:after="0" w:line="252" w:lineRule="auto"/>
        <w:rPr>
          <w:sz w:val="20"/>
          <w:szCs w:val="20"/>
          <w:color w:val="auto"/>
        </w:rPr>
      </w:pPr>
      <w:r>
        <w:rPr>
          <w:rFonts w:ascii="Arial" w:cs="Arial" w:eastAsia="Arial" w:hAnsi="Arial"/>
          <w:sz w:val="18"/>
          <w:szCs w:val="18"/>
          <w:color w:val="auto"/>
        </w:rPr>
        <w:t xml:space="preserve">On September 26, 2019, a putative class action complaint was filed against H&amp;R Block, Inc., HRB Tax Group, Inc., HRB Digital LLC and Free File, Inc. in the United States District Court for the Western District of Missouri (Case No. 4:19-cv-00788-GAF) styled </w:t>
      </w:r>
      <w:r>
        <w:rPr>
          <w:rFonts w:ascii="Arial" w:cs="Arial" w:eastAsia="Arial" w:hAnsi="Arial"/>
          <w:sz w:val="18"/>
          <w:szCs w:val="18"/>
          <w:i w:val="1"/>
          <w:iCs w:val="1"/>
          <w:color w:val="auto"/>
        </w:rPr>
        <w:t>Swanson v. H&amp;R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Block, Inc., et al. </w:t>
      </w:r>
      <w:r>
        <w:rPr>
          <w:rFonts w:ascii="Arial" w:cs="Arial" w:eastAsia="Arial" w:hAnsi="Arial"/>
          <w:sz w:val="18"/>
          <w:szCs w:val="18"/>
          <w:color w:val="auto"/>
        </w:rPr>
        <w:t>The plaintiff seeks to represent both a nationwide class and a California subclass of all persons eligible for the IRS Free File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Program who paid to use an H&amp;R Block product to file an online tax return for the 2002 through 2018 tax filing years. The plaintiff generally alleges unlawful, unfair, fraudulent and deceptive business practices and acts in connection with the IRS Free File Program in violation of the California Consumers Legal Remedies Act, California Civil Code §§1750, </w:t>
      </w:r>
      <w:r>
        <w:rPr>
          <w:rFonts w:ascii="Arial" w:cs="Arial" w:eastAsia="Arial" w:hAnsi="Arial"/>
          <w:sz w:val="18"/>
          <w:szCs w:val="18"/>
          <w:i w:val="1"/>
          <w:iCs w:val="1"/>
          <w:color w:val="auto"/>
        </w:rPr>
        <w:t>et seq</w:t>
      </w:r>
      <w:r>
        <w:rPr>
          <w:rFonts w:ascii="Arial" w:cs="Arial" w:eastAsia="Arial" w:hAnsi="Arial"/>
          <w:sz w:val="18"/>
          <w:szCs w:val="18"/>
          <w:color w:val="auto"/>
        </w:rPr>
        <w:t xml:space="preserve">., California False Advertising Law, California Business and Professions Code §§17500, </w:t>
      </w:r>
      <w:r>
        <w:rPr>
          <w:rFonts w:ascii="Arial" w:cs="Arial" w:eastAsia="Arial" w:hAnsi="Arial"/>
          <w:sz w:val="18"/>
          <w:szCs w:val="18"/>
          <w:i w:val="1"/>
          <w:iCs w:val="1"/>
          <w:color w:val="auto"/>
        </w:rPr>
        <w:t>et seq</w:t>
      </w:r>
      <w:r>
        <w:rPr>
          <w:rFonts w:ascii="Arial" w:cs="Arial" w:eastAsia="Arial" w:hAnsi="Arial"/>
          <w:sz w:val="18"/>
          <w:szCs w:val="18"/>
          <w:color w:val="auto"/>
        </w:rPr>
        <w:t xml:space="preserve">., California Unfair Competition Law, California Business and Professions Code §§17200, </w:t>
      </w:r>
      <w:r>
        <w:rPr>
          <w:rFonts w:ascii="Arial" w:cs="Arial" w:eastAsia="Arial" w:hAnsi="Arial"/>
          <w:sz w:val="18"/>
          <w:szCs w:val="18"/>
          <w:i w:val="1"/>
          <w:iCs w:val="1"/>
          <w:color w:val="auto"/>
        </w:rPr>
        <w:t>et seq</w:t>
      </w:r>
      <w:r>
        <w:rPr>
          <w:rFonts w:ascii="Arial" w:cs="Arial" w:eastAsia="Arial" w:hAnsi="Arial"/>
          <w:sz w:val="18"/>
          <w:szCs w:val="18"/>
          <w:color w:val="auto"/>
        </w:rPr>
        <w:t>., in addition to breach of contract and fraud. The plaintiff seeks injunctive relief, disgorgement, compensatory damages, statutory damages, punitive damages, interest, attorneys’ fees and costs. The court granted a motion to dismiss filed by defendant Free File, Inc. for lack of personal jurisdiction. The court granted our motion to compel arbitration on July 27, 2020 and stayed the case pending the outcome of arbitration. We have not concluded that a loss related to this matter is probable, nor have we accrued a liability related to this matter.</w:t>
      </w:r>
    </w:p>
    <w:p>
      <w:pPr>
        <w:spacing w:after="0" w:line="7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have also received and are responding to certain governmental inquiries relating to the IRS Free File Program.</w:t>
      </w:r>
    </w:p>
    <w:p>
      <w:pPr>
        <w:spacing w:after="0" w:line="112" w:lineRule="exact"/>
        <w:rPr>
          <w:sz w:val="20"/>
          <w:szCs w:val="20"/>
          <w:color w:val="auto"/>
        </w:rPr>
      </w:pPr>
    </w:p>
    <w:p>
      <w:pPr>
        <w:jc w:val="both"/>
        <w:ind w:firstLine="201"/>
        <w:spacing w:after="0" w:line="267" w:lineRule="auto"/>
        <w:rPr>
          <w:sz w:val="20"/>
          <w:szCs w:val="20"/>
          <w:color w:val="auto"/>
        </w:rPr>
      </w:pPr>
      <w:r>
        <w:rPr>
          <w:rFonts w:ascii="Arial" w:cs="Arial" w:eastAsia="Arial" w:hAnsi="Arial"/>
          <w:sz w:val="17"/>
          <w:szCs w:val="17"/>
          <w:b w:val="1"/>
          <w:bCs w:val="1"/>
          <w:color w:val="auto"/>
        </w:rPr>
        <w:t xml:space="preserve">LITIGATION, CLAIMS, INCLUDING INDEMNIFICATION AND CONTRIBUTION CLAIMS, OR OTHER LOSS CONTINGENCIES PERTAINING TO DISCONTINUED MORTGAGE OPERATIONS </w:t>
      </w:r>
      <w:r>
        <w:rPr>
          <w:rFonts w:ascii="Arial" w:cs="Arial" w:eastAsia="Arial" w:hAnsi="Arial"/>
          <w:sz w:val="17"/>
          <w:szCs w:val="17"/>
          <w:color w:val="auto"/>
        </w:rPr>
        <w:t>– Although SCC ceased its mortgage loan origination activities in December</w:t>
      </w:r>
      <w:r>
        <w:rPr>
          <w:rFonts w:ascii="Arial" w:cs="Arial" w:eastAsia="Arial" w:hAnsi="Arial"/>
          <w:sz w:val="17"/>
          <w:szCs w:val="17"/>
          <w:b w:val="1"/>
          <w:bCs w:val="1"/>
          <w:color w:val="auto"/>
        </w:rPr>
        <w:t xml:space="preserve"> </w:t>
      </w:r>
      <w:r>
        <w:rPr>
          <w:rFonts w:ascii="Arial" w:cs="Arial" w:eastAsia="Arial" w:hAnsi="Arial"/>
          <w:sz w:val="17"/>
          <w:szCs w:val="17"/>
          <w:color w:val="auto"/>
        </w:rPr>
        <w:t>2007 and sold its loan servicing business in April 2008, SCC or the Company has been, remains, and may in the future be, subject to litigation, claims, including indemnification and contribution claims, and other loss contingencies pertaining to SCC's mortgage business activities that occurred prior to such termination and sale. These lawsuits, claims, and other loss contingencies include actions by regulators, third parties seeking indemnification or contribution, including depositors, underwriters, and securitization trustees, individual plaintiffs, and cases in which plaintiffs seek to represent a class of others alleged to be similarly situated. Among other things, these lawsuits, claims, and contingencies allege or may allege discriminatory or unfair and deceptive loan origination and servicing (including debt collection, foreclosure, and eviction) practices, other common law torts, rights to indemnification or contribution, breach of contract, violations of securities laws, and violations of a variety of federal statutes, including the Truth in Lending Act (TILA), Equal Credit Opportunity Act, Fair Housing Act, Real Estate Settlement Procedures Act (RESPA), Home Ownership &amp; Equity Protection Act (HOEPA), as well as similar state statutes. It is difficult to predict either the likelihood of new matters being initiated or the outcome of existing matters. In many of these matters it is not possible to estimate a reasonably possible loss or range of loss due to, among other things, the inherent uncertainties involved in these matters, some of which are beyond the Company's control, and the indeterminate damages sought in some of these matters.</w:t>
      </w:r>
    </w:p>
    <w:p>
      <w:pPr>
        <w:spacing w:after="0" w:line="64" w:lineRule="exact"/>
        <w:rPr>
          <w:sz w:val="20"/>
          <w:szCs w:val="20"/>
          <w:color w:val="auto"/>
        </w:rPr>
      </w:pPr>
    </w:p>
    <w:p>
      <w:pPr>
        <w:jc w:val="both"/>
        <w:ind w:firstLine="241"/>
        <w:spacing w:after="0" w:line="252" w:lineRule="auto"/>
        <w:rPr>
          <w:sz w:val="20"/>
          <w:szCs w:val="20"/>
          <w:color w:val="auto"/>
        </w:rPr>
      </w:pPr>
      <w:r>
        <w:rPr>
          <w:rFonts w:ascii="Arial" w:cs="Arial" w:eastAsia="Arial" w:hAnsi="Arial"/>
          <w:sz w:val="18"/>
          <w:szCs w:val="18"/>
          <w:color w:val="auto"/>
        </w:rPr>
        <w:t xml:space="preserve">Mortgage loans originated by SCC were sold either as whole loans to single third-party buyers, who generally securitized such loans, or in the form of residential mortgage-backed securities (RMBSs). In connection with the sale of loans and/or RMBSs, SCC made certain representations and warranties. Claims under these representations and warranties together with any settlement arrangements related to these losses are collectively referred to as "representation and warranty claims." The statute of limitations for a contractual claim to enforce a representation and warranty obligation is generally six years or such shorter limitations period that may apply under the law of a state where the economic injury occurred. On June 11, 2015, the New York Court of Appeals, New York’s highest court, held in </w:t>
      </w:r>
      <w:r>
        <w:rPr>
          <w:rFonts w:ascii="Arial" w:cs="Arial" w:eastAsia="Arial" w:hAnsi="Arial"/>
          <w:sz w:val="18"/>
          <w:szCs w:val="18"/>
          <w:i w:val="1"/>
          <w:iCs w:val="1"/>
          <w:color w:val="auto"/>
        </w:rPr>
        <w:t>ACE Securities Corp. v. DB</w:t>
      </w:r>
      <w:r>
        <w:rPr>
          <w:rFonts w:ascii="Arial" w:cs="Arial" w:eastAsia="Arial" w:hAnsi="Arial"/>
          <w:sz w:val="18"/>
          <w:szCs w:val="18"/>
          <w:color w:val="auto"/>
        </w:rPr>
        <w:t xml:space="preserve"> </w:t>
      </w:r>
      <w:r>
        <w:rPr>
          <w:rFonts w:ascii="Arial" w:cs="Arial" w:eastAsia="Arial" w:hAnsi="Arial"/>
          <w:sz w:val="18"/>
          <w:szCs w:val="18"/>
          <w:i w:val="1"/>
          <w:iCs w:val="1"/>
          <w:color w:val="auto"/>
        </w:rPr>
        <w:t>Structured Products, Inc.</w:t>
      </w:r>
      <w:r>
        <w:rPr>
          <w:rFonts w:ascii="Arial" w:cs="Arial" w:eastAsia="Arial" w:hAnsi="Arial"/>
          <w:sz w:val="18"/>
          <w:szCs w:val="18"/>
          <w:color w:val="auto"/>
        </w:rPr>
        <w:t>, that the six-year statute of limitations under New York law starts to run at the time the representations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warranties are made, not the date when the repurchase demand was denied. This decision applies to claims and lawsuits brought against SCC where New York law governs. New York law governs many, though not all, of the RMBS transactions into which SCC entered. However,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824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Q2 FY2021 Form 10-Q</w:t>
      </w:r>
      <w:r>
        <w:rPr>
          <w:rFonts w:ascii="Arial" w:cs="Arial" w:eastAsia="Arial" w:hAnsi="Arial"/>
          <w:sz w:val="14"/>
          <w:szCs w:val="14"/>
          <w:b w:val="1"/>
          <w:bCs w:val="1"/>
          <w:color w:val="auto"/>
        </w:rPr>
        <w:t xml:space="preserve">  </w:t>
      </w:r>
      <w:r>
        <w:rPr>
          <w:rFonts w:ascii="Arial" w:cs="Arial" w:eastAsia="Arial" w:hAnsi="Arial"/>
          <w:sz w:val="14"/>
          <w:szCs w:val="14"/>
          <w:color w:val="FFFFFF"/>
          <w:highlight w:val="black"/>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145415</wp:posOffset>
            </wp:positionV>
            <wp:extent cx="713359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3590" cy="17145"/>
                    </a:xfrm>
                    <a:prstGeom prst="rect">
                      <a:avLst/>
                    </a:prstGeom>
                    <a:noFill/>
                  </pic:spPr>
                </pic:pic>
              </a:graphicData>
            </a:graphic>
          </wp:anchor>
        </w:drawing>
        <w:drawing>
          <wp:anchor simplePos="0" relativeHeight="251657728" behindDoc="1" locked="0" layoutInCell="0" allowOverlap="1">
            <wp:simplePos x="0" y="0"/>
            <wp:positionH relativeFrom="column">
              <wp:posOffset>6917055</wp:posOffset>
            </wp:positionH>
            <wp:positionV relativeFrom="paragraph">
              <wp:posOffset>-100330</wp:posOffset>
            </wp:positionV>
            <wp:extent cx="220980" cy="1187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20980" cy="1187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9" w:name="page20"/>
    <w:bookmarkEnd w:id="1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spacing w:after="0" w:line="286" w:lineRule="auto"/>
        <w:rPr>
          <w:sz w:val="20"/>
          <w:szCs w:val="20"/>
          <w:color w:val="auto"/>
        </w:rPr>
      </w:pPr>
      <w:r>
        <w:rPr>
          <w:rFonts w:ascii="Arial" w:cs="Arial" w:eastAsia="Arial" w:hAnsi="Arial"/>
          <w:sz w:val="18"/>
          <w:szCs w:val="18"/>
          <w:color w:val="auto"/>
        </w:rPr>
        <w:t>decision would not affect representation and warranty claims and lawsuits SCC has received or may receive, for example, where the statute of limitations has been tolled by agreement or a suit was timely filed.</w:t>
      </w:r>
    </w:p>
    <w:p>
      <w:pPr>
        <w:spacing w:after="0" w:line="42" w:lineRule="exact"/>
        <w:rPr>
          <w:sz w:val="20"/>
          <w:szCs w:val="20"/>
          <w:color w:val="auto"/>
        </w:rPr>
      </w:pPr>
    </w:p>
    <w:p>
      <w:pPr>
        <w:jc w:val="both"/>
        <w:ind w:firstLine="241"/>
        <w:spacing w:after="0" w:line="252" w:lineRule="auto"/>
        <w:rPr>
          <w:sz w:val="20"/>
          <w:szCs w:val="20"/>
          <w:color w:val="auto"/>
        </w:rPr>
      </w:pPr>
      <w:r>
        <w:rPr>
          <w:rFonts w:ascii="Arial" w:cs="Arial" w:eastAsia="Arial" w:hAnsi="Arial"/>
          <w:sz w:val="18"/>
          <w:szCs w:val="18"/>
          <w:color w:val="auto"/>
        </w:rPr>
        <w:t xml:space="preserve">In response to the statute of limitations rulings in the </w:t>
      </w:r>
      <w:r>
        <w:rPr>
          <w:rFonts w:ascii="Arial" w:cs="Arial" w:eastAsia="Arial" w:hAnsi="Arial"/>
          <w:sz w:val="18"/>
          <w:szCs w:val="18"/>
          <w:i w:val="1"/>
          <w:iCs w:val="1"/>
          <w:color w:val="auto"/>
        </w:rPr>
        <w:t>ACE</w:t>
      </w:r>
      <w:r>
        <w:rPr>
          <w:rFonts w:ascii="Arial" w:cs="Arial" w:eastAsia="Arial" w:hAnsi="Arial"/>
          <w:sz w:val="18"/>
          <w:szCs w:val="18"/>
          <w:color w:val="auto"/>
        </w:rPr>
        <w:t xml:space="preserve"> case and similar rulings in other state and federal courts, parties seeking to pursue representation and warranty claims or lawsuits have sought, and may in the future seek, to distinguish certain aspects of the </w:t>
      </w:r>
      <w:r>
        <w:rPr>
          <w:rFonts w:ascii="Arial" w:cs="Arial" w:eastAsia="Arial" w:hAnsi="Arial"/>
          <w:sz w:val="18"/>
          <w:szCs w:val="18"/>
          <w:i w:val="1"/>
          <w:iCs w:val="1"/>
          <w:color w:val="auto"/>
        </w:rPr>
        <w:t>ACE</w:t>
      </w:r>
      <w:r>
        <w:rPr>
          <w:rFonts w:ascii="Arial" w:cs="Arial" w:eastAsia="Arial" w:hAnsi="Arial"/>
          <w:sz w:val="18"/>
          <w:szCs w:val="18"/>
          <w:color w:val="auto"/>
        </w:rPr>
        <w:t xml:space="preserve"> decision, pursue alternate legal theories of recovery, or assert claims against other contractual parties such as securitization trustees. For example, a 2016 ruling by a New York intermediate appellate court, followed by the federal district court in the second Homeward case described below, allowed a counterparty to pursue litigation on additional loans in the same trust even though only some of the loans complied with the condition precedent of timely pre-suit notice and opportunity to cure or repurchase. Additionally, plaintiffs in litigation to which SCC is not party have alleged breaches of an independent contractual duty to provide notice of material breaches of representations and warranties and pursued separate claims to which, they argue, the statute of limitations ruling in the </w:t>
      </w:r>
      <w:r>
        <w:rPr>
          <w:rFonts w:ascii="Arial" w:cs="Arial" w:eastAsia="Arial" w:hAnsi="Arial"/>
          <w:sz w:val="18"/>
          <w:szCs w:val="18"/>
          <w:i w:val="1"/>
          <w:iCs w:val="1"/>
          <w:color w:val="auto"/>
        </w:rPr>
        <w:t>ACE</w:t>
      </w:r>
      <w:r>
        <w:rPr>
          <w:rFonts w:ascii="Arial" w:cs="Arial" w:eastAsia="Arial" w:hAnsi="Arial"/>
          <w:sz w:val="18"/>
          <w:szCs w:val="18"/>
          <w:color w:val="auto"/>
        </w:rPr>
        <w:t xml:space="preserve"> case does not apply. The impact on SCC from alternative legal theories seeking to avoid or distinguish the </w:t>
      </w:r>
      <w:r>
        <w:rPr>
          <w:rFonts w:ascii="Arial" w:cs="Arial" w:eastAsia="Arial" w:hAnsi="Arial"/>
          <w:sz w:val="18"/>
          <w:szCs w:val="18"/>
          <w:i w:val="1"/>
          <w:iCs w:val="1"/>
          <w:color w:val="auto"/>
        </w:rPr>
        <w:t>ACE</w:t>
      </w:r>
      <w:r>
        <w:rPr>
          <w:rFonts w:ascii="Arial" w:cs="Arial" w:eastAsia="Arial" w:hAnsi="Arial"/>
          <w:sz w:val="18"/>
          <w:szCs w:val="18"/>
          <w:color w:val="auto"/>
        </w:rPr>
        <w:t xml:space="preserve"> decision, or judicial limitations on the </w:t>
      </w:r>
      <w:r>
        <w:rPr>
          <w:rFonts w:ascii="Arial" w:cs="Arial" w:eastAsia="Arial" w:hAnsi="Arial"/>
          <w:sz w:val="18"/>
          <w:szCs w:val="18"/>
          <w:i w:val="1"/>
          <w:iCs w:val="1"/>
          <w:color w:val="auto"/>
        </w:rPr>
        <w:t>ACE</w:t>
      </w:r>
      <w:r>
        <w:rPr>
          <w:rFonts w:ascii="Arial" w:cs="Arial" w:eastAsia="Arial" w:hAnsi="Arial"/>
          <w:sz w:val="18"/>
          <w:szCs w:val="18"/>
          <w:color w:val="auto"/>
        </w:rPr>
        <w:t xml:space="preserve"> decision, is unclear. SCC has not accrued liabilities for claims not subject to a tolling arrangement or not relating back to timely filed litigation.</w:t>
      </w:r>
    </w:p>
    <w:p>
      <w:pPr>
        <w:spacing w:after="0" w:line="76" w:lineRule="exact"/>
        <w:rPr>
          <w:sz w:val="20"/>
          <w:szCs w:val="20"/>
          <w:color w:val="auto"/>
        </w:rPr>
      </w:pPr>
    </w:p>
    <w:p>
      <w:pPr>
        <w:jc w:val="both"/>
        <w:ind w:firstLine="201"/>
        <w:spacing w:after="0" w:line="250" w:lineRule="auto"/>
        <w:rPr>
          <w:sz w:val="20"/>
          <w:szCs w:val="20"/>
          <w:color w:val="auto"/>
        </w:rPr>
      </w:pPr>
      <w:r>
        <w:rPr>
          <w:rFonts w:ascii="Arial" w:cs="Arial" w:eastAsia="Arial" w:hAnsi="Arial"/>
          <w:sz w:val="18"/>
          <w:szCs w:val="18"/>
          <w:color w:val="auto"/>
        </w:rPr>
        <w:t xml:space="preserve">On May 31, 2012, a lawsuit was filed by Homeward Residential, Inc. (Homeward) in the Supreme Court of the State of New York, County of New York, against SCC styled </w:t>
      </w:r>
      <w:r>
        <w:rPr>
          <w:rFonts w:ascii="Arial" w:cs="Arial" w:eastAsia="Arial" w:hAnsi="Arial"/>
          <w:sz w:val="18"/>
          <w:szCs w:val="18"/>
          <w:i w:val="1"/>
          <w:iCs w:val="1"/>
          <w:color w:val="auto"/>
        </w:rPr>
        <w:t>Homeward Residential, Inc. v. Sand Canyon Corporation</w:t>
      </w:r>
      <w:r>
        <w:rPr>
          <w:rFonts w:ascii="Arial" w:cs="Arial" w:eastAsia="Arial" w:hAnsi="Arial"/>
          <w:sz w:val="18"/>
          <w:szCs w:val="18"/>
          <w:color w:val="auto"/>
        </w:rPr>
        <w:t xml:space="preserve"> (Index No. 651885/2012). SCC removed the case to the United States District Court for the Southern District of New York on June 28, 2012 (Case No. 12-cv-5067). The plaintiff, in its capacity as the master servicer for Option One Mortgage Loan Trust 2006-2 and for the benefit of the trustee and the certificate holders of such trust, asserts claims for breach of contract, anticipatory breach, indemnity, and declaratory judgment in connection with alleged losses incurred as a result of the breach of representations and warranties relating to SCC and to loans sold to the trust. The trust was originally collateralized with approximately 7,500 loans. The plaintiff seeks specific performance of alleged repurchase obligations or damages to compensate the trust and its certificate holders for alleged actual and anticipated losses, as well as a repurchase of all loans due to alleged misrepresentations by SCC as to itself and as to the loans' compliance with its underwriting standards and the value of underlying real estate. In response to a motion filed by SCC, the court dismissed the plaintiff's claims for breach of the duty to cure or repurchase, anticipatory breach, indemnity, and declaratory judgment. The case proceeded on the remaining claims. Representatives of a holder of certificates in the trust filed a motion to intervene to add H&amp;R Block, Inc. to the lawsuit and assert claims against H&amp;R Block, Inc. based on alter ego, corporate veil-piercing, and agency law. On February 12, 2018, the court denied the motion to intervene. Discovery in the case closed on September 30, 2019, with motions for summary judgment filed on December 6, 2019. On November 9, 2020, the court granted SCC's motion for summary judgment and dismissed Homeward's claims in their entirety as untimely under the applicable statute of limitations. Homeward appealed that ruling on December 4, 2020, and the appeal remains pending. We have not concluded that a loss related to this matter is probable, nor have we accrued a liability related to this matter.</w:t>
      </w:r>
    </w:p>
    <w:p>
      <w:pPr>
        <w:spacing w:after="0" w:line="84" w:lineRule="exact"/>
        <w:rPr>
          <w:sz w:val="20"/>
          <w:szCs w:val="20"/>
          <w:color w:val="auto"/>
        </w:rPr>
      </w:pPr>
    </w:p>
    <w:p>
      <w:pPr>
        <w:jc w:val="both"/>
        <w:ind w:firstLine="201"/>
        <w:spacing w:after="0" w:line="251" w:lineRule="auto"/>
        <w:rPr>
          <w:sz w:val="20"/>
          <w:szCs w:val="20"/>
          <w:color w:val="auto"/>
        </w:rPr>
      </w:pPr>
      <w:r>
        <w:rPr>
          <w:rFonts w:ascii="Arial" w:cs="Arial" w:eastAsia="Arial" w:hAnsi="Arial"/>
          <w:sz w:val="18"/>
          <w:szCs w:val="18"/>
          <w:color w:val="auto"/>
        </w:rPr>
        <w:t xml:space="preserve">On September 28, 2012, a second lawsuit was filed by Homeward in the United States District Court for the Southern District of New York against SCC styled </w:t>
      </w:r>
      <w:r>
        <w:rPr>
          <w:rFonts w:ascii="Arial" w:cs="Arial" w:eastAsia="Arial" w:hAnsi="Arial"/>
          <w:sz w:val="18"/>
          <w:szCs w:val="18"/>
          <w:i w:val="1"/>
          <w:iCs w:val="1"/>
          <w:color w:val="auto"/>
        </w:rPr>
        <w:t>Homeward Residential, Inc. v. Sand Canyon Corporation</w:t>
      </w:r>
      <w:r>
        <w:rPr>
          <w:rFonts w:ascii="Arial" w:cs="Arial" w:eastAsia="Arial" w:hAnsi="Arial"/>
          <w:sz w:val="18"/>
          <w:szCs w:val="18"/>
          <w:color w:val="auto"/>
        </w:rPr>
        <w:t xml:space="preserve"> (Case No. 12-cv-7319). The plaintiff, in its capacity as the master servicer for Option One Mortgage Loan Trust 2006-3 and for the benefit of the trustee and the certificate holders of such trust, asserts claims for breach of contract and indemnity in connection with losses allegedly incurred as a result of the breach of representations and warranties relating to 96 loans sold to the trust. The trust was originally collateralized with approximately 7,500 loans. The plaintiff seeks specific performance of alleged repurchase obligations or damages to compensate the trust and its certificate holders for alleged actual and anticipated losses. In response to a motion filed by SCC, the court dismissed the plaintiff's claims for breach of the duty to cure or repurchase and for indemnification of its costs associated with the litigation. On September 30, 2016, the court granted a motion allowing the plaintiff to file a second amended complaint to include breach of contract claims with respect to 649 additional loans in the trust and to allow such claims with respect to other loans in the trust proven to be in material breach of SCC’s representations and warranties. SCC filed a motion for reconsideration, followed by a motion for leave to appeal the ruling, both of which were denied. On October 6, 2016, the plaintiff filed its second amended complaint. In response to a motion filed by SCC, the court dismissed the plaintiff's claim for breach of one of the representations. The case proceeded on the remaining claims. Representatives of a holder of certificates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360" w:hanging="265"/>
        <w:spacing w:after="0"/>
        <w:tabs>
          <w:tab w:leader="none" w:pos="360" w:val="left"/>
        </w:tabs>
        <w:numPr>
          <w:ilvl w:val="0"/>
          <w:numId w:val="16"/>
        </w:numPr>
        <w:rPr>
          <w:rFonts w:ascii="Arial" w:cs="Arial" w:eastAsia="Arial" w:hAnsi="Arial"/>
          <w:sz w:val="14"/>
          <w:szCs w:val="14"/>
          <w:color w:val="FFFFFF"/>
          <w:highlight w:val="black"/>
        </w:rPr>
      </w:pPr>
      <w:r>
        <w:rPr>
          <w:rFonts w:ascii="Arial" w:cs="Arial" w:eastAsia="Arial" w:hAnsi="Arial"/>
          <w:sz w:val="14"/>
          <w:szCs w:val="14"/>
          <w:color w:val="auto"/>
        </w:rPr>
        <w:t xml:space="preserve">Q2 FY2021 Form 10-Q | </w:t>
      </w:r>
      <w:r>
        <w:rPr>
          <w:rFonts w:ascii="Arial" w:cs="Arial" w:eastAsia="Arial" w:hAnsi="Arial"/>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145415</wp:posOffset>
            </wp:positionV>
            <wp:extent cx="713359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3590"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-100330</wp:posOffset>
            </wp:positionV>
            <wp:extent cx="212725" cy="1187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12725" cy="118745"/>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20" w:name="page21"/>
    <w:bookmarkEnd w:id="2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trust filed a motion to intervene to add H&amp;R Block, Inc. to the lawsuit and assert claims against H&amp;R Block, Inc. based on alter ego, corporate veil-piercing, and agency law. On February 12, 2018, the court denied the motion to intervene. The settlement payments that were made in fiscal year 2018 for representation and warranty claims related to some of the loans in this case. Discovery in the case closed on September 30, 2019, with motions for summary judgment filed on December 6, 2019. On November 9, 2020, the court granted SCC's motion for summary judgment and dismissed Homeward's claims in their entirety as untimely under the applicable statute of limitations. Homeward appealed that ruling on December 4, 2020, and the appeal remains pending. We have not concluded that a loss related to this matter is probable, nor have we accrued a liability related to this matter.</w:t>
      </w:r>
    </w:p>
    <w:p>
      <w:pPr>
        <w:spacing w:after="0" w:line="73" w:lineRule="exact"/>
        <w:rPr>
          <w:sz w:val="20"/>
          <w:szCs w:val="20"/>
          <w:color w:val="auto"/>
        </w:rPr>
      </w:pPr>
    </w:p>
    <w:p>
      <w:pPr>
        <w:jc w:val="both"/>
        <w:ind w:firstLine="201"/>
        <w:spacing w:after="0" w:line="251" w:lineRule="auto"/>
        <w:rPr>
          <w:sz w:val="20"/>
          <w:szCs w:val="20"/>
          <w:color w:val="auto"/>
        </w:rPr>
      </w:pPr>
      <w:r>
        <w:rPr>
          <w:rFonts w:ascii="Arial" w:cs="Arial" w:eastAsia="Arial" w:hAnsi="Arial"/>
          <w:sz w:val="18"/>
          <w:szCs w:val="18"/>
          <w:color w:val="auto"/>
        </w:rPr>
        <w:t>Parties, including underwriters, depositors, and securitization trustees, are, or have been, involved in multiple lawsuits, threatened lawsuits, and settlements related to securitization transactions in which SCC participated. A variety of claims are alleged in these matters, including violations of federal and state securities laws and common law fraud, based on alleged materially inaccurate or misleading disclosures, that originators, depositors, securitization trustees, or servicers breached their representations and warranties or otherwise failed to fulfill their obligations, or that securitization trustees violated statutory requirements by failing to properly protect the certificate holders’ interests. SCC has received notices of claims for indemnification or potential indemnification obligations relating to such matters, including lawsuits or settlements to which underwriters, depositors, or securitization trustees are party. Additional lawsuits against the parties to the securitization transactions may be filed in the future, and SCC may receive additional notices of claims for indemnification, contribution or similar obligations with respect to existing or new lawsuits or settlements of such lawsuits or other claims. Certain of the notices received included, and future notices may include, a reservation of rights to assert claims for contribution, which are referred to herein as "contribution claims." Contribution claims may become operative if indemnification is unavailable or insufficient to cover all of the losses and expenses involved. We have not concluded that a loss related to any of these indemnification or contribution claims is probable, nor have we accrued a liability related to any of these claims.</w:t>
      </w:r>
    </w:p>
    <w:p>
      <w:pPr>
        <w:spacing w:after="0" w:line="78" w:lineRule="exact"/>
        <w:rPr>
          <w:sz w:val="20"/>
          <w:szCs w:val="20"/>
          <w:color w:val="auto"/>
        </w:rPr>
      </w:pPr>
    </w:p>
    <w:p>
      <w:pPr>
        <w:jc w:val="both"/>
        <w:ind w:firstLine="241"/>
        <w:spacing w:after="0" w:line="253" w:lineRule="auto"/>
        <w:rPr>
          <w:sz w:val="20"/>
          <w:szCs w:val="20"/>
          <w:color w:val="auto"/>
        </w:rPr>
      </w:pPr>
      <w:r>
        <w:rPr>
          <w:rFonts w:ascii="Arial" w:cs="Arial" w:eastAsia="Arial" w:hAnsi="Arial"/>
          <w:sz w:val="18"/>
          <w:szCs w:val="18"/>
          <w:color w:val="auto"/>
        </w:rPr>
        <w:t>If the amount that SCC is ultimately required to pay with respect to claims and litigation related to its past sales and securitizations of mortgage loans, together with payment of SCC's related administration and legal expense, exceeds SCC's net assets, the creditors of SCC, other potential claimants, or a bankruptcy trustee if SCC were to file or be forced into bankruptcy, may attempt to assert claims against us for payment of SCC's obligations. Claimants may also attempt to assert claims against or seek payment directly from the Company even if SCC's assets exceed its liabilities. SCC's principal assets, as of October 31, 2020, total approximately $274 million and consist of an intercompany note receivable. We believe our legal position is strong on any potential corporate veil-piercing arguments; however, if this position is challenged and not upheld, it could have a material adverse effect on our business and our consolidated financial position, results of operations, and cash flows.</w:t>
      </w:r>
    </w:p>
    <w:p>
      <w:pPr>
        <w:spacing w:after="0" w:line="73" w:lineRule="exact"/>
        <w:rPr>
          <w:sz w:val="20"/>
          <w:szCs w:val="20"/>
          <w:color w:val="auto"/>
        </w:rPr>
      </w:pPr>
    </w:p>
    <w:p>
      <w:pPr>
        <w:jc w:val="both"/>
        <w:ind w:right="20" w:firstLine="201"/>
        <w:spacing w:after="0" w:line="268" w:lineRule="auto"/>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color w:val="auto"/>
        </w:rPr>
        <w:t>– We are from time to time a party to litigation, claims and other loss contingencies not discussed herein arising out of our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operations. These matters may include actions by state attorneys general, other state regulators, federal regulators, individual plaintiffs, and cases in which plaintiffs seek to represent others who may be similarly situated.</w:t>
      </w:r>
    </w:p>
    <w:p>
      <w:pPr>
        <w:spacing w:after="0" w:line="58" w:lineRule="exact"/>
        <w:rPr>
          <w:sz w:val="20"/>
          <w:szCs w:val="20"/>
          <w:color w:val="auto"/>
        </w:rPr>
      </w:pPr>
    </w:p>
    <w:p>
      <w:pPr>
        <w:jc w:val="both"/>
        <w:ind w:firstLine="201"/>
        <w:spacing w:after="0" w:line="267" w:lineRule="auto"/>
        <w:rPr>
          <w:sz w:val="20"/>
          <w:szCs w:val="20"/>
          <w:color w:val="auto"/>
        </w:rPr>
      </w:pPr>
      <w:r>
        <w:rPr>
          <w:rFonts w:ascii="Arial" w:cs="Arial" w:eastAsia="Arial" w:hAnsi="Arial"/>
          <w:sz w:val="18"/>
          <w:szCs w:val="18"/>
          <w:color w:val="auto"/>
        </w:rPr>
        <w:t>While we cannot provide assurance that we will ultimately prevail in each instance, we believe the amount, if any, we are required to pay to discharge or settle these other matters will not have a material adverse impact on our business and our consolidated financial position, results of operations, and cash flows.</w:t>
      </w:r>
    </w:p>
    <w:p>
      <w:pPr>
        <w:spacing w:after="0" w:line="298" w:lineRule="exact"/>
        <w:rPr>
          <w:sz w:val="20"/>
          <w:szCs w:val="20"/>
          <w:color w:val="auto"/>
        </w:rPr>
      </w:pPr>
    </w:p>
    <w:p>
      <w:pPr>
        <w:ind w:right="1240"/>
        <w:spacing w:after="0" w:line="373"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RECENT DEVELOPMENTS</w:t>
      </w:r>
    </w:p>
    <w:p>
      <w:pPr>
        <w:spacing w:after="0" w:line="1"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On July 1, 2020, we provided written notice to Axos Bank ("Axos") of the termination of the Program Management Agreement by and between Emerald Financial Services, LLC , a wholly–owned indirect subsidiary of the Company, and Axos, effective July 1, 2020. On August 5, 2020, we entered into a Program Management Agreement with MetaBank, N.A. (“Meta”), a wholly-owned subsidiary of Meta Financial Group, Inc. Under the Meta Program Management Agreement and its ancillary agreements and related product schedules, Meta will act as the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824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Q2 FY2021 Form 10-Q</w:t>
      </w:r>
      <w:r>
        <w:rPr>
          <w:rFonts w:ascii="Arial" w:cs="Arial" w:eastAsia="Arial" w:hAnsi="Arial"/>
          <w:sz w:val="14"/>
          <w:szCs w:val="14"/>
          <w:b w:val="1"/>
          <w:bCs w:val="1"/>
          <w:color w:val="auto"/>
        </w:rPr>
        <w:t xml:space="preserve">  </w:t>
      </w:r>
      <w:r>
        <w:rPr>
          <w:rFonts w:ascii="Arial" w:cs="Arial" w:eastAsia="Arial" w:hAnsi="Arial"/>
          <w:sz w:val="14"/>
          <w:szCs w:val="14"/>
          <w:color w:val="FFFFFF"/>
          <w:highlight w:val="black"/>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145415</wp:posOffset>
            </wp:positionV>
            <wp:extent cx="713359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3590" cy="17145"/>
                    </a:xfrm>
                    <a:prstGeom prst="rect">
                      <a:avLst/>
                    </a:prstGeom>
                    <a:noFill/>
                  </pic:spPr>
                </pic:pic>
              </a:graphicData>
            </a:graphic>
          </wp:anchor>
        </w:drawing>
        <w:drawing>
          <wp:anchor simplePos="0" relativeHeight="251657728" behindDoc="1" locked="0" layoutInCell="0" allowOverlap="1">
            <wp:simplePos x="0" y="0"/>
            <wp:positionH relativeFrom="column">
              <wp:posOffset>6917055</wp:posOffset>
            </wp:positionH>
            <wp:positionV relativeFrom="paragraph">
              <wp:posOffset>-100330</wp:posOffset>
            </wp:positionV>
            <wp:extent cx="220980" cy="1187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20980" cy="118745"/>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21" w:name="page22"/>
    <w:bookmarkEnd w:id="2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provider of H&amp;R Block-branded financial products, including Emerald Advance</w:t>
      </w:r>
      <w:r>
        <w:rPr>
          <w:rFonts w:ascii="Arial" w:cs="Arial" w:eastAsia="Arial" w:hAnsi="Arial"/>
          <w:sz w:val="23"/>
          <w:szCs w:val="23"/>
          <w:color w:val="auto"/>
          <w:vertAlign w:val="superscript"/>
        </w:rPr>
        <w:t>TM</w:t>
      </w:r>
      <w:r>
        <w:rPr>
          <w:rFonts w:ascii="Arial" w:cs="Arial" w:eastAsia="Arial" w:hAnsi="Arial"/>
          <w:sz w:val="18"/>
          <w:szCs w:val="18"/>
          <w:color w:val="auto"/>
        </w:rPr>
        <w:t>, Emerald Card, Emerald Savings, Refund Advance, and Refund Transfer in the United States.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11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a result of the COVID-19 pandemic, on March 21, 2020, the federal tax filing deadline in the U.S. for individual 2019 tax returns was extended from April 15, 2020 to July 15, 2020, and substantially all U.S. states with an April 15 individual state income tax filing requirement extended their respective deadlines. In Canada, the deadline for individuals to file was extended to June 1, 2020. In addition, governments around the world have taken a variety of actions to contain the spread of COVID-19. Jurisdictions in which we operate imposed, and continue to impose, various restrictions on our business, including capacity and other operational limitations, social distancing requirements, and in limited instances required us to close certain offices. One of our top priorities has been providing for the health and safety of our clients, associates, and franchisees, while still providing taxpayers access to help in getting their refunds during this difficult economic time. These events have impacted the typical seasonality of our business and the comparability of our financial results. Consequently, a portion of revenues and expenses that would have normally been recognized in our fourth quarter of fiscal year 2020 shifted to the first two quarters of fiscal year 2021.</w:t>
      </w:r>
    </w:p>
    <w:p>
      <w:pPr>
        <w:spacing w:after="0" w:line="76" w:lineRule="exact"/>
        <w:rPr>
          <w:sz w:val="20"/>
          <w:szCs w:val="20"/>
          <w:color w:val="auto"/>
        </w:rPr>
      </w:pPr>
    </w:p>
    <w:p>
      <w:pPr>
        <w:jc w:val="both"/>
        <w:ind w:firstLine="161"/>
        <w:spacing w:after="0" w:line="267" w:lineRule="auto"/>
        <w:rPr>
          <w:sz w:val="20"/>
          <w:szCs w:val="20"/>
          <w:color w:val="auto"/>
        </w:rPr>
      </w:pPr>
      <w:r>
        <w:rPr>
          <w:rFonts w:ascii="Arial" w:cs="Arial" w:eastAsia="Arial" w:hAnsi="Arial"/>
          <w:sz w:val="18"/>
          <w:szCs w:val="18"/>
          <w:color w:val="auto"/>
        </w:rPr>
        <w:t>As we continued to finish out the tax season in the first quarter of fiscal year 2021, we had more offices open, increased office hours, and had more tax professionals than we would typically have during this period. However, this was less than we would typically have during a tax season to serve clients.</w:t>
      </w:r>
    </w:p>
    <w:p>
      <w:pPr>
        <w:spacing w:after="0" w:line="59" w:lineRule="exact"/>
        <w:rPr>
          <w:sz w:val="20"/>
          <w:szCs w:val="20"/>
          <w:color w:val="auto"/>
        </w:rPr>
      </w:pPr>
    </w:p>
    <w:p>
      <w:pPr>
        <w:jc w:val="both"/>
        <w:ind w:right="20" w:firstLine="241"/>
        <w:spacing w:after="0" w:line="286" w:lineRule="auto"/>
        <w:rPr>
          <w:sz w:val="20"/>
          <w:szCs w:val="20"/>
          <w:color w:val="auto"/>
        </w:rPr>
      </w:pPr>
      <w:r>
        <w:rPr>
          <w:rFonts w:ascii="Arial" w:cs="Arial" w:eastAsia="Arial" w:hAnsi="Arial"/>
          <w:sz w:val="18"/>
          <w:szCs w:val="18"/>
          <w:color w:val="auto"/>
        </w:rPr>
        <w:t>Due to the extension of the tax season, our revenues for the six months ended October 31, 2020, increased $466.4 million, or 149.9%, when compared to the prior year period and we recorded pretax loss of $113.0 million compared to $468.4 million in the prior year.</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subsidiaries provide assisted and DIY tax preparation solutions through multiple channels (including in-person, online and mobile applications, virtual, and desktop software) and distribute H&amp;R Block-branded products and services, including those of our financial partners, to the general public primarily in the U.S., Canada and Australia. Tax returns are either prepared by H&amp;R Block tax professionals (in company-owned or franchise offices, virtually or via an internet review) or prepared and filed by our clients through our DIY tax solutions. We also offer small business financial solutions through our company-owned or franchise offices and online through Wave. We report a single segment that includes all of our continuing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60" w:hanging="265"/>
        <w:spacing w:after="0"/>
        <w:tabs>
          <w:tab w:leader="none" w:pos="360" w:val="left"/>
        </w:tabs>
        <w:numPr>
          <w:ilvl w:val="0"/>
          <w:numId w:val="17"/>
        </w:numPr>
        <w:rPr>
          <w:rFonts w:ascii="Arial" w:cs="Arial" w:eastAsia="Arial" w:hAnsi="Arial"/>
          <w:sz w:val="14"/>
          <w:szCs w:val="14"/>
          <w:color w:val="FFFFFF"/>
          <w:highlight w:val="black"/>
        </w:rPr>
      </w:pPr>
      <w:r>
        <w:rPr>
          <w:rFonts w:ascii="Arial" w:cs="Arial" w:eastAsia="Arial" w:hAnsi="Arial"/>
          <w:sz w:val="14"/>
          <w:szCs w:val="14"/>
          <w:color w:val="auto"/>
        </w:rPr>
        <w:t xml:space="preserve">Q2 FY2021 Form 10-Q | </w:t>
      </w:r>
      <w:r>
        <w:rPr>
          <w:rFonts w:ascii="Arial" w:cs="Arial" w:eastAsia="Arial" w:hAnsi="Arial"/>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145415</wp:posOffset>
            </wp:positionV>
            <wp:extent cx="713359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3590"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-100330</wp:posOffset>
            </wp:positionV>
            <wp:extent cx="212725" cy="1187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12725" cy="118745"/>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22" w:name="page23"/>
    <w:bookmarkEnd w:id="2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787400</wp:posOffset>
            </wp:positionV>
            <wp:extent cx="709104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910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U.S. Operating Statistics</w:t>
      </w:r>
    </w:p>
    <w:p>
      <w:pPr>
        <w:spacing w:after="0" w:line="37" w:lineRule="exact"/>
        <w:rPr>
          <w:sz w:val="20"/>
          <w:szCs w:val="20"/>
          <w:color w:val="auto"/>
        </w:rPr>
      </w:pPr>
    </w:p>
    <w:tbl>
      <w:tblPr>
        <w:tblLayout w:type="fixed"/>
        <w:tblInd w:w="40" w:type="dxa"/>
        <w:tblCellMar>
          <w:top w:w="0" w:type="dxa"/>
          <w:left w:w="0" w:type="dxa"/>
          <w:bottom w:w="0" w:type="dxa"/>
          <w:right w:w="0" w:type="dxa"/>
        </w:tblCellMar>
      </w:tblPr>
      <w:tr>
        <w:trPr>
          <w:trHeight w:val="208"/>
        </w:trPr>
        <w:tc>
          <w:tcPr>
            <w:tcW w:w="5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Six months ended October 31,</w:t>
            </w:r>
          </w:p>
        </w:tc>
        <w:tc>
          <w:tcPr>
            <w:tcW w:w="4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340" w:type="dxa"/>
            <w:vAlign w:val="bottom"/>
            <w:tcBorders>
              <w:top w:val="single" w:sz="8" w:color="auto"/>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2019</w:t>
            </w:r>
          </w:p>
        </w:tc>
        <w:tc>
          <w:tcPr>
            <w:tcW w:w="12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Change</w:t>
            </w:r>
          </w:p>
        </w:tc>
        <w:tc>
          <w:tcPr>
            <w:tcW w:w="120" w:type="dxa"/>
            <w:vAlign w:val="bottom"/>
            <w:tcBorders>
              <w:top w:val="single" w:sz="8" w:color="auto"/>
              <w:bottom w:val="single" w:sz="8" w:color="CCEEFF"/>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 Change</w:t>
            </w:r>
          </w:p>
        </w:tc>
      </w:tr>
      <w:tr>
        <w:trPr>
          <w:trHeight w:val="208"/>
        </w:trPr>
        <w:tc>
          <w:tcPr>
            <w:tcW w:w="5340" w:type="dxa"/>
            <w:vAlign w:val="bottom"/>
            <w:shd w:val="clear" w:color="auto" w:fill="CCEEFF"/>
          </w:tcPr>
          <w:p>
            <w:pPr>
              <w:ind w:left="20"/>
              <w:spacing w:after="0" w:line="207" w:lineRule="exact"/>
              <w:rPr>
                <w:sz w:val="20"/>
                <w:szCs w:val="20"/>
                <w:color w:val="auto"/>
              </w:rPr>
            </w:pPr>
            <w:r>
              <w:rPr>
                <w:rFonts w:ascii="Arial" w:cs="Arial" w:eastAsia="Arial" w:hAnsi="Arial"/>
                <w:sz w:val="16"/>
                <w:szCs w:val="16"/>
                <w:color w:val="auto"/>
              </w:rPr>
              <w:t xml:space="preserve">Tax returns prepared: (in 000s) </w:t>
            </w:r>
            <w:r>
              <w:rPr>
                <w:rFonts w:ascii="Arial" w:cs="Arial" w:eastAsia="Arial" w:hAnsi="Arial"/>
                <w:sz w:val="20"/>
                <w:szCs w:val="20"/>
                <w:color w:val="auto"/>
                <w:vertAlign w:val="superscript"/>
              </w:rPr>
              <w:t>(1)</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4"/>
        </w:trPr>
        <w:tc>
          <w:tcPr>
            <w:tcW w:w="5340" w:type="dxa"/>
            <w:vAlign w:val="bottom"/>
          </w:tcPr>
          <w:p>
            <w:pPr>
              <w:ind w:left="220"/>
              <w:spacing w:after="0"/>
              <w:rPr>
                <w:sz w:val="20"/>
                <w:szCs w:val="20"/>
                <w:color w:val="auto"/>
              </w:rPr>
            </w:pPr>
            <w:r>
              <w:rPr>
                <w:rFonts w:ascii="Arial" w:cs="Arial" w:eastAsia="Arial" w:hAnsi="Arial"/>
                <w:sz w:val="16"/>
                <w:szCs w:val="16"/>
                <w:color w:val="auto"/>
              </w:rPr>
              <w:t>Company-owned operations</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1,632</w:t>
            </w: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289</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1,343</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464.7 %</w:t>
            </w:r>
          </w:p>
        </w:tc>
      </w:tr>
      <w:tr>
        <w:trPr>
          <w:trHeight w:val="214"/>
        </w:trPr>
        <w:tc>
          <w:tcPr>
            <w:tcW w:w="5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Franchise operations</w:t>
            </w:r>
          </w:p>
        </w:tc>
        <w:tc>
          <w:tcPr>
            <w:tcW w:w="4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641</w:t>
            </w:r>
          </w:p>
        </w:tc>
        <w:tc>
          <w:tcPr>
            <w:tcW w:w="34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481</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300.6 %</w:t>
            </w:r>
          </w:p>
        </w:tc>
      </w:tr>
      <w:tr>
        <w:trPr>
          <w:trHeight w:val="246"/>
        </w:trPr>
        <w:tc>
          <w:tcPr>
            <w:tcW w:w="53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Total assisted</w:t>
            </w:r>
          </w:p>
        </w:tc>
        <w:tc>
          <w:tcPr>
            <w:tcW w:w="4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2,273</w:t>
            </w:r>
          </w:p>
        </w:tc>
        <w:tc>
          <w:tcPr>
            <w:tcW w:w="34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449</w:t>
            </w:r>
          </w:p>
        </w:tc>
        <w:tc>
          <w:tcPr>
            <w:tcW w:w="1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1,824</w:t>
            </w:r>
          </w:p>
        </w:tc>
        <w:tc>
          <w:tcPr>
            <w:tcW w:w="15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406.2 %</w:t>
            </w:r>
          </w:p>
        </w:tc>
      </w:tr>
      <w:tr>
        <w:trPr>
          <w:trHeight w:val="214"/>
        </w:trPr>
        <w:tc>
          <w:tcPr>
            <w:tcW w:w="5340" w:type="dxa"/>
            <w:vAlign w:val="bottom"/>
            <w:tcBorders>
              <w:top w:val="single" w:sz="8" w:color="CCEEFF"/>
            </w:tcBorders>
          </w:tcPr>
          <w:p>
            <w:pPr>
              <w:ind w:left="220"/>
              <w:spacing w:after="0"/>
              <w:rPr>
                <w:sz w:val="20"/>
                <w:szCs w:val="20"/>
                <w:color w:val="auto"/>
              </w:rPr>
            </w:pPr>
            <w:r>
              <w:rPr>
                <w:rFonts w:ascii="Arial" w:cs="Arial" w:eastAsia="Arial" w:hAnsi="Arial"/>
                <w:sz w:val="16"/>
                <w:szCs w:val="16"/>
                <w:color w:val="auto"/>
              </w:rPr>
              <w:t>Desktop</w:t>
            </w:r>
          </w:p>
        </w:tc>
        <w:tc>
          <w:tcPr>
            <w:tcW w:w="40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jc w:val="right"/>
              <w:spacing w:after="0"/>
              <w:rPr>
                <w:sz w:val="20"/>
                <w:szCs w:val="20"/>
                <w:color w:val="auto"/>
              </w:rPr>
            </w:pPr>
            <w:r>
              <w:rPr>
                <w:rFonts w:ascii="Arial" w:cs="Arial" w:eastAsia="Arial" w:hAnsi="Arial"/>
                <w:sz w:val="16"/>
                <w:szCs w:val="16"/>
                <w:b w:val="1"/>
                <w:bCs w:val="1"/>
                <w:color w:val="auto"/>
              </w:rPr>
              <w:t>521</w:t>
            </w:r>
          </w:p>
        </w:tc>
        <w:tc>
          <w:tcPr>
            <w:tcW w:w="3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50</w:t>
            </w: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471</w:t>
            </w:r>
          </w:p>
        </w:tc>
        <w:tc>
          <w:tcPr>
            <w:tcW w:w="1520" w:type="dxa"/>
            <w:vAlign w:val="bottom"/>
            <w:tcBorders>
              <w:top w:val="single" w:sz="8" w:color="CCEEFF"/>
            </w:tcBorders>
            <w:gridSpan w:val="2"/>
          </w:tcPr>
          <w:p>
            <w:pPr>
              <w:jc w:val="right"/>
              <w:spacing w:after="0"/>
              <w:rPr>
                <w:sz w:val="20"/>
                <w:szCs w:val="20"/>
                <w:color w:val="auto"/>
              </w:rPr>
            </w:pPr>
            <w:r>
              <w:rPr>
                <w:rFonts w:ascii="Arial" w:cs="Arial" w:eastAsia="Arial" w:hAnsi="Arial"/>
                <w:sz w:val="16"/>
                <w:szCs w:val="16"/>
                <w:color w:val="auto"/>
              </w:rPr>
              <w:t>942.0 %</w:t>
            </w:r>
          </w:p>
        </w:tc>
      </w:tr>
      <w:tr>
        <w:trPr>
          <w:trHeight w:val="214"/>
        </w:trPr>
        <w:tc>
          <w:tcPr>
            <w:tcW w:w="5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Online</w:t>
            </w:r>
          </w:p>
        </w:tc>
        <w:tc>
          <w:tcPr>
            <w:tcW w:w="4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1,079</w:t>
            </w:r>
          </w:p>
        </w:tc>
        <w:tc>
          <w:tcPr>
            <w:tcW w:w="34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979</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979.0 %</w:t>
            </w:r>
          </w:p>
        </w:tc>
      </w:tr>
      <w:tr>
        <w:trPr>
          <w:trHeight w:val="246"/>
        </w:trPr>
        <w:tc>
          <w:tcPr>
            <w:tcW w:w="53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Total DIY</w:t>
            </w:r>
          </w:p>
        </w:tc>
        <w:tc>
          <w:tcPr>
            <w:tcW w:w="4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1,600</w:t>
            </w:r>
          </w:p>
        </w:tc>
        <w:tc>
          <w:tcPr>
            <w:tcW w:w="34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w:t>
            </w:r>
          </w:p>
        </w:tc>
        <w:tc>
          <w:tcPr>
            <w:tcW w:w="1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1,450</w:t>
            </w:r>
          </w:p>
        </w:tc>
        <w:tc>
          <w:tcPr>
            <w:tcW w:w="15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966.7 %</w:t>
            </w:r>
          </w:p>
        </w:tc>
      </w:tr>
      <w:tr>
        <w:trPr>
          <w:trHeight w:val="253"/>
        </w:trPr>
        <w:tc>
          <w:tcPr>
            <w:tcW w:w="5340" w:type="dxa"/>
            <w:vAlign w:val="bottom"/>
            <w:tcBorders>
              <w:top w:val="single" w:sz="8" w:color="CCEEFF"/>
              <w:bottom w:val="single" w:sz="8" w:color="CCEEFF"/>
            </w:tcBorders>
          </w:tcPr>
          <w:p>
            <w:pPr>
              <w:ind w:left="140"/>
              <w:spacing w:after="0"/>
              <w:rPr>
                <w:sz w:val="20"/>
                <w:szCs w:val="20"/>
                <w:color w:val="auto"/>
              </w:rPr>
            </w:pPr>
            <w:r>
              <w:rPr>
                <w:rFonts w:ascii="Arial" w:cs="Arial" w:eastAsia="Arial" w:hAnsi="Arial"/>
                <w:sz w:val="16"/>
                <w:szCs w:val="16"/>
                <w:color w:val="auto"/>
              </w:rPr>
              <w:t>Total U.S. Returns</w:t>
            </w:r>
          </w:p>
        </w:tc>
        <w:tc>
          <w:tcPr>
            <w:tcW w:w="400" w:type="dxa"/>
            <w:vAlign w:val="bottom"/>
            <w:tcBorders>
              <w:top w:val="single" w:sz="8" w:color="CCEEFF"/>
              <w:bottom w:val="single" w:sz="8" w:color="auto"/>
            </w:tcBorders>
          </w:tcPr>
          <w:p>
            <w:pPr>
              <w:spacing w:after="0"/>
              <w:rPr>
                <w:sz w:val="21"/>
                <w:szCs w:val="21"/>
                <w:color w:val="auto"/>
              </w:rPr>
            </w:pPr>
          </w:p>
        </w:tc>
        <w:tc>
          <w:tcPr>
            <w:tcW w:w="88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6"/>
                <w:szCs w:val="16"/>
                <w:b w:val="1"/>
                <w:bCs w:val="1"/>
                <w:color w:val="auto"/>
              </w:rPr>
              <w:t>3,873</w:t>
            </w:r>
          </w:p>
        </w:tc>
        <w:tc>
          <w:tcPr>
            <w:tcW w:w="340" w:type="dxa"/>
            <w:vAlign w:val="bottom"/>
            <w:tcBorders>
              <w:top w:val="single" w:sz="8" w:color="CCEEFF"/>
              <w:bottom w:val="single" w:sz="8" w:color="CCEEFF"/>
            </w:tcBorders>
          </w:tcPr>
          <w:p>
            <w:pPr>
              <w:spacing w:after="0"/>
              <w:rPr>
                <w:sz w:val="21"/>
                <w:szCs w:val="21"/>
                <w:color w:val="auto"/>
              </w:rPr>
            </w:pPr>
          </w:p>
        </w:tc>
        <w:tc>
          <w:tcPr>
            <w:tcW w:w="420" w:type="dxa"/>
            <w:vAlign w:val="bottom"/>
            <w:tcBorders>
              <w:top w:val="single" w:sz="8" w:color="CCEEFF"/>
              <w:bottom w:val="single" w:sz="8" w:color="auto"/>
            </w:tcBorders>
          </w:tcPr>
          <w:p>
            <w:pPr>
              <w:spacing w:after="0"/>
              <w:rPr>
                <w:sz w:val="21"/>
                <w:szCs w:val="21"/>
                <w:color w:val="auto"/>
              </w:rPr>
            </w:pPr>
          </w:p>
        </w:tc>
        <w:tc>
          <w:tcPr>
            <w:tcW w:w="88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6"/>
                <w:szCs w:val="16"/>
                <w:color w:val="auto"/>
              </w:rPr>
              <w:t>599</w:t>
            </w:r>
          </w:p>
        </w:tc>
        <w:tc>
          <w:tcPr>
            <w:tcW w:w="120" w:type="dxa"/>
            <w:vAlign w:val="bottom"/>
            <w:tcBorders>
              <w:top w:val="single" w:sz="8" w:color="CCEEFF"/>
              <w:bottom w:val="single" w:sz="8" w:color="CCEEFF"/>
            </w:tcBorders>
          </w:tcPr>
          <w:p>
            <w:pPr>
              <w:spacing w:after="0"/>
              <w:rPr>
                <w:sz w:val="21"/>
                <w:szCs w:val="21"/>
                <w:color w:val="auto"/>
              </w:rPr>
            </w:pPr>
          </w:p>
        </w:tc>
        <w:tc>
          <w:tcPr>
            <w:tcW w:w="400" w:type="dxa"/>
            <w:vAlign w:val="bottom"/>
            <w:tcBorders>
              <w:top w:val="single" w:sz="8" w:color="CCEEFF"/>
              <w:bottom w:val="single" w:sz="8" w:color="auto"/>
            </w:tcBorders>
          </w:tcPr>
          <w:p>
            <w:pPr>
              <w:spacing w:after="0"/>
              <w:rPr>
                <w:sz w:val="21"/>
                <w:szCs w:val="21"/>
                <w:color w:val="auto"/>
              </w:rPr>
            </w:pPr>
          </w:p>
        </w:tc>
        <w:tc>
          <w:tcPr>
            <w:tcW w:w="88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6"/>
                <w:szCs w:val="16"/>
                <w:color w:val="auto"/>
              </w:rPr>
              <w:t>3,274</w:t>
            </w:r>
          </w:p>
        </w:tc>
        <w:tc>
          <w:tcPr>
            <w:tcW w:w="1520" w:type="dxa"/>
            <w:vAlign w:val="bottom"/>
            <w:tcBorders>
              <w:top w:val="single" w:sz="8" w:color="CCEEFF"/>
              <w:bottom w:val="single" w:sz="8" w:color="CCEEFF"/>
            </w:tcBorders>
            <w:gridSpan w:val="2"/>
          </w:tcPr>
          <w:p>
            <w:pPr>
              <w:jc w:val="right"/>
              <w:spacing w:after="0"/>
              <w:rPr>
                <w:sz w:val="20"/>
                <w:szCs w:val="20"/>
                <w:color w:val="auto"/>
              </w:rPr>
            </w:pPr>
            <w:r>
              <w:rPr>
                <w:rFonts w:ascii="Arial" w:cs="Arial" w:eastAsia="Arial" w:hAnsi="Arial"/>
                <w:sz w:val="16"/>
                <w:szCs w:val="16"/>
                <w:color w:val="auto"/>
              </w:rPr>
              <w:t>546.6 %</w:t>
            </w:r>
          </w:p>
        </w:tc>
      </w:tr>
      <w:tr>
        <w:trPr>
          <w:trHeight w:val="214"/>
        </w:trPr>
        <w:tc>
          <w:tcPr>
            <w:tcW w:w="5340" w:type="dxa"/>
            <w:vAlign w:val="bottom"/>
            <w:tcBorders>
              <w:top w:val="single" w:sz="8" w:color="CCEEFF"/>
            </w:tcBorders>
          </w:tcPr>
          <w:p>
            <w:pPr>
              <w:ind w:left="20"/>
              <w:spacing w:after="0" w:line="214" w:lineRule="exact"/>
              <w:rPr>
                <w:sz w:val="20"/>
                <w:szCs w:val="20"/>
                <w:color w:val="auto"/>
              </w:rPr>
            </w:pPr>
            <w:r>
              <w:rPr>
                <w:rFonts w:ascii="Arial" w:cs="Arial" w:eastAsia="Arial" w:hAnsi="Arial"/>
                <w:sz w:val="16"/>
                <w:szCs w:val="16"/>
                <w:color w:val="auto"/>
              </w:rPr>
              <w:t xml:space="preserve">Net Average Charge: </w:t>
            </w:r>
            <w:r>
              <w:rPr>
                <w:rFonts w:ascii="Arial" w:cs="Arial" w:eastAsia="Arial" w:hAnsi="Arial"/>
                <w:sz w:val="20"/>
                <w:szCs w:val="20"/>
                <w:color w:val="auto"/>
                <w:vertAlign w:val="superscript"/>
              </w:rPr>
              <w:t>(2)</w:t>
            </w:r>
          </w:p>
        </w:tc>
        <w:tc>
          <w:tcPr>
            <w:tcW w:w="40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r>
      <w:tr>
        <w:trPr>
          <w:trHeight w:val="214"/>
        </w:trPr>
        <w:tc>
          <w:tcPr>
            <w:tcW w:w="5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Company-owned operations</w:t>
            </w:r>
          </w:p>
        </w:tc>
        <w:tc>
          <w:tcPr>
            <w:tcW w:w="400" w:type="dxa"/>
            <w:vAlign w:val="bottom"/>
            <w:shd w:val="clear" w:color="auto" w:fill="CCEEFF"/>
          </w:tcPr>
          <w:p>
            <w:pPr>
              <w:jc w:val="right"/>
              <w:ind w:right="220"/>
              <w:spacing w:after="0"/>
              <w:rPr>
                <w:sz w:val="20"/>
                <w:szCs w:val="20"/>
                <w:color w:val="auto"/>
              </w:rPr>
            </w:pPr>
            <w:r>
              <w:rPr>
                <w:rFonts w:ascii="Arial" w:cs="Arial" w:eastAsia="Arial" w:hAnsi="Arial"/>
                <w:sz w:val="16"/>
                <w:szCs w:val="16"/>
                <w:b w:val="1"/>
                <w:bCs w:val="1"/>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237.49</w:t>
            </w: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268.37</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(30.88)</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(11.5)%</w:t>
            </w:r>
          </w:p>
        </w:tc>
      </w:tr>
      <w:tr>
        <w:trPr>
          <w:trHeight w:val="214"/>
        </w:trPr>
        <w:tc>
          <w:tcPr>
            <w:tcW w:w="5340" w:type="dxa"/>
            <w:vAlign w:val="bottom"/>
          </w:tcPr>
          <w:p>
            <w:pPr>
              <w:ind w:left="140"/>
              <w:spacing w:after="0" w:line="214" w:lineRule="exact"/>
              <w:rPr>
                <w:sz w:val="20"/>
                <w:szCs w:val="20"/>
                <w:color w:val="auto"/>
              </w:rPr>
            </w:pPr>
            <w:r>
              <w:rPr>
                <w:rFonts w:ascii="Arial" w:cs="Arial" w:eastAsia="Arial" w:hAnsi="Arial"/>
                <w:sz w:val="16"/>
                <w:szCs w:val="16"/>
                <w:color w:val="auto"/>
              </w:rPr>
              <w:t xml:space="preserve">Franchise operations </w:t>
            </w:r>
            <w:r>
              <w:rPr>
                <w:rFonts w:ascii="Arial" w:cs="Arial" w:eastAsia="Arial" w:hAnsi="Arial"/>
                <w:sz w:val="20"/>
                <w:szCs w:val="20"/>
                <w:color w:val="auto"/>
                <w:vertAlign w:val="superscript"/>
              </w:rPr>
              <w:t>(3)</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226.69</w:t>
            </w: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263.47</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(36.78)</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(14.0)%</w:t>
            </w:r>
          </w:p>
        </w:tc>
      </w:tr>
      <w:tr>
        <w:trPr>
          <w:trHeight w:val="214"/>
        </w:trPr>
        <w:tc>
          <w:tcPr>
            <w:tcW w:w="5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DIY</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45.41</w:t>
            </w: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52.97</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(7.56)</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(14.3)%</w:t>
            </w:r>
          </w:p>
        </w:tc>
      </w:tr>
      <w:tr>
        <w:trPr>
          <w:trHeight w:val="94"/>
        </w:trPr>
        <w:tc>
          <w:tcPr>
            <w:tcW w:w="53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r>
    </w:tbl>
    <w:p>
      <w:pPr>
        <w:spacing w:after="0" w:line="54" w:lineRule="exact"/>
        <w:rPr>
          <w:sz w:val="20"/>
          <w:szCs w:val="20"/>
          <w:color w:val="auto"/>
        </w:rPr>
      </w:pPr>
    </w:p>
    <w:p>
      <w:pPr>
        <w:jc w:val="both"/>
        <w:ind w:left="160" w:hanging="153"/>
        <w:spacing w:after="0" w:line="246" w:lineRule="auto"/>
        <w:tabs>
          <w:tab w:leader="none" w:pos="320" w:val="left"/>
        </w:tabs>
        <w:numPr>
          <w:ilvl w:val="0"/>
          <w:numId w:val="18"/>
        </w:numPr>
        <w:rPr>
          <w:rFonts w:ascii="Arial" w:cs="Arial" w:eastAsia="Arial" w:hAnsi="Arial"/>
          <w:sz w:val="9"/>
          <w:szCs w:val="9"/>
          <w:color w:val="auto"/>
        </w:rPr>
      </w:pPr>
      <w:r>
        <w:rPr>
          <w:rFonts w:ascii="Arial" w:cs="Arial" w:eastAsia="Arial" w:hAnsi="Arial"/>
          <w:sz w:val="14"/>
          <w:szCs w:val="14"/>
          <w:color w:val="auto"/>
        </w:rPr>
        <w:t>An assisted tax return is defined as a current or prior year individual tax return that has been accepted and paid for by the client. Also included are Tax Pro Go</w:t>
      </w:r>
      <w:r>
        <w:rPr>
          <w:rFonts w:ascii="Arial" w:cs="Arial" w:eastAsia="Arial" w:hAnsi="Arial"/>
          <w:sz w:val="9"/>
          <w:szCs w:val="9"/>
          <w:color w:val="auto"/>
        </w:rPr>
        <w:t>SM</w:t>
      </w:r>
      <w:r>
        <w:rPr>
          <w:rFonts w:ascii="Arial" w:cs="Arial" w:eastAsia="Arial" w:hAnsi="Arial"/>
          <w:sz w:val="14"/>
          <w:szCs w:val="14"/>
          <w:color w:val="auto"/>
        </w:rPr>
        <w:t>, Tax Pro Review®, and business returns. A DIY return is defined as a return that has been electronically filed and accepted by the IRS, including online returns paid and printed. Returns of 208 thousand and 21 thousand for the periods ending October 31, 2020 and 2019, respectively, filed using the IRS Free File program have been excluded as we will no longer participate in the program after October 2020.</w:t>
      </w:r>
    </w:p>
    <w:p>
      <w:pPr>
        <w:ind w:left="280" w:hanging="273"/>
        <w:spacing w:after="0"/>
        <w:tabs>
          <w:tab w:leader="none" w:pos="280" w:val="left"/>
        </w:tabs>
        <w:numPr>
          <w:ilvl w:val="0"/>
          <w:numId w:val="18"/>
        </w:numPr>
        <w:rPr>
          <w:rFonts w:ascii="Arial" w:cs="Arial" w:eastAsia="Arial" w:hAnsi="Arial"/>
          <w:sz w:val="9"/>
          <w:szCs w:val="9"/>
          <w:color w:val="auto"/>
        </w:rPr>
      </w:pPr>
      <w:r>
        <w:rPr>
          <w:rFonts w:ascii="Arial" w:cs="Arial" w:eastAsia="Arial" w:hAnsi="Arial"/>
          <w:sz w:val="14"/>
          <w:szCs w:val="14"/>
          <w:color w:val="auto"/>
        </w:rPr>
        <w:t>Net average charge is calculated as tax preparation fees divided by tax returns prepared.</w:t>
      </w:r>
    </w:p>
    <w:p>
      <w:pPr>
        <w:ind w:left="160" w:hanging="153"/>
        <w:spacing w:after="0" w:line="260" w:lineRule="auto"/>
        <w:tabs>
          <w:tab w:leader="none" w:pos="289" w:val="left"/>
        </w:tabs>
        <w:numPr>
          <w:ilvl w:val="0"/>
          <w:numId w:val="18"/>
        </w:numPr>
        <w:rPr>
          <w:rFonts w:ascii="Arial" w:cs="Arial" w:eastAsia="Arial" w:hAnsi="Arial"/>
          <w:sz w:val="9"/>
          <w:szCs w:val="9"/>
          <w:color w:val="auto"/>
        </w:rPr>
      </w:pPr>
      <w:r>
        <w:rPr>
          <w:rFonts w:ascii="Arial" w:cs="Arial" w:eastAsia="Arial" w:hAnsi="Arial"/>
          <w:sz w:val="14"/>
          <w:szCs w:val="14"/>
          <w:color w:val="auto"/>
        </w:rPr>
        <w:t>Net average charge related to H&amp;R Block Franchise operations represents tax preparation fees collected by H&amp;R Block franchisees divided by returns prepared in franchise offices. H&amp;R Block will recognize a portion of franchise revenues as franchise royalties based on the terms of franchise agreements.</w:t>
      </w:r>
    </w:p>
    <w:p>
      <w:pPr>
        <w:spacing w:after="0" w:line="52" w:lineRule="exact"/>
        <w:rPr>
          <w:sz w:val="20"/>
          <w:szCs w:val="20"/>
          <w:color w:val="auto"/>
        </w:rPr>
      </w:pPr>
    </w:p>
    <w:p>
      <w:pPr>
        <w:jc w:val="both"/>
        <w:ind w:firstLine="241"/>
        <w:spacing w:after="0" w:line="267" w:lineRule="auto"/>
        <w:rPr>
          <w:sz w:val="20"/>
          <w:szCs w:val="20"/>
          <w:color w:val="auto"/>
        </w:rPr>
      </w:pPr>
      <w:r>
        <w:rPr>
          <w:rFonts w:ascii="Arial" w:cs="Arial" w:eastAsia="Arial" w:hAnsi="Arial"/>
          <w:sz w:val="18"/>
          <w:szCs w:val="18"/>
          <w:color w:val="auto"/>
        </w:rPr>
        <w:t>We provide net average charge as a key operating metric because we consider it an important supplemental measure useful to analysts, investors, and other interested parties as it provides insights into pricing and tax return mix relative to our customer base, which are significant drivers of revenue. Our definition of net average charge may not be comparable to similarly titled measures of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824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Q2 FY2021 Form 10-Q</w:t>
      </w:r>
      <w:r>
        <w:rPr>
          <w:rFonts w:ascii="Arial" w:cs="Arial" w:eastAsia="Arial" w:hAnsi="Arial"/>
          <w:sz w:val="14"/>
          <w:szCs w:val="14"/>
          <w:b w:val="1"/>
          <w:bCs w:val="1"/>
          <w:color w:val="auto"/>
        </w:rPr>
        <w:t xml:space="preserve">  </w:t>
      </w:r>
      <w:r>
        <w:rPr>
          <w:rFonts w:ascii="Arial" w:cs="Arial" w:eastAsia="Arial" w:hAnsi="Arial"/>
          <w:sz w:val="14"/>
          <w:szCs w:val="14"/>
          <w:color w:val="FFFFFF"/>
          <w:highlight w:val="black"/>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137160</wp:posOffset>
            </wp:positionV>
            <wp:extent cx="713359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3590" cy="17145"/>
                    </a:xfrm>
                    <a:prstGeom prst="rect">
                      <a:avLst/>
                    </a:prstGeom>
                    <a:noFill/>
                  </pic:spPr>
                </pic:pic>
              </a:graphicData>
            </a:graphic>
          </wp:anchor>
        </w:drawing>
        <w:drawing>
          <wp:anchor simplePos="0" relativeHeight="251657728" behindDoc="1" locked="0" layoutInCell="0" allowOverlap="1">
            <wp:simplePos x="0" y="0"/>
            <wp:positionH relativeFrom="column">
              <wp:posOffset>6917055</wp:posOffset>
            </wp:positionH>
            <wp:positionV relativeFrom="paragraph">
              <wp:posOffset>-100330</wp:posOffset>
            </wp:positionV>
            <wp:extent cx="220980" cy="1187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20980" cy="118745"/>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23" w:name="page24"/>
    <w:bookmarkEnd w:id="2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6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Consolidated – Financial Results</w:t>
            </w: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26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color w:val="auto"/>
              </w:rPr>
              <w:t>(in 000s, except per share amounts)</w:t>
            </w:r>
          </w:p>
        </w:tc>
      </w:tr>
      <w:tr>
        <w:trPr>
          <w:trHeight w:val="208"/>
        </w:trPr>
        <w:tc>
          <w:tcPr>
            <w:tcW w:w="5460" w:type="dxa"/>
            <w:vAlign w:val="bottom"/>
            <w:gridSpan w:val="2"/>
          </w:tcPr>
          <w:p>
            <w:pPr>
              <w:ind w:left="20"/>
              <w:spacing w:after="0"/>
              <w:rPr>
                <w:sz w:val="20"/>
                <w:szCs w:val="20"/>
                <w:color w:val="auto"/>
              </w:rPr>
            </w:pPr>
            <w:r>
              <w:rPr>
                <w:rFonts w:ascii="Arial" w:cs="Arial" w:eastAsia="Arial" w:hAnsi="Arial"/>
                <w:sz w:val="16"/>
                <w:szCs w:val="16"/>
                <w:color w:val="auto"/>
              </w:rPr>
              <w:t>Three months ended October 31,</w:t>
            </w:r>
          </w:p>
        </w:tc>
        <w:tc>
          <w:tcPr>
            <w:tcW w:w="280" w:type="dxa"/>
            <w:vAlign w:val="bottom"/>
          </w:tcPr>
          <w:p>
            <w:pPr>
              <w:spacing w:after="0"/>
              <w:rPr>
                <w:sz w:val="18"/>
                <w:szCs w:val="18"/>
                <w:color w:val="auto"/>
              </w:rPr>
            </w:pPr>
          </w:p>
        </w:tc>
        <w:tc>
          <w:tcPr>
            <w:tcW w:w="1020" w:type="dxa"/>
            <w:vAlign w:val="bottom"/>
          </w:tcPr>
          <w:p>
            <w:pPr>
              <w:jc w:val="right"/>
              <w:ind w:right="380"/>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00"/>
              <w:spacing w:after="0"/>
              <w:rPr>
                <w:sz w:val="20"/>
                <w:szCs w:val="20"/>
                <w:color w:val="auto"/>
              </w:rPr>
            </w:pPr>
            <w:r>
              <w:rPr>
                <w:rFonts w:ascii="Arial" w:cs="Arial" w:eastAsia="Arial" w:hAnsi="Arial"/>
                <w:sz w:val="16"/>
                <w:szCs w:val="16"/>
                <w:color w:val="auto"/>
              </w:rPr>
              <w:t>2019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ind w:right="240"/>
              <w:spacing w:after="0"/>
              <w:rPr>
                <w:sz w:val="20"/>
                <w:szCs w:val="20"/>
                <w:color w:val="auto"/>
              </w:rPr>
            </w:pPr>
            <w:r>
              <w:rPr>
                <w:rFonts w:ascii="Arial" w:cs="Arial" w:eastAsia="Arial" w:hAnsi="Arial"/>
                <w:sz w:val="16"/>
                <w:szCs w:val="16"/>
                <w:color w:val="auto"/>
              </w:rPr>
              <w:t>$ Change</w:t>
            </w:r>
          </w:p>
        </w:tc>
        <w:tc>
          <w:tcPr>
            <w:tcW w:w="120" w:type="dxa"/>
            <w:vAlign w:val="bottom"/>
          </w:tcPr>
          <w:p>
            <w:pPr>
              <w:spacing w:after="0"/>
              <w:rPr>
                <w:sz w:val="18"/>
                <w:szCs w:val="18"/>
                <w:color w:val="auto"/>
              </w:rPr>
            </w:pPr>
          </w:p>
        </w:tc>
        <w:tc>
          <w:tcPr>
            <w:tcW w:w="1420" w:type="dxa"/>
            <w:vAlign w:val="bottom"/>
          </w:tcPr>
          <w:p>
            <w:pPr>
              <w:jc w:val="right"/>
              <w:ind w:right="260"/>
              <w:spacing w:after="0"/>
              <w:rPr>
                <w:sz w:val="20"/>
                <w:szCs w:val="20"/>
                <w:color w:val="auto"/>
              </w:rPr>
            </w:pPr>
            <w:r>
              <w:rPr>
                <w:rFonts w:ascii="Arial" w:cs="Arial" w:eastAsia="Arial" w:hAnsi="Arial"/>
                <w:sz w:val="16"/>
                <w:szCs w:val="16"/>
                <w:color w:val="auto"/>
              </w:rPr>
              <w:t>% Change</w:t>
            </w:r>
          </w:p>
        </w:tc>
      </w:tr>
      <w:tr>
        <w:trPr>
          <w:trHeight w:val="208"/>
        </w:trPr>
        <w:tc>
          <w:tcPr>
            <w:tcW w:w="5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r>
      <w:tr>
        <w:trPr>
          <w:trHeight w:val="214"/>
        </w:trPr>
        <w:tc>
          <w:tcPr>
            <w:tcW w:w="5460" w:type="dxa"/>
            <w:vAlign w:val="bottom"/>
            <w:gridSpan w:val="2"/>
          </w:tcPr>
          <w:p>
            <w:pPr>
              <w:ind w:left="140"/>
              <w:spacing w:after="0"/>
              <w:rPr>
                <w:sz w:val="20"/>
                <w:szCs w:val="20"/>
                <w:color w:val="auto"/>
              </w:rPr>
            </w:pPr>
            <w:r>
              <w:rPr>
                <w:rFonts w:ascii="Arial" w:cs="Arial" w:eastAsia="Arial" w:hAnsi="Arial"/>
                <w:sz w:val="16"/>
                <w:szCs w:val="16"/>
                <w:color w:val="auto"/>
              </w:rPr>
              <w:t>U.S. assisted tax preparation</w:t>
            </w:r>
          </w:p>
        </w:tc>
        <w:tc>
          <w:tcPr>
            <w:tcW w:w="280" w:type="dxa"/>
            <w:vAlign w:val="bottom"/>
          </w:tcPr>
          <w:p>
            <w:pPr>
              <w:jc w:val="right"/>
              <w:ind w:right="100"/>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48,922</w:t>
            </w:r>
          </w:p>
        </w:tc>
        <w:tc>
          <w:tcPr>
            <w:tcW w:w="120" w:type="dxa"/>
            <w:vAlign w:val="bottom"/>
          </w:tcPr>
          <w:p>
            <w:pPr>
              <w:spacing w:after="0"/>
              <w:rPr>
                <w:sz w:val="18"/>
                <w:szCs w:val="18"/>
                <w:color w:val="auto"/>
              </w:rPr>
            </w:pPr>
          </w:p>
        </w:tc>
        <w:tc>
          <w:tcPr>
            <w:tcW w:w="3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41,226</w:t>
            </w:r>
          </w:p>
        </w:tc>
        <w:tc>
          <w:tcPr>
            <w:tcW w:w="12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7,696</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18.7 %</w:t>
            </w:r>
          </w:p>
        </w:tc>
      </w:tr>
      <w:tr>
        <w:trPr>
          <w:trHeight w:val="214"/>
        </w:trPr>
        <w:tc>
          <w:tcPr>
            <w:tcW w:w="54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U.S. royalties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7,576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7,820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w:t>
            </w:r>
          </w:p>
        </w:tc>
      </w:tr>
      <w:tr>
        <w:trPr>
          <w:trHeight w:val="214"/>
        </w:trPr>
        <w:tc>
          <w:tcPr>
            <w:tcW w:w="5460" w:type="dxa"/>
            <w:vAlign w:val="bottom"/>
            <w:gridSpan w:val="2"/>
          </w:tcPr>
          <w:p>
            <w:pPr>
              <w:ind w:left="140"/>
              <w:spacing w:after="0"/>
              <w:rPr>
                <w:sz w:val="20"/>
                <w:szCs w:val="20"/>
                <w:color w:val="auto"/>
              </w:rPr>
            </w:pPr>
            <w:r>
              <w:rPr>
                <w:rFonts w:ascii="Arial" w:cs="Arial" w:eastAsia="Arial" w:hAnsi="Arial"/>
                <w:sz w:val="16"/>
                <w:szCs w:val="16"/>
                <w:color w:val="auto"/>
              </w:rPr>
              <w:t>U.S. DIY tax preparation</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5,055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4,541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514</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11.3 %</w:t>
            </w:r>
          </w:p>
        </w:tc>
      </w:tr>
      <w:tr>
        <w:trPr>
          <w:trHeight w:val="214"/>
        </w:trPr>
        <w:tc>
          <w:tcPr>
            <w:tcW w:w="54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International</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48,858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44,926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3,932</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8.8 %</w:t>
            </w:r>
          </w:p>
        </w:tc>
      </w:tr>
      <w:tr>
        <w:trPr>
          <w:trHeight w:val="214"/>
        </w:trPr>
        <w:tc>
          <w:tcPr>
            <w:tcW w:w="5460" w:type="dxa"/>
            <w:vAlign w:val="bottom"/>
            <w:gridSpan w:val="2"/>
          </w:tcPr>
          <w:p>
            <w:pPr>
              <w:ind w:left="140"/>
              <w:spacing w:after="0"/>
              <w:rPr>
                <w:sz w:val="20"/>
                <w:szCs w:val="20"/>
                <w:color w:val="auto"/>
              </w:rPr>
            </w:pPr>
            <w:r>
              <w:rPr>
                <w:rFonts w:ascii="Arial" w:cs="Arial" w:eastAsia="Arial" w:hAnsi="Arial"/>
                <w:sz w:val="16"/>
                <w:szCs w:val="16"/>
                <w:color w:val="auto"/>
              </w:rPr>
              <w:t>Refund Transfers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1,192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791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401</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50.7 %</w:t>
            </w:r>
          </w:p>
        </w:tc>
      </w:tr>
      <w:tr>
        <w:trPr>
          <w:trHeight w:val="214"/>
        </w:trPr>
        <w:tc>
          <w:tcPr>
            <w:tcW w:w="54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Emerald Card</w:t>
            </w:r>
            <w:r>
              <w:rPr>
                <w:rFonts w:ascii="Arial" w:cs="Arial" w:eastAsia="Arial" w:hAnsi="Arial"/>
                <w:sz w:val="16"/>
                <w:szCs w:val="16"/>
                <w:b w:val="1"/>
                <w:bCs w:val="1"/>
                <w:color w:val="auto"/>
              </w:rPr>
              <w:t>®</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9,795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8,616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1,179</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13.7 %</w:t>
            </w:r>
          </w:p>
        </w:tc>
      </w:tr>
      <w:tr>
        <w:trPr>
          <w:trHeight w:val="214"/>
        </w:trPr>
        <w:tc>
          <w:tcPr>
            <w:tcW w:w="5460" w:type="dxa"/>
            <w:vAlign w:val="bottom"/>
            <w:gridSpan w:val="2"/>
          </w:tcPr>
          <w:p>
            <w:pPr>
              <w:ind w:left="140"/>
              <w:spacing w:after="0"/>
              <w:rPr>
                <w:sz w:val="20"/>
                <w:szCs w:val="20"/>
                <w:color w:val="auto"/>
              </w:rPr>
            </w:pPr>
            <w:r>
              <w:rPr>
                <w:rFonts w:ascii="Arial" w:cs="Arial" w:eastAsia="Arial" w:hAnsi="Arial"/>
                <w:sz w:val="16"/>
                <w:szCs w:val="16"/>
                <w:color w:val="auto"/>
              </w:rPr>
              <w:t>Peace of Mind® Extended Service Plan</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24,775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25,660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(885)</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(3.4)%</w:t>
            </w:r>
          </w:p>
        </w:tc>
      </w:tr>
      <w:tr>
        <w:trPr>
          <w:trHeight w:val="214"/>
        </w:trPr>
        <w:tc>
          <w:tcPr>
            <w:tcW w:w="54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Tax Identity Shield®</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4,835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4.0 %</w:t>
            </w:r>
          </w:p>
        </w:tc>
      </w:tr>
      <w:tr>
        <w:trPr>
          <w:trHeight w:val="214"/>
        </w:trPr>
        <w:tc>
          <w:tcPr>
            <w:tcW w:w="5460" w:type="dxa"/>
            <w:vAlign w:val="bottom"/>
            <w:gridSpan w:val="2"/>
          </w:tcPr>
          <w:p>
            <w:pPr>
              <w:ind w:left="140"/>
              <w:spacing w:after="0" w:line="214" w:lineRule="exact"/>
              <w:rPr>
                <w:sz w:val="20"/>
                <w:szCs w:val="20"/>
                <w:color w:val="auto"/>
              </w:rPr>
            </w:pPr>
            <w:r>
              <w:rPr>
                <w:rFonts w:ascii="Arial" w:cs="Arial" w:eastAsia="Arial" w:hAnsi="Arial"/>
                <w:sz w:val="16"/>
                <w:szCs w:val="16"/>
                <w:color w:val="auto"/>
              </w:rPr>
              <w:t>Interest and fee income on Emerald Advance</w:t>
            </w:r>
            <w:r>
              <w:rPr>
                <w:rFonts w:ascii="Arial" w:cs="Arial" w:eastAsia="Arial" w:hAnsi="Arial"/>
                <w:sz w:val="20"/>
                <w:szCs w:val="20"/>
                <w:color w:val="auto"/>
                <w:vertAlign w:val="superscript"/>
              </w:rPr>
              <w:t>TM</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501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485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3.3 %</w:t>
            </w:r>
          </w:p>
        </w:tc>
      </w:tr>
      <w:tr>
        <w:trPr>
          <w:trHeight w:val="214"/>
        </w:trPr>
        <w:tc>
          <w:tcPr>
            <w:tcW w:w="54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Wave</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14,327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10,902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3,425</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31.4 %</w:t>
            </w:r>
          </w:p>
        </w:tc>
      </w:tr>
      <w:tr>
        <w:trPr>
          <w:trHeight w:val="214"/>
        </w:trPr>
        <w:tc>
          <w:tcPr>
            <w:tcW w:w="546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10,714</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11,186</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(472)</w:t>
            </w:r>
          </w:p>
        </w:tc>
        <w:tc>
          <w:tcPr>
            <w:tcW w:w="15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(4.2)%</w:t>
            </w:r>
          </w:p>
        </w:tc>
      </w:tr>
      <w:tr>
        <w:trPr>
          <w:trHeight w:val="208"/>
        </w:trPr>
        <w:tc>
          <w:tcPr>
            <w:tcW w:w="54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Total revenues</w:t>
            </w: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176,550</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160,801</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15,749</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9.8 %</w:t>
            </w:r>
          </w:p>
        </w:tc>
      </w:tr>
      <w:tr>
        <w:trPr>
          <w:trHeight w:val="34"/>
        </w:trPr>
        <w:tc>
          <w:tcPr>
            <w:tcW w:w="5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14"/>
        </w:trPr>
        <w:tc>
          <w:tcPr>
            <w:tcW w:w="5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Compensation and benefits: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4"/>
        </w:trPr>
        <w:tc>
          <w:tcPr>
            <w:tcW w:w="5460" w:type="dxa"/>
            <w:vAlign w:val="bottom"/>
            <w:gridSpan w:val="2"/>
          </w:tcPr>
          <w:p>
            <w:pPr>
              <w:ind w:left="140"/>
              <w:spacing w:after="0"/>
              <w:rPr>
                <w:sz w:val="20"/>
                <w:szCs w:val="20"/>
                <w:color w:val="auto"/>
              </w:rPr>
            </w:pPr>
            <w:r>
              <w:rPr>
                <w:rFonts w:ascii="Arial" w:cs="Arial" w:eastAsia="Arial" w:hAnsi="Arial"/>
                <w:sz w:val="16"/>
                <w:szCs w:val="16"/>
                <w:color w:val="auto"/>
              </w:rPr>
              <w:t>Field wages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61,007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60,993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0.0 %</w:t>
            </w:r>
          </w:p>
        </w:tc>
      </w:tr>
      <w:tr>
        <w:trPr>
          <w:trHeight w:val="214"/>
        </w:trPr>
        <w:tc>
          <w:tcPr>
            <w:tcW w:w="54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Other wages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59,062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60,744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(1,682)</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w:t>
            </w:r>
          </w:p>
        </w:tc>
      </w:tr>
      <w:tr>
        <w:trPr>
          <w:trHeight w:val="214"/>
        </w:trPr>
        <w:tc>
          <w:tcPr>
            <w:tcW w:w="546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Benefits and other compensation</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32,146</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28,708</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3,438</w:t>
            </w:r>
          </w:p>
        </w:tc>
        <w:tc>
          <w:tcPr>
            <w:tcW w:w="15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12.0 %</w:t>
            </w:r>
          </w:p>
        </w:tc>
      </w:tr>
      <w:tr>
        <w:trPr>
          <w:trHeight w:val="208"/>
        </w:trPr>
        <w:tc>
          <w:tcPr>
            <w:tcW w:w="5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152,215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150,445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1,770</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1.2 %</w:t>
            </w:r>
          </w:p>
        </w:tc>
      </w:tr>
      <w:tr>
        <w:trPr>
          <w:trHeight w:val="214"/>
        </w:trPr>
        <w:tc>
          <w:tcPr>
            <w:tcW w:w="5460" w:type="dxa"/>
            <w:vAlign w:val="bottom"/>
            <w:gridSpan w:val="2"/>
          </w:tcPr>
          <w:p>
            <w:pPr>
              <w:ind w:left="20"/>
              <w:spacing w:after="0"/>
              <w:rPr>
                <w:sz w:val="20"/>
                <w:szCs w:val="20"/>
                <w:color w:val="auto"/>
              </w:rPr>
            </w:pPr>
            <w:r>
              <w:rPr>
                <w:rFonts w:ascii="Arial" w:cs="Arial" w:eastAsia="Arial" w:hAnsi="Arial"/>
                <w:sz w:val="16"/>
                <w:szCs w:val="16"/>
                <w:color w:val="auto"/>
              </w:rPr>
              <w:t>Occupancy</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97,758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97,530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228</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0.2 %</w:t>
            </w:r>
          </w:p>
        </w:tc>
      </w:tr>
      <w:tr>
        <w:trPr>
          <w:trHeight w:val="214"/>
        </w:trPr>
        <w:tc>
          <w:tcPr>
            <w:tcW w:w="5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Marketing and advertising</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9,317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9,651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(3.5)%</w:t>
            </w:r>
          </w:p>
        </w:tc>
      </w:tr>
      <w:tr>
        <w:trPr>
          <w:trHeight w:val="214"/>
        </w:trPr>
        <w:tc>
          <w:tcPr>
            <w:tcW w:w="5460" w:type="dxa"/>
            <w:vAlign w:val="bottom"/>
            <w:gridSpan w:val="2"/>
          </w:tcPr>
          <w:p>
            <w:pPr>
              <w:ind w:left="2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37,799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42,657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(4,858)</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(11.4)%</w:t>
            </w:r>
          </w:p>
        </w:tc>
      </w:tr>
      <w:tr>
        <w:trPr>
          <w:trHeight w:val="214"/>
        </w:trPr>
        <w:tc>
          <w:tcPr>
            <w:tcW w:w="5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Bad debt</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1,113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(922)</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(45.3)%</w:t>
            </w:r>
          </w:p>
        </w:tc>
      </w:tr>
      <w:tr>
        <w:trPr>
          <w:trHeight w:val="214"/>
        </w:trPr>
        <w:tc>
          <w:tcPr>
            <w:tcW w:w="54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83,695</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101,222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(17,527)</w:t>
            </w:r>
          </w:p>
        </w:tc>
        <w:tc>
          <w:tcPr>
            <w:tcW w:w="15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(17.3)%</w:t>
            </w:r>
          </w:p>
        </w:tc>
      </w:tr>
      <w:tr>
        <w:trPr>
          <w:trHeight w:val="208"/>
        </w:trPr>
        <w:tc>
          <w:tcPr>
            <w:tcW w:w="54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Total operating expenses</w:t>
            </w: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381,897</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403,540</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(21,643)</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(5.4)%</w:t>
            </w:r>
          </w:p>
        </w:tc>
      </w:tr>
      <w:tr>
        <w:trPr>
          <w:trHeight w:val="208"/>
        </w:trPr>
        <w:tc>
          <w:tcPr>
            <w:tcW w:w="5460" w:type="dxa"/>
            <w:vAlign w:val="bottom"/>
            <w:gridSpan w:val="2"/>
          </w:tcPr>
          <w:p>
            <w:pPr>
              <w:ind w:left="20"/>
              <w:spacing w:after="0"/>
              <w:rPr>
                <w:sz w:val="20"/>
                <w:szCs w:val="20"/>
                <w:color w:val="auto"/>
              </w:rPr>
            </w:pPr>
            <w:r>
              <w:rPr>
                <w:rFonts w:ascii="Arial" w:cs="Arial" w:eastAsia="Arial" w:hAnsi="Arial"/>
                <w:sz w:val="16"/>
                <w:szCs w:val="16"/>
                <w:color w:val="auto"/>
              </w:rPr>
              <w:t>Other income (expense), net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(819)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2,739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(3,558)</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5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expense on borrowings</w:t>
            </w: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(30,861)</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(21,306)</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(9,555)</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(44.8)%</w:t>
            </w:r>
          </w:p>
        </w:tc>
      </w:tr>
      <w:tr>
        <w:trPr>
          <w:trHeight w:val="208"/>
        </w:trPr>
        <w:tc>
          <w:tcPr>
            <w:tcW w:w="5460" w:type="dxa"/>
            <w:vAlign w:val="bottom"/>
            <w:gridSpan w:val="2"/>
          </w:tcPr>
          <w:p>
            <w:pPr>
              <w:ind w:left="20"/>
              <w:spacing w:after="0"/>
              <w:rPr>
                <w:sz w:val="20"/>
                <w:szCs w:val="20"/>
                <w:color w:val="auto"/>
              </w:rPr>
            </w:pPr>
            <w:r>
              <w:rPr>
                <w:rFonts w:ascii="Arial" w:cs="Arial" w:eastAsia="Arial" w:hAnsi="Arial"/>
                <w:sz w:val="16"/>
                <w:szCs w:val="16"/>
                <w:color w:val="auto"/>
              </w:rPr>
              <w:t>Pretax loss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(237,027)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(261,306)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24,279</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9.3 %</w:t>
            </w:r>
          </w:p>
        </w:tc>
      </w:tr>
      <w:tr>
        <w:trPr>
          <w:trHeight w:val="214"/>
        </w:trPr>
        <w:tc>
          <w:tcPr>
            <w:tcW w:w="5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Income tax benefit</w:t>
            </w: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(14,547)</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(77,752)</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(63,205)</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(81.3)%</w:t>
            </w:r>
          </w:p>
        </w:tc>
      </w:tr>
      <w:tr>
        <w:trPr>
          <w:trHeight w:val="208"/>
        </w:trPr>
        <w:tc>
          <w:tcPr>
            <w:tcW w:w="5460" w:type="dxa"/>
            <w:vAlign w:val="bottom"/>
            <w:gridSpan w:val="2"/>
          </w:tcPr>
          <w:p>
            <w:pPr>
              <w:ind w:left="20"/>
              <w:spacing w:after="0"/>
              <w:rPr>
                <w:sz w:val="20"/>
                <w:szCs w:val="20"/>
                <w:color w:val="auto"/>
              </w:rPr>
            </w:pPr>
            <w:r>
              <w:rPr>
                <w:rFonts w:ascii="Arial" w:cs="Arial" w:eastAsia="Arial" w:hAnsi="Arial"/>
                <w:sz w:val="16"/>
                <w:szCs w:val="16"/>
                <w:color w:val="auto"/>
              </w:rPr>
              <w:t>Net loss from continuing operations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(222,480)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(183,554)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(38,926)</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(21.2)%</w:t>
            </w:r>
          </w:p>
        </w:tc>
      </w:tr>
      <w:tr>
        <w:trPr>
          <w:trHeight w:val="214"/>
        </w:trPr>
        <w:tc>
          <w:tcPr>
            <w:tcW w:w="5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loss from discontinued operations</w:t>
            </w: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(1,246)</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(4,445)</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3,199</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72.0 %</w:t>
            </w:r>
          </w:p>
        </w:tc>
      </w:tr>
      <w:tr>
        <w:trPr>
          <w:trHeight w:val="246"/>
        </w:trPr>
        <w:tc>
          <w:tcPr>
            <w:tcW w:w="54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Net loss</w:t>
            </w:r>
          </w:p>
        </w:tc>
        <w:tc>
          <w:tcPr>
            <w:tcW w:w="2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(223,726)</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(187,999)</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(35,727)</w:t>
            </w:r>
          </w:p>
        </w:tc>
        <w:tc>
          <w:tcPr>
            <w:tcW w:w="15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(19.0)%</w:t>
            </w:r>
          </w:p>
        </w:tc>
      </w:tr>
      <w:tr>
        <w:trPr>
          <w:trHeight w:val="187"/>
        </w:trPr>
        <w:tc>
          <w:tcPr>
            <w:tcW w:w="5460" w:type="dxa"/>
            <w:vAlign w:val="bottom"/>
            <w:tcBorders>
              <w:top w:val="single" w:sz="8" w:color="CCEEFF"/>
            </w:tcBorders>
            <w:gridSpan w:val="2"/>
          </w:tcPr>
          <w:p>
            <w:pPr>
              <w:ind w:left="20"/>
              <w:spacing w:after="0"/>
              <w:rPr>
                <w:sz w:val="20"/>
                <w:szCs w:val="20"/>
                <w:color w:val="auto"/>
              </w:rPr>
            </w:pPr>
            <w:r>
              <w:rPr>
                <w:rFonts w:ascii="Arial" w:cs="Arial" w:eastAsia="Arial" w:hAnsi="Arial"/>
                <w:sz w:val="14"/>
                <w:szCs w:val="14"/>
                <w:b w:val="1"/>
                <w:bCs w:val="1"/>
                <w:color w:val="auto"/>
              </w:rPr>
              <w:t>BASIC AND DILUTED LOSS PER SHARE:</w:t>
            </w:r>
          </w:p>
        </w:tc>
        <w:tc>
          <w:tcPr>
            <w:tcW w:w="28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1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420" w:type="dxa"/>
            <w:vAlign w:val="bottom"/>
            <w:tcBorders>
              <w:top w:val="single" w:sz="8" w:color="CCEEFF"/>
            </w:tcBorders>
          </w:tcPr>
          <w:p>
            <w:pPr>
              <w:spacing w:after="0"/>
              <w:rPr>
                <w:sz w:val="16"/>
                <w:szCs w:val="16"/>
                <w:color w:val="auto"/>
              </w:rPr>
            </w:pPr>
          </w:p>
        </w:tc>
      </w:tr>
      <w:tr>
        <w:trPr>
          <w:trHeight w:val="214"/>
        </w:trPr>
        <w:tc>
          <w:tcPr>
            <w:tcW w:w="546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Continuing operations</w:t>
            </w:r>
          </w:p>
        </w:tc>
        <w:tc>
          <w:tcPr>
            <w:tcW w:w="280" w:type="dxa"/>
            <w:vAlign w:val="bottom"/>
            <w:shd w:val="clear" w:color="auto" w:fill="CCEEFF"/>
          </w:tcPr>
          <w:p>
            <w:pPr>
              <w:jc w:val="right"/>
              <w:ind w:right="100"/>
              <w:spacing w:after="0"/>
              <w:rPr>
                <w:sz w:val="20"/>
                <w:szCs w:val="20"/>
                <w:color w:val="auto"/>
              </w:rPr>
            </w:pPr>
            <w:r>
              <w:rPr>
                <w:rFonts w:ascii="Arial" w:cs="Arial" w:eastAsia="Arial" w:hAnsi="Arial"/>
                <w:sz w:val="16"/>
                <w:szCs w:val="16"/>
                <w:b w:val="1"/>
                <w:bCs w:val="1"/>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(0.24)</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(25.8)%</w:t>
            </w:r>
          </w:p>
        </w:tc>
      </w:tr>
      <w:tr>
        <w:trPr>
          <w:trHeight w:val="214"/>
        </w:trPr>
        <w:tc>
          <w:tcPr>
            <w:tcW w:w="5460" w:type="dxa"/>
            <w:vAlign w:val="bottom"/>
            <w:tcBorders>
              <w:bottom w:val="single" w:sz="8" w:color="CCEEFF"/>
            </w:tcBorders>
            <w:gridSpan w:val="2"/>
          </w:tcPr>
          <w:p>
            <w:pPr>
              <w:ind w:left="140"/>
              <w:spacing w:after="0"/>
              <w:rPr>
                <w:sz w:val="20"/>
                <w:szCs w:val="20"/>
                <w:color w:val="auto"/>
              </w:rPr>
            </w:pPr>
            <w:r>
              <w:rPr>
                <w:rFonts w:ascii="Arial" w:cs="Arial" w:eastAsia="Arial" w:hAnsi="Arial"/>
                <w:sz w:val="15"/>
                <w:szCs w:val="15"/>
                <w:color w:val="auto"/>
              </w:rPr>
              <w:t>Discontinued operations</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(0.01)</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0.01</w:t>
            </w:r>
          </w:p>
        </w:tc>
        <w:tc>
          <w:tcPr>
            <w:tcW w:w="15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50.0 %</w:t>
            </w:r>
          </w:p>
        </w:tc>
      </w:tr>
      <w:tr>
        <w:trPr>
          <w:trHeight w:val="208"/>
        </w:trPr>
        <w:tc>
          <w:tcPr>
            <w:tcW w:w="546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Consolidated</w:t>
            </w:r>
          </w:p>
        </w:tc>
        <w:tc>
          <w:tcPr>
            <w:tcW w:w="2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(1.18)</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(0.95)</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(0.23)</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(24.2)%</w:t>
            </w:r>
          </w:p>
        </w:tc>
      </w:tr>
      <w:tr>
        <w:trPr>
          <w:trHeight w:val="34"/>
        </w:trPr>
        <w:tc>
          <w:tcPr>
            <w:tcW w:w="5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14"/>
        </w:trPr>
        <w:tc>
          <w:tcPr>
            <w:tcW w:w="5460" w:type="dxa"/>
            <w:vAlign w:val="bottom"/>
            <w:gridSpan w:val="2"/>
            <w:shd w:val="clear" w:color="auto" w:fill="CCEEFF"/>
          </w:tcPr>
          <w:p>
            <w:pPr>
              <w:ind w:left="20"/>
              <w:spacing w:after="0" w:line="214" w:lineRule="exact"/>
              <w:rPr>
                <w:sz w:val="20"/>
                <w:szCs w:val="20"/>
                <w:color w:val="auto"/>
              </w:rPr>
            </w:pPr>
            <w:r>
              <w:rPr>
                <w:rFonts w:ascii="Arial" w:cs="Arial" w:eastAsia="Arial" w:hAnsi="Arial"/>
                <w:sz w:val="16"/>
                <w:szCs w:val="16"/>
                <w:color w:val="auto"/>
              </w:rPr>
              <w:t xml:space="preserve">EBITDA from continuing operations </w:t>
            </w:r>
            <w:r>
              <w:rPr>
                <w:rFonts w:ascii="Arial" w:cs="Arial" w:eastAsia="Arial" w:hAnsi="Arial"/>
                <w:sz w:val="20"/>
                <w:szCs w:val="20"/>
                <w:color w:val="auto"/>
                <w:vertAlign w:val="superscript"/>
              </w:rPr>
              <w:t>(1)</w:t>
            </w:r>
          </w:p>
        </w:tc>
        <w:tc>
          <w:tcPr>
            <w:tcW w:w="280" w:type="dxa"/>
            <w:vAlign w:val="bottom"/>
            <w:shd w:val="clear" w:color="auto" w:fill="CCEEFF"/>
          </w:tcPr>
          <w:p>
            <w:pPr>
              <w:jc w:val="right"/>
              <w:ind w:right="100"/>
              <w:spacing w:after="0"/>
              <w:rPr>
                <w:sz w:val="20"/>
                <w:szCs w:val="20"/>
                <w:color w:val="auto"/>
              </w:rPr>
            </w:pPr>
            <w:r>
              <w:rPr>
                <w:rFonts w:ascii="Arial" w:cs="Arial" w:eastAsia="Arial" w:hAnsi="Arial"/>
                <w:sz w:val="16"/>
                <w:szCs w:val="16"/>
                <w:b w:val="1"/>
                <w:bCs w:val="1"/>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(168,367)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(197,343)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28,976</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14.7 %</w:t>
            </w:r>
          </w:p>
        </w:tc>
      </w:tr>
      <w:tr>
        <w:trPr>
          <w:trHeight w:val="54"/>
        </w:trPr>
        <w:tc>
          <w:tcPr>
            <w:tcW w:w="53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r>
    </w:tbl>
    <w:p>
      <w:pPr>
        <w:spacing w:after="0" w:line="67" w:lineRule="exact"/>
        <w:rPr>
          <w:sz w:val="20"/>
          <w:szCs w:val="20"/>
          <w:color w:val="auto"/>
        </w:rPr>
      </w:pPr>
    </w:p>
    <w:p>
      <w:pPr>
        <w:ind w:left="280" w:hanging="273"/>
        <w:spacing w:after="0"/>
        <w:tabs>
          <w:tab w:leader="none" w:pos="280" w:val="left"/>
        </w:tabs>
        <w:numPr>
          <w:ilvl w:val="0"/>
          <w:numId w:val="19"/>
        </w:numPr>
        <w:rPr>
          <w:rFonts w:ascii="Arial" w:cs="Arial" w:eastAsia="Arial" w:hAnsi="Arial"/>
          <w:sz w:val="9"/>
          <w:szCs w:val="9"/>
          <w:color w:val="auto"/>
        </w:rPr>
      </w:pPr>
      <w:r>
        <w:rPr>
          <w:rFonts w:ascii="Arial" w:cs="Arial" w:eastAsia="Arial" w:hAnsi="Arial"/>
          <w:sz w:val="14"/>
          <w:szCs w:val="14"/>
          <w:color w:val="auto"/>
        </w:rPr>
        <w:t>See "Non-GAAP Financial Information" at the end of this item for a reconciliation of non-GAAP measures</w:t>
      </w:r>
      <w:r>
        <w:rPr>
          <w:rFonts w:ascii="Arial" w:cs="Arial" w:eastAsia="Arial" w:hAnsi="Arial"/>
          <w:sz w:val="12"/>
          <w:szCs w:val="12"/>
          <w:color w:val="auto"/>
        </w:rPr>
        <w:t>.</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October 31, 2020 compared to October 31, 2019</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Revenues increased $15.7 million, or 9.8%, from the prior year period. While the federal tax filing deadline in the U.S. for individual 2019 tax returns was extended from April 15, 2020 to July 15, 2020, and the Canadian deadline for individuals to file was extended to June 1, 2020, due the continued impacts of the COVID-19 pandemic, we prepared more returns in our second fiscal quarter than what we would normally prepare during this period. Revenues for U.S. assisted tax preparation increased $7.7 million, or 18.7%, and international revenues increased $3.9 million, or 8.8%. Wave revenues increased $3.4 million, or 31.4%, due to higher small business payments processing volumes as small business owners shift to online payment options.</w:t>
      </w:r>
    </w:p>
    <w:p>
      <w:pPr>
        <w:sectPr>
          <w:pgSz w:w="11900" w:h="16838" w:orient="portrait"/>
          <w:cols w:equalWidth="0" w:num="1">
            <w:col w:w="11240"/>
          </w:cols>
          <w:pgMar w:left="320" w:top="22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60" w:hanging="265"/>
        <w:spacing w:after="0"/>
        <w:tabs>
          <w:tab w:leader="none" w:pos="360" w:val="left"/>
        </w:tabs>
        <w:numPr>
          <w:ilvl w:val="0"/>
          <w:numId w:val="20"/>
        </w:numPr>
        <w:rPr>
          <w:rFonts w:ascii="Arial" w:cs="Arial" w:eastAsia="Arial" w:hAnsi="Arial"/>
          <w:sz w:val="14"/>
          <w:szCs w:val="14"/>
          <w:color w:val="FFFFFF"/>
          <w:highlight w:val="black"/>
        </w:rPr>
      </w:pPr>
      <w:r>
        <w:rPr>
          <w:rFonts w:ascii="Arial" w:cs="Arial" w:eastAsia="Arial" w:hAnsi="Arial"/>
          <w:sz w:val="14"/>
          <w:szCs w:val="14"/>
          <w:color w:val="auto"/>
        </w:rPr>
        <w:t xml:space="preserve">Q1 FY2021 Form 10-Q | </w:t>
      </w:r>
      <w:r>
        <w:rPr>
          <w:rFonts w:ascii="Arial" w:cs="Arial" w:eastAsia="Arial" w:hAnsi="Arial"/>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137160</wp:posOffset>
            </wp:positionV>
            <wp:extent cx="713359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3590"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-100330</wp:posOffset>
            </wp:positionV>
            <wp:extent cx="212725" cy="1187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12725" cy="118745"/>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type w:val="continuous"/>
        </w:sectPr>
      </w:pPr>
    </w:p>
    <w:bookmarkStart w:id="24" w:name="page25"/>
    <w:bookmarkEnd w:id="2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firstLine="241"/>
        <w:spacing w:after="0" w:line="260" w:lineRule="auto"/>
        <w:rPr>
          <w:sz w:val="20"/>
          <w:szCs w:val="20"/>
          <w:color w:val="auto"/>
        </w:rPr>
      </w:pPr>
      <w:r>
        <w:rPr>
          <w:rFonts w:ascii="Arial" w:cs="Arial" w:eastAsia="Arial" w:hAnsi="Arial"/>
          <w:sz w:val="18"/>
          <w:szCs w:val="18"/>
          <w:color w:val="auto"/>
        </w:rPr>
        <w:t>Total operating expenses decreased $21.6 million, or 5.4%, from the prior year. Benefits and other compensation increased $3.4 million, or 12.0%, due primarily to a payroll tax refund received during the prior year, severance and contributions to our retirement savings plan. Depreciation and amortization expense decreased $4.9 million, or 11.4%, due to lower depreciation on leasehold improvements and lower amortization of acquired intangibles related to the Wave acquisition.</w:t>
      </w:r>
    </w:p>
    <w:p>
      <w:pPr>
        <w:spacing w:after="0" w:line="6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Other expenses decreased $17.5 million, or 17.3%. The components of other expenses are as follows:</w:t>
      </w:r>
    </w:p>
    <w:p>
      <w:pPr>
        <w:spacing w:after="0" w:line="131"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500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color w:val="auto"/>
              </w:rPr>
              <w:t>Three months ended October 31,</w:t>
            </w: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460"/>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460"/>
              <w:spacing w:after="0"/>
              <w:rPr>
                <w:sz w:val="20"/>
                <w:szCs w:val="20"/>
                <w:color w:val="auto"/>
              </w:rPr>
            </w:pPr>
            <w:r>
              <w:rPr>
                <w:rFonts w:ascii="Arial" w:cs="Arial" w:eastAsia="Arial" w:hAnsi="Arial"/>
                <w:sz w:val="16"/>
                <w:szCs w:val="16"/>
                <w:color w:val="auto"/>
              </w:rPr>
              <w:t>2019</w:t>
            </w: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300"/>
              <w:spacing w:after="0"/>
              <w:rPr>
                <w:sz w:val="20"/>
                <w:szCs w:val="20"/>
                <w:color w:val="auto"/>
              </w:rPr>
            </w:pPr>
            <w:r>
              <w:rPr>
                <w:rFonts w:ascii="Arial" w:cs="Arial" w:eastAsia="Arial" w:hAnsi="Arial"/>
                <w:sz w:val="16"/>
                <w:szCs w:val="16"/>
                <w:color w:val="auto"/>
              </w:rPr>
              <w:t>$ Change</w:t>
            </w:r>
          </w:p>
        </w:tc>
        <w:tc>
          <w:tcPr>
            <w:tcW w:w="12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jc w:val="right"/>
              <w:ind w:right="320"/>
              <w:spacing w:after="0"/>
              <w:rPr>
                <w:sz w:val="20"/>
                <w:szCs w:val="20"/>
                <w:color w:val="auto"/>
              </w:rPr>
            </w:pPr>
            <w:r>
              <w:rPr>
                <w:rFonts w:ascii="Arial" w:cs="Arial" w:eastAsia="Arial" w:hAnsi="Arial"/>
                <w:sz w:val="16"/>
                <w:szCs w:val="16"/>
                <w:color w:val="auto"/>
              </w:rPr>
              <w:t>% Change</w:t>
            </w:r>
          </w:p>
        </w:tc>
      </w:tr>
      <w:tr>
        <w:trPr>
          <w:trHeight w:val="208"/>
        </w:trPr>
        <w:tc>
          <w:tcPr>
            <w:tcW w:w="48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Consulting and outsourced services</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19,261</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24,284</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(5,023)</w:t>
            </w:r>
          </w:p>
        </w:tc>
        <w:tc>
          <w:tcPr>
            <w:tcW w:w="12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w:t>
            </w:r>
          </w:p>
        </w:tc>
      </w:tr>
      <w:tr>
        <w:trPr>
          <w:trHeight w:val="214"/>
        </w:trPr>
        <w:tc>
          <w:tcPr>
            <w:tcW w:w="5000" w:type="dxa"/>
            <w:vAlign w:val="bottom"/>
            <w:gridSpan w:val="2"/>
          </w:tcPr>
          <w:p>
            <w:pPr>
              <w:ind w:left="20"/>
              <w:spacing w:after="0"/>
              <w:rPr>
                <w:sz w:val="20"/>
                <w:szCs w:val="20"/>
                <w:color w:val="auto"/>
              </w:rPr>
            </w:pPr>
            <w:r>
              <w:rPr>
                <w:rFonts w:ascii="Arial" w:cs="Arial" w:eastAsia="Arial" w:hAnsi="Arial"/>
                <w:sz w:val="16"/>
                <w:szCs w:val="16"/>
                <w:color w:val="auto"/>
              </w:rPr>
              <w:t>Bank partner fees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389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1,373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(984)</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(71.7)%</w:t>
            </w:r>
          </w:p>
        </w:tc>
      </w:tr>
      <w:tr>
        <w:trPr>
          <w:trHeight w:val="214"/>
        </w:trPr>
        <w:tc>
          <w:tcPr>
            <w:tcW w:w="5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Client claims and refunds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4,946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9,457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(4,511)</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(47.7)%</w:t>
            </w:r>
          </w:p>
        </w:tc>
      </w:tr>
      <w:tr>
        <w:trPr>
          <w:trHeight w:val="214"/>
        </w:trPr>
        <w:tc>
          <w:tcPr>
            <w:tcW w:w="5000" w:type="dxa"/>
            <w:vAlign w:val="bottom"/>
            <w:gridSpan w:val="2"/>
          </w:tcPr>
          <w:p>
            <w:pPr>
              <w:ind w:left="20"/>
              <w:spacing w:after="0"/>
              <w:rPr>
                <w:sz w:val="20"/>
                <w:szCs w:val="20"/>
                <w:color w:val="auto"/>
              </w:rPr>
            </w:pPr>
            <w:r>
              <w:rPr>
                <w:rFonts w:ascii="Arial" w:cs="Arial" w:eastAsia="Arial" w:hAnsi="Arial"/>
                <w:sz w:val="16"/>
                <w:szCs w:val="16"/>
                <w:color w:val="auto"/>
              </w:rPr>
              <w:t>Employee travel and related expenses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6,747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13,813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(7,066)</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(51.2)%</w:t>
            </w:r>
          </w:p>
        </w:tc>
      </w:tr>
      <w:tr>
        <w:trPr>
          <w:trHeight w:val="214"/>
        </w:trPr>
        <w:tc>
          <w:tcPr>
            <w:tcW w:w="5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Technology-related expenses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19,222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13,569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5,653</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41.7 %</w:t>
            </w:r>
          </w:p>
        </w:tc>
      </w:tr>
      <w:tr>
        <w:trPr>
          <w:trHeight w:val="214"/>
        </w:trPr>
        <w:tc>
          <w:tcPr>
            <w:tcW w:w="5000" w:type="dxa"/>
            <w:vAlign w:val="bottom"/>
            <w:gridSpan w:val="2"/>
          </w:tcPr>
          <w:p>
            <w:pPr>
              <w:ind w:left="20"/>
              <w:spacing w:after="0"/>
              <w:rPr>
                <w:sz w:val="20"/>
                <w:szCs w:val="20"/>
                <w:color w:val="auto"/>
              </w:rPr>
            </w:pPr>
            <w:r>
              <w:rPr>
                <w:rFonts w:ascii="Arial" w:cs="Arial" w:eastAsia="Arial" w:hAnsi="Arial"/>
                <w:sz w:val="16"/>
                <w:szCs w:val="16"/>
                <w:color w:val="auto"/>
              </w:rPr>
              <w:t>Credit card/bank charges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12,463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9,836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2,627</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26.7 %</w:t>
            </w:r>
          </w:p>
        </w:tc>
      </w:tr>
      <w:tr>
        <w:trPr>
          <w:trHeight w:val="214"/>
        </w:trPr>
        <w:tc>
          <w:tcPr>
            <w:tcW w:w="5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Insurance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2,315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(1,530)</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(39.8)%</w:t>
            </w:r>
          </w:p>
        </w:tc>
      </w:tr>
      <w:tr>
        <w:trPr>
          <w:trHeight w:val="214"/>
        </w:trPr>
        <w:tc>
          <w:tcPr>
            <w:tcW w:w="5000" w:type="dxa"/>
            <w:vAlign w:val="bottom"/>
            <w:gridSpan w:val="2"/>
          </w:tcPr>
          <w:p>
            <w:pPr>
              <w:ind w:left="20"/>
              <w:spacing w:after="0"/>
              <w:rPr>
                <w:sz w:val="20"/>
                <w:szCs w:val="20"/>
                <w:color w:val="auto"/>
              </w:rPr>
            </w:pPr>
            <w:r>
              <w:rPr>
                <w:rFonts w:ascii="Arial" w:cs="Arial" w:eastAsia="Arial" w:hAnsi="Arial"/>
                <w:sz w:val="16"/>
                <w:szCs w:val="16"/>
                <w:color w:val="auto"/>
              </w:rPr>
              <w:t>Legal fees and settlements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9,224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13,028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(3,804)</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(29.2)%</w:t>
            </w:r>
          </w:p>
        </w:tc>
      </w:tr>
      <w:tr>
        <w:trPr>
          <w:trHeight w:val="214"/>
        </w:trPr>
        <w:tc>
          <w:tcPr>
            <w:tcW w:w="5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Supplies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3,258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5,260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(2,002)</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(38.1)%</w:t>
            </w:r>
          </w:p>
        </w:tc>
      </w:tr>
      <w:tr>
        <w:trPr>
          <w:trHeight w:val="214"/>
        </w:trPr>
        <w:tc>
          <w:tcPr>
            <w:tcW w:w="50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5,870</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6,757</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(887)</w:t>
            </w:r>
          </w:p>
        </w:tc>
        <w:tc>
          <w:tcPr>
            <w:tcW w:w="16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(13.1)%</w:t>
            </w:r>
          </w:p>
        </w:tc>
      </w:tr>
      <w:tr>
        <w:trPr>
          <w:trHeight w:val="208"/>
        </w:trPr>
        <w:tc>
          <w:tcPr>
            <w:tcW w:w="4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83,695</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101,222</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(17,527)</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(17.3)%</w:t>
            </w:r>
          </w:p>
        </w:tc>
      </w:tr>
      <w:tr>
        <w:trPr>
          <w:trHeight w:val="34"/>
        </w:trPr>
        <w:tc>
          <w:tcPr>
            <w:tcW w:w="4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bl>
    <w:p>
      <w:pPr>
        <w:spacing w:after="0" w:line="165" w:lineRule="exact"/>
        <w:rPr>
          <w:sz w:val="20"/>
          <w:szCs w:val="20"/>
          <w:color w:val="auto"/>
        </w:rPr>
      </w:pPr>
    </w:p>
    <w:p>
      <w:pPr>
        <w:jc w:val="both"/>
        <w:ind w:firstLine="241"/>
        <w:spacing w:after="0" w:line="260" w:lineRule="auto"/>
        <w:rPr>
          <w:sz w:val="20"/>
          <w:szCs w:val="20"/>
          <w:color w:val="auto"/>
        </w:rPr>
      </w:pPr>
      <w:r>
        <w:rPr>
          <w:rFonts w:ascii="Arial" w:cs="Arial" w:eastAsia="Arial" w:hAnsi="Arial"/>
          <w:sz w:val="18"/>
          <w:szCs w:val="18"/>
          <w:color w:val="auto"/>
        </w:rPr>
        <w:t>Consulting expenses decreased $5.0 million due to fewer technology initiatives compared to the prior year. Client claims and refunds decreased $4.5 million due to lower POM claims. Employee travel and related expenses decreased $7.1 million due to travel restrictions as a result of COVID-19. Technology-related expenses increased $5.7 million as a result of a prior year favorable contract resolution. Legal fees and settlements decreased $3.8 million due to higher legal expenses in the prior year, offset by a legal accrual in the current year.</w:t>
      </w:r>
    </w:p>
    <w:p>
      <w:pPr>
        <w:spacing w:after="0" w:line="67" w:lineRule="exact"/>
        <w:rPr>
          <w:sz w:val="20"/>
          <w:szCs w:val="20"/>
          <w:color w:val="auto"/>
        </w:rPr>
      </w:pPr>
    </w:p>
    <w:p>
      <w:pPr>
        <w:jc w:val="both"/>
        <w:ind w:firstLine="241"/>
        <w:spacing w:after="0" w:line="267" w:lineRule="auto"/>
        <w:rPr>
          <w:sz w:val="20"/>
          <w:szCs w:val="20"/>
          <w:color w:val="auto"/>
        </w:rPr>
      </w:pPr>
      <w:r>
        <w:rPr>
          <w:rFonts w:ascii="Arial" w:cs="Arial" w:eastAsia="Arial" w:hAnsi="Arial"/>
          <w:sz w:val="18"/>
          <w:szCs w:val="18"/>
          <w:color w:val="auto"/>
        </w:rPr>
        <w:t>Interest expense on borrowings increased $9.6 million. This increase is due to interest on our CLOC borrowings and interest on our Senior Notes as a result of the timing of the issuance of our $650 million 2030 Senior Notes and the maturity of our $650 million Senior Notes on October 1, 2020.</w:t>
      </w:r>
    </w:p>
    <w:p>
      <w:pPr>
        <w:spacing w:after="0" w:line="59" w:lineRule="exact"/>
        <w:rPr>
          <w:sz w:val="20"/>
          <w:szCs w:val="20"/>
          <w:color w:val="auto"/>
        </w:rPr>
      </w:pPr>
    </w:p>
    <w:p>
      <w:pPr>
        <w:jc w:val="both"/>
        <w:ind w:firstLine="241"/>
        <w:spacing w:after="0" w:line="286" w:lineRule="auto"/>
        <w:rPr>
          <w:sz w:val="20"/>
          <w:szCs w:val="20"/>
          <w:color w:val="auto"/>
        </w:rPr>
      </w:pPr>
      <w:r>
        <w:rPr>
          <w:rFonts w:ascii="Arial" w:cs="Arial" w:eastAsia="Arial" w:hAnsi="Arial"/>
          <w:sz w:val="18"/>
          <w:szCs w:val="18"/>
          <w:color w:val="auto"/>
        </w:rPr>
        <w:t>We recorded an income tax benefit in the current year of $14.5 million compared to $77.8 million in the prior year primarily due to a decrease in our effective tax rate from 29.7% to 6.1%. See Item 1, note 7 to the consolidated financial statements for additional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824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Q1 FY2021 Form 10-Q</w:t>
      </w:r>
      <w:r>
        <w:rPr>
          <w:rFonts w:ascii="Arial" w:cs="Arial" w:eastAsia="Arial" w:hAnsi="Arial"/>
          <w:sz w:val="14"/>
          <w:szCs w:val="14"/>
          <w:b w:val="1"/>
          <w:bCs w:val="1"/>
          <w:color w:val="auto"/>
        </w:rPr>
        <w:t xml:space="preserve">  </w:t>
      </w:r>
      <w:r>
        <w:rPr>
          <w:rFonts w:ascii="Arial" w:cs="Arial" w:eastAsia="Arial" w:hAnsi="Arial"/>
          <w:sz w:val="14"/>
          <w:szCs w:val="14"/>
          <w:color w:val="FFFFFF"/>
          <w:highlight w:val="black"/>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137160</wp:posOffset>
            </wp:positionV>
            <wp:extent cx="713359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3590" cy="17145"/>
                    </a:xfrm>
                    <a:prstGeom prst="rect">
                      <a:avLst/>
                    </a:prstGeom>
                    <a:noFill/>
                  </pic:spPr>
                </pic:pic>
              </a:graphicData>
            </a:graphic>
          </wp:anchor>
        </w:drawing>
        <w:drawing>
          <wp:anchor simplePos="0" relativeHeight="251657728" behindDoc="1" locked="0" layoutInCell="0" allowOverlap="1">
            <wp:simplePos x="0" y="0"/>
            <wp:positionH relativeFrom="column">
              <wp:posOffset>6917055</wp:posOffset>
            </wp:positionH>
            <wp:positionV relativeFrom="paragraph">
              <wp:posOffset>-100330</wp:posOffset>
            </wp:positionV>
            <wp:extent cx="220980" cy="1187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20980" cy="118745"/>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25" w:name="page26"/>
    <w:bookmarkEnd w:id="2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6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Consolidated - Financial Results</w:t>
            </w: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26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color w:val="auto"/>
              </w:rPr>
              <w:t>(in 000s, except per share amounts)</w:t>
            </w:r>
          </w:p>
        </w:tc>
      </w:tr>
      <w:tr>
        <w:trPr>
          <w:trHeight w:val="208"/>
        </w:trPr>
        <w:tc>
          <w:tcPr>
            <w:tcW w:w="5460" w:type="dxa"/>
            <w:vAlign w:val="bottom"/>
            <w:gridSpan w:val="2"/>
          </w:tcPr>
          <w:p>
            <w:pPr>
              <w:ind w:left="20"/>
              <w:spacing w:after="0"/>
              <w:rPr>
                <w:sz w:val="20"/>
                <w:szCs w:val="20"/>
                <w:color w:val="auto"/>
              </w:rPr>
            </w:pPr>
            <w:r>
              <w:rPr>
                <w:rFonts w:ascii="Arial" w:cs="Arial" w:eastAsia="Arial" w:hAnsi="Arial"/>
                <w:sz w:val="16"/>
                <w:szCs w:val="16"/>
                <w:color w:val="auto"/>
              </w:rPr>
              <w:t>Six months ended October 31,</w:t>
            </w:r>
          </w:p>
        </w:tc>
        <w:tc>
          <w:tcPr>
            <w:tcW w:w="280" w:type="dxa"/>
            <w:vAlign w:val="bottom"/>
          </w:tcPr>
          <w:p>
            <w:pPr>
              <w:spacing w:after="0"/>
              <w:rPr>
                <w:sz w:val="18"/>
                <w:szCs w:val="18"/>
                <w:color w:val="auto"/>
              </w:rPr>
            </w:pPr>
          </w:p>
        </w:tc>
        <w:tc>
          <w:tcPr>
            <w:tcW w:w="1020" w:type="dxa"/>
            <w:vAlign w:val="bottom"/>
          </w:tcPr>
          <w:p>
            <w:pPr>
              <w:jc w:val="right"/>
              <w:ind w:right="380"/>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00"/>
              <w:spacing w:after="0"/>
              <w:rPr>
                <w:sz w:val="20"/>
                <w:szCs w:val="20"/>
                <w:color w:val="auto"/>
              </w:rPr>
            </w:pPr>
            <w:r>
              <w:rPr>
                <w:rFonts w:ascii="Arial" w:cs="Arial" w:eastAsia="Arial" w:hAnsi="Arial"/>
                <w:sz w:val="16"/>
                <w:szCs w:val="16"/>
                <w:color w:val="auto"/>
              </w:rPr>
              <w:t>2019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ind w:right="240"/>
              <w:spacing w:after="0"/>
              <w:rPr>
                <w:sz w:val="20"/>
                <w:szCs w:val="20"/>
                <w:color w:val="auto"/>
              </w:rPr>
            </w:pPr>
            <w:r>
              <w:rPr>
                <w:rFonts w:ascii="Arial" w:cs="Arial" w:eastAsia="Arial" w:hAnsi="Arial"/>
                <w:sz w:val="16"/>
                <w:szCs w:val="16"/>
                <w:color w:val="auto"/>
              </w:rPr>
              <w:t>$ Change</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 Change</w:t>
            </w:r>
          </w:p>
        </w:tc>
      </w:tr>
      <w:tr>
        <w:trPr>
          <w:trHeight w:val="208"/>
        </w:trPr>
        <w:tc>
          <w:tcPr>
            <w:tcW w:w="5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r>
      <w:tr>
        <w:trPr>
          <w:trHeight w:val="214"/>
        </w:trPr>
        <w:tc>
          <w:tcPr>
            <w:tcW w:w="5460" w:type="dxa"/>
            <w:vAlign w:val="bottom"/>
            <w:gridSpan w:val="2"/>
          </w:tcPr>
          <w:p>
            <w:pPr>
              <w:ind w:left="140"/>
              <w:spacing w:after="0"/>
              <w:rPr>
                <w:sz w:val="20"/>
                <w:szCs w:val="20"/>
                <w:color w:val="auto"/>
              </w:rPr>
            </w:pPr>
            <w:r>
              <w:rPr>
                <w:rFonts w:ascii="Arial" w:cs="Arial" w:eastAsia="Arial" w:hAnsi="Arial"/>
                <w:sz w:val="16"/>
                <w:szCs w:val="16"/>
                <w:color w:val="auto"/>
              </w:rPr>
              <w:t>U.S. assisted tax preparation</w:t>
            </w:r>
          </w:p>
        </w:tc>
        <w:tc>
          <w:tcPr>
            <w:tcW w:w="280" w:type="dxa"/>
            <w:vAlign w:val="bottom"/>
          </w:tcPr>
          <w:p>
            <w:pPr>
              <w:jc w:val="right"/>
              <w:ind w:right="100"/>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386,650</w:t>
            </w:r>
          </w:p>
        </w:tc>
        <w:tc>
          <w:tcPr>
            <w:tcW w:w="120" w:type="dxa"/>
            <w:vAlign w:val="bottom"/>
          </w:tcPr>
          <w:p>
            <w:pPr>
              <w:spacing w:after="0"/>
              <w:rPr>
                <w:sz w:val="18"/>
                <w:szCs w:val="18"/>
                <w:color w:val="auto"/>
              </w:rPr>
            </w:pPr>
          </w:p>
        </w:tc>
        <w:tc>
          <w:tcPr>
            <w:tcW w:w="3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74,218</w:t>
            </w:r>
          </w:p>
        </w:tc>
        <w:tc>
          <w:tcPr>
            <w:tcW w:w="12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312,432</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421.0 %</w:t>
            </w:r>
          </w:p>
        </w:tc>
      </w:tr>
      <w:tr>
        <w:trPr>
          <w:trHeight w:val="214"/>
        </w:trPr>
        <w:tc>
          <w:tcPr>
            <w:tcW w:w="54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U.S. royalties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43,525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14,679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28,846</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196.5 %</w:t>
            </w:r>
          </w:p>
        </w:tc>
      </w:tr>
      <w:tr>
        <w:trPr>
          <w:trHeight w:val="214"/>
        </w:trPr>
        <w:tc>
          <w:tcPr>
            <w:tcW w:w="5460" w:type="dxa"/>
            <w:vAlign w:val="bottom"/>
            <w:gridSpan w:val="2"/>
          </w:tcPr>
          <w:p>
            <w:pPr>
              <w:ind w:left="140"/>
              <w:spacing w:after="0"/>
              <w:rPr>
                <w:sz w:val="20"/>
                <w:szCs w:val="20"/>
                <w:color w:val="auto"/>
              </w:rPr>
            </w:pPr>
            <w:r>
              <w:rPr>
                <w:rFonts w:ascii="Arial" w:cs="Arial" w:eastAsia="Arial" w:hAnsi="Arial"/>
                <w:sz w:val="16"/>
                <w:szCs w:val="16"/>
                <w:color w:val="auto"/>
              </w:rPr>
              <w:t>U.S. DIY tax preparation</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72,650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7,951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64,699</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813.7 %</w:t>
            </w:r>
          </w:p>
        </w:tc>
      </w:tr>
      <w:tr>
        <w:trPr>
          <w:trHeight w:val="214"/>
        </w:trPr>
        <w:tc>
          <w:tcPr>
            <w:tcW w:w="54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International</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116,676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85,507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31,169</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36.5 %</w:t>
            </w:r>
          </w:p>
        </w:tc>
      </w:tr>
      <w:tr>
        <w:trPr>
          <w:trHeight w:val="214"/>
        </w:trPr>
        <w:tc>
          <w:tcPr>
            <w:tcW w:w="5460" w:type="dxa"/>
            <w:vAlign w:val="bottom"/>
            <w:gridSpan w:val="2"/>
          </w:tcPr>
          <w:p>
            <w:pPr>
              <w:ind w:left="140"/>
              <w:spacing w:after="0"/>
              <w:rPr>
                <w:sz w:val="20"/>
                <w:szCs w:val="20"/>
                <w:color w:val="auto"/>
              </w:rPr>
            </w:pPr>
            <w:r>
              <w:rPr>
                <w:rFonts w:ascii="Arial" w:cs="Arial" w:eastAsia="Arial" w:hAnsi="Arial"/>
                <w:sz w:val="16"/>
                <w:szCs w:val="16"/>
                <w:color w:val="auto"/>
              </w:rPr>
              <w:t>Refund Transfers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11,745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9,445</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410.7 %</w:t>
            </w:r>
          </w:p>
        </w:tc>
      </w:tr>
      <w:tr>
        <w:trPr>
          <w:trHeight w:val="214"/>
        </w:trPr>
        <w:tc>
          <w:tcPr>
            <w:tcW w:w="54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Emerald Card</w:t>
            </w:r>
            <w:r>
              <w:rPr>
                <w:rFonts w:ascii="Arial" w:cs="Arial" w:eastAsia="Arial" w:hAnsi="Arial"/>
                <w:sz w:val="16"/>
                <w:szCs w:val="16"/>
                <w:b w:val="1"/>
                <w:bCs w:val="1"/>
                <w:color w:val="auto"/>
              </w:rPr>
              <w:t>®</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26,850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22,471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4,379</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19.5 %</w:t>
            </w:r>
          </w:p>
        </w:tc>
      </w:tr>
      <w:tr>
        <w:trPr>
          <w:trHeight w:val="214"/>
        </w:trPr>
        <w:tc>
          <w:tcPr>
            <w:tcW w:w="5460" w:type="dxa"/>
            <w:vAlign w:val="bottom"/>
            <w:gridSpan w:val="2"/>
          </w:tcPr>
          <w:p>
            <w:pPr>
              <w:ind w:left="140"/>
              <w:spacing w:after="0"/>
              <w:rPr>
                <w:sz w:val="20"/>
                <w:szCs w:val="20"/>
                <w:color w:val="auto"/>
              </w:rPr>
            </w:pPr>
            <w:r>
              <w:rPr>
                <w:rFonts w:ascii="Arial" w:cs="Arial" w:eastAsia="Arial" w:hAnsi="Arial"/>
                <w:sz w:val="16"/>
                <w:szCs w:val="16"/>
                <w:color w:val="auto"/>
              </w:rPr>
              <w:t>Peace of Mind® Extended Service Plan</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56,770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58,497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(1,727)</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(3.0)%</w:t>
            </w:r>
          </w:p>
        </w:tc>
      </w:tr>
      <w:tr>
        <w:trPr>
          <w:trHeight w:val="214"/>
        </w:trPr>
        <w:tc>
          <w:tcPr>
            <w:tcW w:w="54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Tax Identity Shield®</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14,202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9,170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5,032</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54.9 %</w:t>
            </w:r>
          </w:p>
        </w:tc>
      </w:tr>
      <w:tr>
        <w:trPr>
          <w:trHeight w:val="214"/>
        </w:trPr>
        <w:tc>
          <w:tcPr>
            <w:tcW w:w="5460" w:type="dxa"/>
            <w:vAlign w:val="bottom"/>
            <w:gridSpan w:val="2"/>
          </w:tcPr>
          <w:p>
            <w:pPr>
              <w:ind w:left="140"/>
              <w:spacing w:after="0" w:line="214" w:lineRule="exact"/>
              <w:rPr>
                <w:sz w:val="20"/>
                <w:szCs w:val="20"/>
                <w:color w:val="auto"/>
              </w:rPr>
            </w:pPr>
            <w:r>
              <w:rPr>
                <w:rFonts w:ascii="Arial" w:cs="Arial" w:eastAsia="Arial" w:hAnsi="Arial"/>
                <w:sz w:val="16"/>
                <w:szCs w:val="16"/>
                <w:color w:val="auto"/>
              </w:rPr>
              <w:t>Interest and fee income on Emerald Advance</w:t>
            </w:r>
            <w:r>
              <w:rPr>
                <w:rFonts w:ascii="Arial" w:cs="Arial" w:eastAsia="Arial" w:hAnsi="Arial"/>
                <w:sz w:val="20"/>
                <w:szCs w:val="20"/>
                <w:color w:val="auto"/>
                <w:vertAlign w:val="superscript"/>
              </w:rPr>
              <w:t>TM</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1,164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1,039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125</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12.0 %</w:t>
            </w:r>
          </w:p>
        </w:tc>
      </w:tr>
      <w:tr>
        <w:trPr>
          <w:trHeight w:val="214"/>
        </w:trPr>
        <w:tc>
          <w:tcPr>
            <w:tcW w:w="54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Wave</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26,394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14,527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11,867</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81.7 %</w:t>
            </w:r>
          </w:p>
        </w:tc>
      </w:tr>
      <w:tr>
        <w:trPr>
          <w:trHeight w:val="214"/>
        </w:trPr>
        <w:tc>
          <w:tcPr>
            <w:tcW w:w="546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20,954</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20,804</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w:t>
            </w:r>
          </w:p>
        </w:tc>
        <w:tc>
          <w:tcPr>
            <w:tcW w:w="15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0.7 %</w:t>
            </w:r>
          </w:p>
        </w:tc>
      </w:tr>
      <w:tr>
        <w:trPr>
          <w:trHeight w:val="208"/>
        </w:trPr>
        <w:tc>
          <w:tcPr>
            <w:tcW w:w="54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Total revenues</w:t>
            </w: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777,580</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311,163</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466,417</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149.9 %</w:t>
            </w:r>
          </w:p>
        </w:tc>
      </w:tr>
      <w:tr>
        <w:trPr>
          <w:trHeight w:val="34"/>
        </w:trPr>
        <w:tc>
          <w:tcPr>
            <w:tcW w:w="5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14"/>
        </w:trPr>
        <w:tc>
          <w:tcPr>
            <w:tcW w:w="5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Compensation and benefits: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4"/>
        </w:trPr>
        <w:tc>
          <w:tcPr>
            <w:tcW w:w="5460" w:type="dxa"/>
            <w:vAlign w:val="bottom"/>
            <w:gridSpan w:val="2"/>
          </w:tcPr>
          <w:p>
            <w:pPr>
              <w:ind w:left="140"/>
              <w:spacing w:after="0"/>
              <w:rPr>
                <w:sz w:val="20"/>
                <w:szCs w:val="20"/>
                <w:color w:val="auto"/>
              </w:rPr>
            </w:pPr>
            <w:r>
              <w:rPr>
                <w:rFonts w:ascii="Arial" w:cs="Arial" w:eastAsia="Arial" w:hAnsi="Arial"/>
                <w:sz w:val="16"/>
                <w:szCs w:val="16"/>
                <w:color w:val="auto"/>
              </w:rPr>
              <w:t>Field wages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179,549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114,796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64,753</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56.4 %</w:t>
            </w:r>
          </w:p>
        </w:tc>
      </w:tr>
      <w:tr>
        <w:trPr>
          <w:trHeight w:val="214"/>
        </w:trPr>
        <w:tc>
          <w:tcPr>
            <w:tcW w:w="54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Other wages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119,756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114,581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5,175</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4.5 %</w:t>
            </w:r>
          </w:p>
        </w:tc>
      </w:tr>
      <w:tr>
        <w:trPr>
          <w:trHeight w:val="214"/>
        </w:trPr>
        <w:tc>
          <w:tcPr>
            <w:tcW w:w="546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Benefits and other compensation</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65,944</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55,182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10,762</w:t>
            </w:r>
          </w:p>
        </w:tc>
        <w:tc>
          <w:tcPr>
            <w:tcW w:w="15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19.5 %</w:t>
            </w:r>
          </w:p>
        </w:tc>
      </w:tr>
      <w:tr>
        <w:trPr>
          <w:trHeight w:val="208"/>
        </w:trPr>
        <w:tc>
          <w:tcPr>
            <w:tcW w:w="5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365,249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284,559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80,690</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28.4 %</w:t>
            </w:r>
          </w:p>
        </w:tc>
      </w:tr>
      <w:tr>
        <w:trPr>
          <w:trHeight w:val="214"/>
        </w:trPr>
        <w:tc>
          <w:tcPr>
            <w:tcW w:w="5460" w:type="dxa"/>
            <w:vAlign w:val="bottom"/>
            <w:gridSpan w:val="2"/>
          </w:tcPr>
          <w:p>
            <w:pPr>
              <w:ind w:left="20"/>
              <w:spacing w:after="0"/>
              <w:rPr>
                <w:sz w:val="20"/>
                <w:szCs w:val="20"/>
                <w:color w:val="auto"/>
              </w:rPr>
            </w:pPr>
            <w:r>
              <w:rPr>
                <w:rFonts w:ascii="Arial" w:cs="Arial" w:eastAsia="Arial" w:hAnsi="Arial"/>
                <w:sz w:val="16"/>
                <w:szCs w:val="16"/>
                <w:color w:val="auto"/>
              </w:rPr>
              <w:t>Occupancy</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197,058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189,682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7,376</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3.9 %</w:t>
            </w:r>
          </w:p>
        </w:tc>
      </w:tr>
      <w:tr>
        <w:trPr>
          <w:trHeight w:val="214"/>
        </w:trPr>
        <w:tc>
          <w:tcPr>
            <w:tcW w:w="5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Marketing and advertising</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28,128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16,430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11,698</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71.2 %</w:t>
            </w:r>
          </w:p>
        </w:tc>
      </w:tr>
      <w:tr>
        <w:trPr>
          <w:trHeight w:val="214"/>
        </w:trPr>
        <w:tc>
          <w:tcPr>
            <w:tcW w:w="5460" w:type="dxa"/>
            <w:vAlign w:val="bottom"/>
            <w:gridSpan w:val="2"/>
          </w:tcPr>
          <w:p>
            <w:pPr>
              <w:ind w:left="2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77,307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81,262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(3,955)</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(4.9)%</w:t>
            </w:r>
          </w:p>
        </w:tc>
      </w:tr>
      <w:tr>
        <w:trPr>
          <w:trHeight w:val="214"/>
        </w:trPr>
        <w:tc>
          <w:tcPr>
            <w:tcW w:w="5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Bad debt</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2,969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1,902</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178.3 %</w:t>
            </w:r>
          </w:p>
        </w:tc>
      </w:tr>
      <w:tr>
        <w:trPr>
          <w:trHeight w:val="214"/>
        </w:trPr>
        <w:tc>
          <w:tcPr>
            <w:tcW w:w="54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159,260</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176,068</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(16,808)</w:t>
            </w:r>
          </w:p>
        </w:tc>
        <w:tc>
          <w:tcPr>
            <w:tcW w:w="15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(9.5)%</w:t>
            </w:r>
          </w:p>
        </w:tc>
      </w:tr>
      <w:tr>
        <w:trPr>
          <w:trHeight w:val="208"/>
        </w:trPr>
        <w:tc>
          <w:tcPr>
            <w:tcW w:w="54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Total operating expenses</w:t>
            </w: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829,971</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749,068</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80,903</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10.8 %</w:t>
            </w:r>
          </w:p>
        </w:tc>
      </w:tr>
      <w:tr>
        <w:trPr>
          <w:trHeight w:val="208"/>
        </w:trPr>
        <w:tc>
          <w:tcPr>
            <w:tcW w:w="5460" w:type="dxa"/>
            <w:vAlign w:val="bottom"/>
            <w:gridSpan w:val="2"/>
          </w:tcPr>
          <w:p>
            <w:pPr>
              <w:ind w:left="20"/>
              <w:spacing w:after="0"/>
              <w:rPr>
                <w:sz w:val="20"/>
                <w:szCs w:val="20"/>
                <w:color w:val="auto"/>
              </w:rPr>
            </w:pPr>
            <w:r>
              <w:rPr>
                <w:rFonts w:ascii="Arial" w:cs="Arial" w:eastAsia="Arial" w:hAnsi="Arial"/>
                <w:sz w:val="16"/>
                <w:szCs w:val="16"/>
                <w:color w:val="auto"/>
              </w:rPr>
              <w:t>Other income (expense), net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2,392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11,862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(9,470)</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(79.8)%</w:t>
            </w:r>
          </w:p>
        </w:tc>
      </w:tr>
      <w:tr>
        <w:trPr>
          <w:trHeight w:val="214"/>
        </w:trPr>
        <w:tc>
          <w:tcPr>
            <w:tcW w:w="5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expense on borrowings</w:t>
            </w: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(62,986)</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(42,377)</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(20,609)</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(48.6)%</w:t>
            </w:r>
          </w:p>
        </w:tc>
      </w:tr>
      <w:tr>
        <w:trPr>
          <w:trHeight w:val="208"/>
        </w:trPr>
        <w:tc>
          <w:tcPr>
            <w:tcW w:w="5460" w:type="dxa"/>
            <w:vAlign w:val="bottom"/>
            <w:gridSpan w:val="2"/>
          </w:tcPr>
          <w:p>
            <w:pPr>
              <w:ind w:left="20"/>
              <w:spacing w:after="0"/>
              <w:rPr>
                <w:sz w:val="20"/>
                <w:szCs w:val="20"/>
                <w:color w:val="auto"/>
              </w:rPr>
            </w:pPr>
            <w:r>
              <w:rPr>
                <w:rFonts w:ascii="Arial" w:cs="Arial" w:eastAsia="Arial" w:hAnsi="Arial"/>
                <w:sz w:val="16"/>
                <w:szCs w:val="16"/>
                <w:color w:val="auto"/>
              </w:rPr>
              <w:t>Pretax loss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(112,985)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(468,420)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355,435</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75.9 %</w:t>
            </w:r>
          </w:p>
        </w:tc>
      </w:tr>
      <w:tr>
        <w:trPr>
          <w:trHeight w:val="214"/>
        </w:trPr>
        <w:tc>
          <w:tcPr>
            <w:tcW w:w="5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Income taxes (benefit)</w:t>
            </w: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15,939</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(139,142)</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(155,081)</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8"/>
        </w:trPr>
        <w:tc>
          <w:tcPr>
            <w:tcW w:w="5460" w:type="dxa"/>
            <w:vAlign w:val="bottom"/>
            <w:gridSpan w:val="2"/>
          </w:tcPr>
          <w:p>
            <w:pPr>
              <w:ind w:left="20"/>
              <w:spacing w:after="0"/>
              <w:rPr>
                <w:sz w:val="20"/>
                <w:szCs w:val="20"/>
                <w:color w:val="auto"/>
              </w:rPr>
            </w:pPr>
            <w:r>
              <w:rPr>
                <w:rFonts w:ascii="Arial" w:cs="Arial" w:eastAsia="Arial" w:hAnsi="Arial"/>
                <w:sz w:val="16"/>
                <w:szCs w:val="16"/>
                <w:color w:val="auto"/>
              </w:rPr>
              <w:t>Net loss from continuing operations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(128,924)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(329,278)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200,354</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60.8 %</w:t>
            </w:r>
          </w:p>
        </w:tc>
      </w:tr>
      <w:tr>
        <w:trPr>
          <w:trHeight w:val="214"/>
        </w:trPr>
        <w:tc>
          <w:tcPr>
            <w:tcW w:w="5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loss from discontinued operations</w:t>
            </w: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(3,543)</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(8,968)</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5,425</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60.5 %</w:t>
            </w:r>
          </w:p>
        </w:tc>
      </w:tr>
      <w:tr>
        <w:trPr>
          <w:trHeight w:val="246"/>
        </w:trPr>
        <w:tc>
          <w:tcPr>
            <w:tcW w:w="54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Net loss</w:t>
            </w:r>
          </w:p>
        </w:tc>
        <w:tc>
          <w:tcPr>
            <w:tcW w:w="2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(132,467)</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(338,246)</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205,779</w:t>
            </w:r>
          </w:p>
        </w:tc>
        <w:tc>
          <w:tcPr>
            <w:tcW w:w="15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60.8 %</w:t>
            </w:r>
          </w:p>
        </w:tc>
      </w:tr>
      <w:tr>
        <w:trPr>
          <w:trHeight w:val="187"/>
        </w:trPr>
        <w:tc>
          <w:tcPr>
            <w:tcW w:w="5460" w:type="dxa"/>
            <w:vAlign w:val="bottom"/>
            <w:tcBorders>
              <w:top w:val="single" w:sz="8" w:color="CCEEFF"/>
            </w:tcBorders>
            <w:gridSpan w:val="2"/>
          </w:tcPr>
          <w:p>
            <w:pPr>
              <w:ind w:left="20"/>
              <w:spacing w:after="0"/>
              <w:rPr>
                <w:sz w:val="20"/>
                <w:szCs w:val="20"/>
                <w:color w:val="auto"/>
              </w:rPr>
            </w:pPr>
            <w:r>
              <w:rPr>
                <w:rFonts w:ascii="Arial" w:cs="Arial" w:eastAsia="Arial" w:hAnsi="Arial"/>
                <w:sz w:val="14"/>
                <w:szCs w:val="14"/>
                <w:b w:val="1"/>
                <w:bCs w:val="1"/>
                <w:color w:val="auto"/>
              </w:rPr>
              <w:t>BASIC AND DILUTED LOSS PER SHARE:</w:t>
            </w:r>
          </w:p>
        </w:tc>
        <w:tc>
          <w:tcPr>
            <w:tcW w:w="28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1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420" w:type="dxa"/>
            <w:vAlign w:val="bottom"/>
            <w:tcBorders>
              <w:top w:val="single" w:sz="8" w:color="CCEEFF"/>
            </w:tcBorders>
          </w:tcPr>
          <w:p>
            <w:pPr>
              <w:spacing w:after="0"/>
              <w:rPr>
                <w:sz w:val="16"/>
                <w:szCs w:val="16"/>
                <w:color w:val="auto"/>
              </w:rPr>
            </w:pPr>
          </w:p>
        </w:tc>
      </w:tr>
      <w:tr>
        <w:trPr>
          <w:trHeight w:val="214"/>
        </w:trPr>
        <w:tc>
          <w:tcPr>
            <w:tcW w:w="54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Continuing operations</w:t>
            </w:r>
          </w:p>
        </w:tc>
        <w:tc>
          <w:tcPr>
            <w:tcW w:w="280" w:type="dxa"/>
            <w:vAlign w:val="bottom"/>
            <w:shd w:val="clear" w:color="auto" w:fill="CCEEFF"/>
          </w:tcPr>
          <w:p>
            <w:pPr>
              <w:jc w:val="right"/>
              <w:ind w:right="100"/>
              <w:spacing w:after="0"/>
              <w:rPr>
                <w:sz w:val="20"/>
                <w:szCs w:val="20"/>
                <w:color w:val="auto"/>
              </w:rPr>
            </w:pPr>
            <w:r>
              <w:rPr>
                <w:rFonts w:ascii="Arial" w:cs="Arial" w:eastAsia="Arial" w:hAnsi="Arial"/>
                <w:sz w:val="16"/>
                <w:szCs w:val="16"/>
                <w:b w:val="1"/>
                <w:bCs w:val="1"/>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(0.68)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0.97</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58.8 %</w:t>
            </w:r>
          </w:p>
        </w:tc>
      </w:tr>
      <w:tr>
        <w:trPr>
          <w:trHeight w:val="214"/>
        </w:trPr>
        <w:tc>
          <w:tcPr>
            <w:tcW w:w="546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Discontinued operations</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(0.02)</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(0.04)</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0.02</w:t>
            </w:r>
          </w:p>
        </w:tc>
        <w:tc>
          <w:tcPr>
            <w:tcW w:w="15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50.0 %</w:t>
            </w:r>
          </w:p>
        </w:tc>
      </w:tr>
      <w:tr>
        <w:trPr>
          <w:trHeight w:val="208"/>
        </w:trPr>
        <w:tc>
          <w:tcPr>
            <w:tcW w:w="54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Consolidated</w:t>
            </w:r>
          </w:p>
        </w:tc>
        <w:tc>
          <w:tcPr>
            <w:tcW w:w="2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(0.70)</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0.99</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58.6 %</w:t>
            </w:r>
          </w:p>
        </w:tc>
      </w:tr>
      <w:tr>
        <w:trPr>
          <w:trHeight w:val="34"/>
        </w:trPr>
        <w:tc>
          <w:tcPr>
            <w:tcW w:w="5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14"/>
        </w:trPr>
        <w:tc>
          <w:tcPr>
            <w:tcW w:w="5460" w:type="dxa"/>
            <w:vAlign w:val="bottom"/>
            <w:gridSpan w:val="2"/>
            <w:shd w:val="clear" w:color="auto" w:fill="CCEEFF"/>
          </w:tcPr>
          <w:p>
            <w:pPr>
              <w:ind w:left="20"/>
              <w:spacing w:after="0" w:line="214" w:lineRule="exact"/>
              <w:rPr>
                <w:sz w:val="20"/>
                <w:szCs w:val="20"/>
                <w:color w:val="auto"/>
              </w:rPr>
            </w:pPr>
            <w:r>
              <w:rPr>
                <w:rFonts w:ascii="Arial" w:cs="Arial" w:eastAsia="Arial" w:hAnsi="Arial"/>
                <w:sz w:val="16"/>
                <w:szCs w:val="16"/>
                <w:color w:val="auto"/>
              </w:rPr>
              <w:t xml:space="preserve">EBITDA from continuing operations </w:t>
            </w:r>
            <w:r>
              <w:rPr>
                <w:rFonts w:ascii="Arial" w:cs="Arial" w:eastAsia="Arial" w:hAnsi="Arial"/>
                <w:sz w:val="20"/>
                <w:szCs w:val="20"/>
                <w:color w:val="auto"/>
                <w:vertAlign w:val="superscript"/>
              </w:rPr>
              <w:t>(1)</w:t>
            </w:r>
          </w:p>
        </w:tc>
        <w:tc>
          <w:tcPr>
            <w:tcW w:w="280" w:type="dxa"/>
            <w:vAlign w:val="bottom"/>
            <w:shd w:val="clear" w:color="auto" w:fill="CCEEFF"/>
          </w:tcPr>
          <w:p>
            <w:pPr>
              <w:jc w:val="right"/>
              <w:ind w:right="100"/>
              <w:spacing w:after="0"/>
              <w:rPr>
                <w:sz w:val="20"/>
                <w:szCs w:val="20"/>
                <w:color w:val="auto"/>
              </w:rPr>
            </w:pPr>
            <w:r>
              <w:rPr>
                <w:rFonts w:ascii="Arial" w:cs="Arial" w:eastAsia="Arial" w:hAnsi="Arial"/>
                <w:sz w:val="16"/>
                <w:szCs w:val="16"/>
                <w:b w:val="1"/>
                <w:bCs w:val="1"/>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27,308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(344,781)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372,089</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54"/>
        </w:trPr>
        <w:tc>
          <w:tcPr>
            <w:tcW w:w="53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r>
    </w:tbl>
    <w:p>
      <w:pPr>
        <w:spacing w:after="0" w:line="80" w:lineRule="exact"/>
        <w:rPr>
          <w:sz w:val="20"/>
          <w:szCs w:val="20"/>
          <w:color w:val="auto"/>
        </w:rPr>
      </w:pPr>
    </w:p>
    <w:p>
      <w:pPr>
        <w:ind w:left="140" w:hanging="133"/>
        <w:spacing w:after="0"/>
        <w:tabs>
          <w:tab w:leader="none" w:pos="140" w:val="left"/>
        </w:tabs>
        <w:numPr>
          <w:ilvl w:val="0"/>
          <w:numId w:val="21"/>
        </w:numPr>
        <w:rPr>
          <w:rFonts w:ascii="Arial" w:cs="Arial" w:eastAsia="Arial" w:hAnsi="Arial"/>
          <w:sz w:val="16"/>
          <w:szCs w:val="16"/>
          <w:color w:val="auto"/>
          <w:vertAlign w:val="superscript"/>
        </w:rPr>
      </w:pPr>
      <w:r>
        <w:rPr>
          <w:rFonts w:ascii="Arial" w:cs="Arial" w:eastAsia="Arial" w:hAnsi="Arial"/>
          <w:sz w:val="13"/>
          <w:szCs w:val="13"/>
          <w:color w:val="auto"/>
        </w:rPr>
        <w:t>See "Non-GAAP Financial Information" at the end of this item for a reconciliation of non-GAAP measures.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October 31, 2020 compared to October 31, 2019</w:t>
      </w:r>
    </w:p>
    <w:p>
      <w:pPr>
        <w:spacing w:after="0" w:line="116"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Due to the extension of the tax season related to the COVID-19 pandemic, we had significant increases in the number of tax returns prepared in all categories compared to the prior year. This resulted in increases in almost all categories of our revenues, with total revenues increasing $466.4 million, or 149.9%. International revenues increased $31.2 million, or 36.5%, due to higher tax returns prepared in our Canadian operations due to the extension of the Canadian tax season as described above.</w:t>
      </w:r>
    </w:p>
    <w:p>
      <w:pPr>
        <w:spacing w:after="0" w:line="67" w:lineRule="exact"/>
        <w:rPr>
          <w:sz w:val="20"/>
          <w:szCs w:val="20"/>
          <w:color w:val="auto"/>
        </w:rPr>
      </w:pPr>
    </w:p>
    <w:p>
      <w:pPr>
        <w:jc w:val="both"/>
        <w:ind w:firstLine="241"/>
        <w:spacing w:after="0" w:line="267" w:lineRule="auto"/>
        <w:rPr>
          <w:sz w:val="20"/>
          <w:szCs w:val="20"/>
          <w:color w:val="auto"/>
        </w:rPr>
      </w:pPr>
      <w:r>
        <w:rPr>
          <w:rFonts w:ascii="Arial" w:cs="Arial" w:eastAsia="Arial" w:hAnsi="Arial"/>
          <w:sz w:val="18"/>
          <w:szCs w:val="18"/>
          <w:color w:val="auto"/>
        </w:rPr>
        <w:t>Wave revenues increased $11.9 million, or 81.7% due to higher small business payments processing volumes over the prior year as small business owners shift to online payment options and an additional two months of revenue in the current year, as we acquired Wave on June 28, 2019.</w:t>
      </w:r>
    </w:p>
    <w:p>
      <w:pPr>
        <w:sectPr>
          <w:pgSz w:w="11900" w:h="16838" w:orient="portrait"/>
          <w:cols w:equalWidth="0" w:num="1">
            <w:col w:w="11240"/>
          </w:cols>
          <w:pgMar w:left="320" w:top="22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60" w:hanging="265"/>
        <w:spacing w:after="0"/>
        <w:tabs>
          <w:tab w:leader="none" w:pos="360" w:val="left"/>
        </w:tabs>
        <w:numPr>
          <w:ilvl w:val="0"/>
          <w:numId w:val="22"/>
        </w:numPr>
        <w:rPr>
          <w:rFonts w:ascii="Arial" w:cs="Arial" w:eastAsia="Arial" w:hAnsi="Arial"/>
          <w:sz w:val="14"/>
          <w:szCs w:val="14"/>
          <w:color w:val="FFFFFF"/>
          <w:highlight w:val="black"/>
        </w:rPr>
      </w:pPr>
      <w:r>
        <w:rPr>
          <w:rFonts w:ascii="Arial" w:cs="Arial" w:eastAsia="Arial" w:hAnsi="Arial"/>
          <w:sz w:val="14"/>
          <w:szCs w:val="14"/>
          <w:color w:val="auto"/>
        </w:rPr>
        <w:t xml:space="preserve">Q2 FY2021 Form 10-Q | </w:t>
      </w:r>
      <w:r>
        <w:rPr>
          <w:rFonts w:ascii="Arial" w:cs="Arial" w:eastAsia="Arial" w:hAnsi="Arial"/>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145415</wp:posOffset>
            </wp:positionV>
            <wp:extent cx="713359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3590"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-100330</wp:posOffset>
            </wp:positionV>
            <wp:extent cx="212725" cy="1187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12725" cy="118745"/>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type w:val="continuous"/>
        </w:sectPr>
      </w:pPr>
    </w:p>
    <w:bookmarkStart w:id="26" w:name="page27"/>
    <w:bookmarkEnd w:id="2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firstLine="241"/>
        <w:spacing w:after="0" w:line="254" w:lineRule="auto"/>
        <w:rPr>
          <w:sz w:val="20"/>
          <w:szCs w:val="20"/>
          <w:color w:val="auto"/>
        </w:rPr>
      </w:pPr>
      <w:r>
        <w:rPr>
          <w:rFonts w:ascii="Arial" w:cs="Arial" w:eastAsia="Arial" w:hAnsi="Arial"/>
          <w:sz w:val="18"/>
          <w:szCs w:val="18"/>
          <w:color w:val="auto"/>
        </w:rPr>
        <w:t>Total operating expenses increased $80.9 million, or 10.8%, from the prior year period. Field wages increased $64.8 million, or 56.4%, primarily due to the increase in tax return volumes due to the extended tax season, which was partially offset by Canadian wage subsidies. Other wages increased $5.2 million, or 4.5%, primarily due to higher bonus accruals based on the results of the extended tax season and the acquisition of Wave. Benefits and other compensation increased $10.8 million, or 19.5% primarily due to higher payroll taxes as a result of higher wages. Occupancy expenses increased $7.4 million, or 3.9%, due to additional office related expenses as a result of the extension of the tax season and higher rent due to an increase in the number of offices over the prior year. Marketing expense increased $11.7 million, or 71.2%, due to the extension of the tax season.</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Other expenses decreased $16.8 million, or 9.5%. The components of other expenses are as follows:</w:t>
      </w:r>
    </w:p>
    <w:p>
      <w:pPr>
        <w:spacing w:after="0" w:line="131"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500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color w:val="auto"/>
              </w:rPr>
              <w:t>Six months ended October 31,</w:t>
            </w: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460"/>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460"/>
              <w:spacing w:after="0"/>
              <w:rPr>
                <w:sz w:val="20"/>
                <w:szCs w:val="20"/>
                <w:color w:val="auto"/>
              </w:rPr>
            </w:pPr>
            <w:r>
              <w:rPr>
                <w:rFonts w:ascii="Arial" w:cs="Arial" w:eastAsia="Arial" w:hAnsi="Arial"/>
                <w:sz w:val="16"/>
                <w:szCs w:val="16"/>
                <w:color w:val="auto"/>
              </w:rPr>
              <w:t>2019</w:t>
            </w: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300"/>
              <w:spacing w:after="0"/>
              <w:rPr>
                <w:sz w:val="20"/>
                <w:szCs w:val="20"/>
                <w:color w:val="auto"/>
              </w:rPr>
            </w:pPr>
            <w:r>
              <w:rPr>
                <w:rFonts w:ascii="Arial" w:cs="Arial" w:eastAsia="Arial" w:hAnsi="Arial"/>
                <w:sz w:val="16"/>
                <w:szCs w:val="16"/>
                <w:color w:val="auto"/>
              </w:rPr>
              <w:t>$ Change</w:t>
            </w:r>
          </w:p>
        </w:tc>
        <w:tc>
          <w:tcPr>
            <w:tcW w:w="12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jc w:val="right"/>
              <w:ind w:right="320"/>
              <w:spacing w:after="0"/>
              <w:rPr>
                <w:sz w:val="20"/>
                <w:szCs w:val="20"/>
                <w:color w:val="auto"/>
              </w:rPr>
            </w:pPr>
            <w:r>
              <w:rPr>
                <w:rFonts w:ascii="Arial" w:cs="Arial" w:eastAsia="Arial" w:hAnsi="Arial"/>
                <w:sz w:val="16"/>
                <w:szCs w:val="16"/>
                <w:color w:val="auto"/>
              </w:rPr>
              <w:t>% Change</w:t>
            </w:r>
          </w:p>
        </w:tc>
      </w:tr>
      <w:tr>
        <w:trPr>
          <w:trHeight w:val="208"/>
        </w:trPr>
        <w:tc>
          <w:tcPr>
            <w:tcW w:w="48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Consulting and outsourced services</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39,626</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42,473</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(2,847)</w:t>
            </w:r>
          </w:p>
        </w:tc>
        <w:tc>
          <w:tcPr>
            <w:tcW w:w="12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w:t>
            </w:r>
          </w:p>
        </w:tc>
      </w:tr>
      <w:tr>
        <w:trPr>
          <w:trHeight w:val="214"/>
        </w:trPr>
        <w:tc>
          <w:tcPr>
            <w:tcW w:w="5000" w:type="dxa"/>
            <w:vAlign w:val="bottom"/>
            <w:gridSpan w:val="2"/>
          </w:tcPr>
          <w:p>
            <w:pPr>
              <w:ind w:left="20"/>
              <w:spacing w:after="0"/>
              <w:rPr>
                <w:sz w:val="20"/>
                <w:szCs w:val="20"/>
                <w:color w:val="auto"/>
              </w:rPr>
            </w:pPr>
            <w:r>
              <w:rPr>
                <w:rFonts w:ascii="Arial" w:cs="Arial" w:eastAsia="Arial" w:hAnsi="Arial"/>
                <w:sz w:val="16"/>
                <w:szCs w:val="16"/>
                <w:color w:val="auto"/>
              </w:rPr>
              <w:t>Bank partner fees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(650)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2,855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(3,505)</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5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Client claims and refunds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10,673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18,701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(8,028)</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(42.9)%</w:t>
            </w:r>
          </w:p>
        </w:tc>
      </w:tr>
      <w:tr>
        <w:trPr>
          <w:trHeight w:val="214"/>
        </w:trPr>
        <w:tc>
          <w:tcPr>
            <w:tcW w:w="5000" w:type="dxa"/>
            <w:vAlign w:val="bottom"/>
            <w:gridSpan w:val="2"/>
          </w:tcPr>
          <w:p>
            <w:pPr>
              <w:ind w:left="20"/>
              <w:spacing w:after="0"/>
              <w:rPr>
                <w:sz w:val="20"/>
                <w:szCs w:val="20"/>
                <w:color w:val="auto"/>
              </w:rPr>
            </w:pPr>
            <w:r>
              <w:rPr>
                <w:rFonts w:ascii="Arial" w:cs="Arial" w:eastAsia="Arial" w:hAnsi="Arial"/>
                <w:sz w:val="16"/>
                <w:szCs w:val="16"/>
                <w:color w:val="auto"/>
              </w:rPr>
              <w:t>Employee travel and related expenses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9,460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22,238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(12,778)</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(57.5)%</w:t>
            </w:r>
          </w:p>
        </w:tc>
      </w:tr>
      <w:tr>
        <w:trPr>
          <w:trHeight w:val="214"/>
        </w:trPr>
        <w:tc>
          <w:tcPr>
            <w:tcW w:w="5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Technology-related expenses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35,829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30,979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4,850</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15.7 %</w:t>
            </w:r>
          </w:p>
        </w:tc>
      </w:tr>
      <w:tr>
        <w:trPr>
          <w:trHeight w:val="214"/>
        </w:trPr>
        <w:tc>
          <w:tcPr>
            <w:tcW w:w="5000" w:type="dxa"/>
            <w:vAlign w:val="bottom"/>
            <w:gridSpan w:val="2"/>
          </w:tcPr>
          <w:p>
            <w:pPr>
              <w:ind w:left="20"/>
              <w:spacing w:after="0"/>
              <w:rPr>
                <w:sz w:val="20"/>
                <w:szCs w:val="20"/>
                <w:color w:val="auto"/>
              </w:rPr>
            </w:pPr>
            <w:r>
              <w:rPr>
                <w:rFonts w:ascii="Arial" w:cs="Arial" w:eastAsia="Arial" w:hAnsi="Arial"/>
                <w:sz w:val="16"/>
                <w:szCs w:val="16"/>
                <w:color w:val="auto"/>
              </w:rPr>
              <w:t>Credit card/bank charges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26,689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13,828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12,861</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93.0 %</w:t>
            </w:r>
          </w:p>
        </w:tc>
      </w:tr>
      <w:tr>
        <w:trPr>
          <w:trHeight w:val="214"/>
        </w:trPr>
        <w:tc>
          <w:tcPr>
            <w:tcW w:w="5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Insurance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6,214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8,239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(2,025)</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(24.6)%</w:t>
            </w:r>
          </w:p>
        </w:tc>
      </w:tr>
      <w:tr>
        <w:trPr>
          <w:trHeight w:val="214"/>
        </w:trPr>
        <w:tc>
          <w:tcPr>
            <w:tcW w:w="5000" w:type="dxa"/>
            <w:vAlign w:val="bottom"/>
            <w:gridSpan w:val="2"/>
          </w:tcPr>
          <w:p>
            <w:pPr>
              <w:ind w:left="20"/>
              <w:spacing w:after="0"/>
              <w:rPr>
                <w:sz w:val="20"/>
                <w:szCs w:val="20"/>
                <w:color w:val="auto"/>
              </w:rPr>
            </w:pPr>
            <w:r>
              <w:rPr>
                <w:rFonts w:ascii="Arial" w:cs="Arial" w:eastAsia="Arial" w:hAnsi="Arial"/>
                <w:sz w:val="16"/>
                <w:szCs w:val="16"/>
                <w:color w:val="auto"/>
              </w:rPr>
              <w:t>Legal fees and settlements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13,285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16,301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(3,016)</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(18.5)%</w:t>
            </w:r>
          </w:p>
        </w:tc>
      </w:tr>
      <w:tr>
        <w:trPr>
          <w:trHeight w:val="214"/>
        </w:trPr>
        <w:tc>
          <w:tcPr>
            <w:tcW w:w="5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Supplies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6,952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8,546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(1,594)</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(18.7)%</w:t>
            </w:r>
          </w:p>
        </w:tc>
      </w:tr>
      <w:tr>
        <w:trPr>
          <w:trHeight w:val="214"/>
        </w:trPr>
        <w:tc>
          <w:tcPr>
            <w:tcW w:w="50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11,182</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11,908</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(726)</w:t>
            </w:r>
          </w:p>
        </w:tc>
        <w:tc>
          <w:tcPr>
            <w:tcW w:w="16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(6.1)%</w:t>
            </w:r>
          </w:p>
        </w:tc>
      </w:tr>
      <w:tr>
        <w:trPr>
          <w:trHeight w:val="208"/>
        </w:trPr>
        <w:tc>
          <w:tcPr>
            <w:tcW w:w="4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159,260</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176,068</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(16,808)</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(9.5)%</w:t>
            </w:r>
          </w:p>
        </w:tc>
      </w:tr>
      <w:tr>
        <w:trPr>
          <w:trHeight w:val="34"/>
        </w:trPr>
        <w:tc>
          <w:tcPr>
            <w:tcW w:w="4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bl>
    <w:p>
      <w:pPr>
        <w:spacing w:after="0" w:line="165" w:lineRule="exact"/>
        <w:rPr>
          <w:sz w:val="20"/>
          <w:szCs w:val="20"/>
          <w:color w:val="auto"/>
        </w:rPr>
      </w:pPr>
    </w:p>
    <w:p>
      <w:pPr>
        <w:jc w:val="both"/>
        <w:ind w:firstLine="241"/>
        <w:spacing w:after="0" w:line="260" w:lineRule="auto"/>
        <w:rPr>
          <w:sz w:val="20"/>
          <w:szCs w:val="20"/>
          <w:color w:val="auto"/>
        </w:rPr>
      </w:pPr>
      <w:r>
        <w:rPr>
          <w:rFonts w:ascii="Arial" w:cs="Arial" w:eastAsia="Arial" w:hAnsi="Arial"/>
          <w:sz w:val="18"/>
          <w:szCs w:val="18"/>
          <w:color w:val="auto"/>
        </w:rPr>
        <w:t>Bank partner fees decreased $3.5 million primarily due to a reduction in the credit loss guarantee related to Refund Advances. Client claims and refunds decreased $8.0 million due to lower POM claims. Employee travel and related expenses decreased $12.8 million due to travel restrictions as a result of COVID-19. Credit card and bank charges increased $12.9 million as a result of higher transaction volumes for assisted and DIY tax preparation and higher Wave payments processing fees.</w:t>
      </w:r>
    </w:p>
    <w:p>
      <w:pPr>
        <w:spacing w:after="0" w:line="6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Other income (expense), net decreased $9.5 million primarily due to lower interest income as a result of lower interest rates.</w:t>
      </w:r>
    </w:p>
    <w:p>
      <w:pPr>
        <w:spacing w:after="0" w:line="11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Interest expense on borrowings increased $20.6 million due to interest expense on our CLOC borrowings and our 2030 Senior Notes.</w:t>
      </w:r>
    </w:p>
    <w:p>
      <w:pPr>
        <w:spacing w:after="0" w:line="114" w:lineRule="exact"/>
        <w:rPr>
          <w:sz w:val="20"/>
          <w:szCs w:val="20"/>
          <w:color w:val="auto"/>
        </w:rPr>
      </w:pPr>
    </w:p>
    <w:p>
      <w:pPr>
        <w:jc w:val="both"/>
        <w:ind w:right="20" w:firstLine="241"/>
        <w:spacing w:after="0" w:line="286" w:lineRule="auto"/>
        <w:rPr>
          <w:sz w:val="20"/>
          <w:szCs w:val="20"/>
          <w:color w:val="auto"/>
        </w:rPr>
      </w:pPr>
      <w:r>
        <w:rPr>
          <w:rFonts w:ascii="Arial" w:cs="Arial" w:eastAsia="Arial" w:hAnsi="Arial"/>
          <w:sz w:val="18"/>
          <w:szCs w:val="18"/>
          <w:color w:val="auto"/>
        </w:rPr>
        <w:t>We recorded income taxes in the current year of $15.9 million compared to income tax benefits of $139.1 million in the prior year. See Item 1, note 7 to the consolidated financial statements for additional discussion.</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8"/>
          <w:szCs w:val="18"/>
          <w:color w:val="auto"/>
        </w:rPr>
        <w:t>These comments should be read in conjunction with the consolidated balance sheets and consolidated statements of cash flows included in Part 1, Item 1.</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CAPITAL RESOURCES AND LIQUIDITY </w:t>
      </w:r>
      <w:r>
        <w:rPr>
          <w:rFonts w:ascii="Arial" w:cs="Arial" w:eastAsia="Arial" w:hAnsi="Arial"/>
          <w:sz w:val="18"/>
          <w:szCs w:val="18"/>
          <w:color w:val="auto"/>
        </w:rPr>
        <w:t>–</w:t>
      </w:r>
    </w:p>
    <w:p>
      <w:pPr>
        <w:spacing w:after="0" w:line="114" w:lineRule="exact"/>
        <w:rPr>
          <w:sz w:val="20"/>
          <w:szCs w:val="20"/>
          <w:color w:val="auto"/>
        </w:rPr>
      </w:pPr>
    </w:p>
    <w:p>
      <w:pPr>
        <w:jc w:val="both"/>
        <w:ind w:firstLine="241"/>
        <w:spacing w:after="0" w:line="268" w:lineRule="auto"/>
        <w:rPr>
          <w:sz w:val="20"/>
          <w:szCs w:val="20"/>
          <w:color w:val="auto"/>
        </w:rPr>
      </w:pPr>
      <w:r>
        <w:rPr>
          <w:rFonts w:ascii="Arial" w:cs="Arial" w:eastAsia="Arial" w:hAnsi="Arial"/>
          <w:sz w:val="18"/>
          <w:szCs w:val="18"/>
          <w:b w:val="1"/>
          <w:bCs w:val="1"/>
          <w:color w:val="auto"/>
        </w:rPr>
        <w:t xml:space="preserve">OVERVIEW </w:t>
      </w:r>
      <w:r>
        <w:rPr>
          <w:rFonts w:ascii="Arial" w:cs="Arial" w:eastAsia="Arial" w:hAnsi="Arial"/>
          <w:sz w:val="18"/>
          <w:szCs w:val="18"/>
          <w:color w:val="auto"/>
        </w:rPr>
        <w:t>– Our primary sources of capital and liquidity include cash from operations (including changes in working capital), draws on</w:t>
      </w:r>
      <w:r>
        <w:rPr>
          <w:rFonts w:ascii="Arial" w:cs="Arial" w:eastAsia="Arial" w:hAnsi="Arial"/>
          <w:sz w:val="18"/>
          <w:szCs w:val="18"/>
          <w:b w:val="1"/>
          <w:bCs w:val="1"/>
          <w:color w:val="auto"/>
        </w:rPr>
        <w:t xml:space="preserve"> </w:t>
      </w:r>
      <w:r>
        <w:rPr>
          <w:rFonts w:ascii="Arial" w:cs="Arial" w:eastAsia="Arial" w:hAnsi="Arial"/>
          <w:sz w:val="18"/>
          <w:szCs w:val="18"/>
          <w:color w:val="auto"/>
        </w:rPr>
        <w:t>our CLOC, and issuances of debt. We use our sources of liquidity primarily to fund working capital, service and repay debt, pay dividends, repurchase shares of our common stock, and acquire businesses.</w:t>
      </w:r>
    </w:p>
    <w:p>
      <w:pPr>
        <w:spacing w:after="0" w:line="58" w:lineRule="exact"/>
        <w:rPr>
          <w:sz w:val="20"/>
          <w:szCs w:val="20"/>
          <w:color w:val="auto"/>
        </w:rPr>
      </w:pPr>
    </w:p>
    <w:p>
      <w:pPr>
        <w:jc w:val="both"/>
        <w:ind w:firstLine="241"/>
        <w:spacing w:after="0" w:line="260" w:lineRule="auto"/>
        <w:rPr>
          <w:sz w:val="20"/>
          <w:szCs w:val="20"/>
          <w:color w:val="auto"/>
        </w:rPr>
      </w:pPr>
      <w:r>
        <w:rPr>
          <w:rFonts w:ascii="Arial" w:cs="Arial" w:eastAsia="Arial" w:hAnsi="Arial"/>
          <w:sz w:val="18"/>
          <w:szCs w:val="18"/>
          <w:color w:val="auto"/>
        </w:rPr>
        <w:t>Our operations are highly seasonal and substantially all of our revenues and cash flow are generated during the period from February through April in a typical year. Therefore, we normally require the use of cash to fund losses and working capital needs, periodically resulting in a working capital deficit, from May through January. We typically have relied on available cash balances from the prior tax season and borrowings to meet liquidity needs in our first three quarters.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824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Q2 FY2021 Form 10-Q</w:t>
      </w:r>
      <w:r>
        <w:rPr>
          <w:rFonts w:ascii="Arial" w:cs="Arial" w:eastAsia="Arial" w:hAnsi="Arial"/>
          <w:sz w:val="14"/>
          <w:szCs w:val="14"/>
          <w:b w:val="1"/>
          <w:bCs w:val="1"/>
          <w:color w:val="auto"/>
        </w:rPr>
        <w:t xml:space="preserve">  </w:t>
      </w:r>
      <w:r>
        <w:rPr>
          <w:rFonts w:ascii="Arial" w:cs="Arial" w:eastAsia="Arial" w:hAnsi="Arial"/>
          <w:sz w:val="14"/>
          <w:szCs w:val="14"/>
          <w:color w:val="FFFFFF"/>
          <w:highlight w:val="black"/>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137160</wp:posOffset>
            </wp:positionV>
            <wp:extent cx="713359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3590" cy="17145"/>
                    </a:xfrm>
                    <a:prstGeom prst="rect">
                      <a:avLst/>
                    </a:prstGeom>
                    <a:noFill/>
                  </pic:spPr>
                </pic:pic>
              </a:graphicData>
            </a:graphic>
          </wp:anchor>
        </w:drawing>
        <w:drawing>
          <wp:anchor simplePos="0" relativeHeight="251657728" behindDoc="1" locked="0" layoutInCell="0" allowOverlap="1">
            <wp:simplePos x="0" y="0"/>
            <wp:positionH relativeFrom="column">
              <wp:posOffset>6917055</wp:posOffset>
            </wp:positionH>
            <wp:positionV relativeFrom="paragraph">
              <wp:posOffset>-100330</wp:posOffset>
            </wp:positionV>
            <wp:extent cx="220980" cy="1187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20980" cy="118745"/>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27" w:name="page28"/>
    <w:bookmarkEnd w:id="2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firstLine="241"/>
        <w:spacing w:after="0" w:line="286" w:lineRule="auto"/>
        <w:rPr>
          <w:sz w:val="20"/>
          <w:szCs w:val="20"/>
          <w:color w:val="auto"/>
        </w:rPr>
      </w:pPr>
      <w:r>
        <w:rPr>
          <w:rFonts w:ascii="Arial" w:cs="Arial" w:eastAsia="Arial" w:hAnsi="Arial"/>
          <w:sz w:val="18"/>
          <w:szCs w:val="18"/>
          <w:color w:val="auto"/>
        </w:rPr>
        <w:t>Given the likely availability of a number of liquidity options discussed herein, we believe that, in the absence of any unexpected developments, our existing sources of capital as of October 31, 2020 are sufficient to meet our operating, investing and financing needs.</w:t>
      </w:r>
    </w:p>
    <w:p>
      <w:pPr>
        <w:spacing w:after="0" w:line="40" w:lineRule="exact"/>
        <w:rPr>
          <w:sz w:val="20"/>
          <w:szCs w:val="20"/>
          <w:color w:val="auto"/>
        </w:rPr>
      </w:pPr>
    </w:p>
    <w:p>
      <w:pPr>
        <w:jc w:val="both"/>
        <w:ind w:firstLine="241"/>
        <w:spacing w:after="0" w:line="288" w:lineRule="auto"/>
        <w:rPr>
          <w:sz w:val="20"/>
          <w:szCs w:val="20"/>
          <w:color w:val="auto"/>
        </w:rPr>
      </w:pPr>
      <w:r>
        <w:rPr>
          <w:rFonts w:ascii="Arial" w:cs="Arial" w:eastAsia="Arial" w:hAnsi="Arial"/>
          <w:sz w:val="18"/>
          <w:szCs w:val="18"/>
          <w:b w:val="1"/>
          <w:bCs w:val="1"/>
          <w:color w:val="auto"/>
        </w:rPr>
        <w:t xml:space="preserve">DISCUSSION OF CONSOLIDATED STATEMENTS OF CASH FLOWS </w:t>
      </w:r>
      <w:r>
        <w:rPr>
          <w:rFonts w:ascii="Arial" w:cs="Arial" w:eastAsia="Arial" w:hAnsi="Arial"/>
          <w:sz w:val="18"/>
          <w:szCs w:val="18"/>
          <w:color w:val="auto"/>
        </w:rPr>
        <w:t>– The following table summarizes our statements of cash flows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six months ended October 31, 2020 and 2019. See Item 1 for the complete consolidated statements of cash flows for these periods.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(in 000s)</w:t>
            </w:r>
          </w:p>
        </w:tc>
      </w:tr>
      <w:tr>
        <w:trPr>
          <w:trHeight w:val="208"/>
        </w:trPr>
        <w:tc>
          <w:tcPr>
            <w:tcW w:w="6300" w:type="dxa"/>
            <w:vAlign w:val="bottom"/>
            <w:gridSpan w:val="2"/>
          </w:tcPr>
          <w:p>
            <w:pPr>
              <w:ind w:left="20"/>
              <w:spacing w:after="0"/>
              <w:rPr>
                <w:sz w:val="20"/>
                <w:szCs w:val="20"/>
                <w:color w:val="auto"/>
              </w:rPr>
            </w:pPr>
            <w:r>
              <w:rPr>
                <w:rFonts w:ascii="Arial" w:cs="Arial" w:eastAsia="Arial" w:hAnsi="Arial"/>
                <w:sz w:val="16"/>
                <w:szCs w:val="16"/>
                <w:color w:val="auto"/>
              </w:rPr>
              <w:t>Six months ended October 31,</w:t>
            </w:r>
          </w:p>
        </w:tc>
        <w:tc>
          <w:tcPr>
            <w:tcW w:w="8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2019</w:t>
            </w:r>
          </w:p>
        </w:tc>
      </w:tr>
      <w:tr>
        <w:trPr>
          <w:trHeight w:val="208"/>
        </w:trPr>
        <w:tc>
          <w:tcPr>
            <w:tcW w:w="6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cash used in:</w:t>
            </w: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r>
      <w:tr>
        <w:trPr>
          <w:trHeight w:val="214"/>
        </w:trPr>
        <w:tc>
          <w:tcPr>
            <w:tcW w:w="6300" w:type="dxa"/>
            <w:vAlign w:val="bottom"/>
            <w:gridSpan w:val="2"/>
          </w:tcPr>
          <w:p>
            <w:pPr>
              <w:ind w:left="140"/>
              <w:spacing w:after="0"/>
              <w:rPr>
                <w:sz w:val="20"/>
                <w:szCs w:val="20"/>
                <w:color w:val="auto"/>
              </w:rPr>
            </w:pPr>
            <w:r>
              <w:rPr>
                <w:rFonts w:ascii="Arial" w:cs="Arial" w:eastAsia="Arial" w:hAnsi="Arial"/>
                <w:sz w:val="16"/>
                <w:szCs w:val="16"/>
                <w:color w:val="auto"/>
              </w:rPr>
              <w:t>Operating activities</w:t>
            </w:r>
          </w:p>
        </w:tc>
        <w:tc>
          <w:tcPr>
            <w:tcW w:w="820" w:type="dxa"/>
            <w:vAlign w:val="bottom"/>
          </w:tcPr>
          <w:p>
            <w:pPr>
              <w:jc w:val="right"/>
              <w:ind w:right="640"/>
              <w:spacing w:after="0"/>
              <w:rPr>
                <w:sz w:val="20"/>
                <w:szCs w:val="20"/>
                <w:color w:val="auto"/>
              </w:rPr>
            </w:pPr>
            <w:r>
              <w:rPr>
                <w:rFonts w:ascii="Arial" w:cs="Arial" w:eastAsia="Arial" w:hAnsi="Arial"/>
                <w:sz w:val="16"/>
                <w:szCs w:val="16"/>
                <w:b w:val="1"/>
                <w:bCs w:val="1"/>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(262,739)</w:t>
            </w:r>
          </w:p>
        </w:tc>
        <w:tc>
          <w:tcPr>
            <w:tcW w:w="120" w:type="dxa"/>
            <w:vAlign w:val="bottom"/>
          </w:tcPr>
          <w:p>
            <w:pPr>
              <w:spacing w:after="0"/>
              <w:rPr>
                <w:sz w:val="18"/>
                <w:szCs w:val="18"/>
                <w:color w:val="auto"/>
              </w:rPr>
            </w:pPr>
          </w:p>
        </w:tc>
        <w:tc>
          <w:tcPr>
            <w:tcW w:w="820" w:type="dxa"/>
            <w:vAlign w:val="bottom"/>
          </w:tcPr>
          <w:p>
            <w:pPr>
              <w:jc w:val="right"/>
              <w:ind w:right="640"/>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(693,316)</w:t>
            </w:r>
          </w:p>
        </w:tc>
      </w:tr>
      <w:tr>
        <w:trPr>
          <w:trHeight w:val="214"/>
        </w:trPr>
        <w:tc>
          <w:tcPr>
            <w:tcW w:w="63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Investing activities</w:t>
            </w:r>
          </w:p>
        </w:tc>
        <w:tc>
          <w:tcPr>
            <w:tcW w:w="8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(23,432)</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(417,059)</w:t>
            </w:r>
          </w:p>
        </w:tc>
      </w:tr>
      <w:tr>
        <w:trPr>
          <w:trHeight w:val="214"/>
        </w:trPr>
        <w:tc>
          <w:tcPr>
            <w:tcW w:w="6300" w:type="dxa"/>
            <w:vAlign w:val="bottom"/>
            <w:gridSpan w:val="2"/>
          </w:tcPr>
          <w:p>
            <w:pPr>
              <w:ind w:left="140"/>
              <w:spacing w:after="0"/>
              <w:rPr>
                <w:sz w:val="20"/>
                <w:szCs w:val="20"/>
                <w:color w:val="auto"/>
              </w:rPr>
            </w:pPr>
            <w:r>
              <w:rPr>
                <w:rFonts w:ascii="Arial" w:cs="Arial" w:eastAsia="Arial" w:hAnsi="Arial"/>
                <w:sz w:val="16"/>
                <w:szCs w:val="16"/>
                <w:color w:val="auto"/>
              </w:rPr>
              <w:t>Financing activities</w:t>
            </w:r>
          </w:p>
        </w:tc>
        <w:tc>
          <w:tcPr>
            <w:tcW w:w="8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(2,205,945)</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(176,761)</w:t>
            </w:r>
          </w:p>
        </w:tc>
      </w:tr>
      <w:tr>
        <w:trPr>
          <w:trHeight w:val="214"/>
        </w:trPr>
        <w:tc>
          <w:tcPr>
            <w:tcW w:w="63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Effects of exchange rates on cash</w:t>
            </w:r>
          </w:p>
        </w:tc>
        <w:tc>
          <w:tcPr>
            <w:tcW w:w="82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6,420</w:t>
            </w:r>
          </w:p>
        </w:tc>
        <w:tc>
          <w:tcPr>
            <w:tcW w:w="1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1,053</w:t>
            </w:r>
          </w:p>
        </w:tc>
      </w:tr>
      <w:tr>
        <w:trPr>
          <w:trHeight w:val="246"/>
        </w:trPr>
        <w:tc>
          <w:tcPr>
            <w:tcW w:w="63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Net change in cash, cash equivalents and restricted cash</w:t>
            </w:r>
          </w:p>
        </w:tc>
        <w:tc>
          <w:tcPr>
            <w:tcW w:w="820" w:type="dxa"/>
            <w:vAlign w:val="bottom"/>
            <w:tcBorders>
              <w:bottom w:val="single" w:sz="8" w:color="auto"/>
            </w:tcBorders>
          </w:tcPr>
          <w:p>
            <w:pPr>
              <w:jc w:val="right"/>
              <w:ind w:right="640"/>
              <w:spacing w:after="0"/>
              <w:rPr>
                <w:sz w:val="20"/>
                <w:szCs w:val="20"/>
                <w:color w:val="auto"/>
              </w:rPr>
            </w:pPr>
            <w:r>
              <w:rPr>
                <w:rFonts w:ascii="Arial" w:cs="Arial" w:eastAsia="Arial" w:hAnsi="Arial"/>
                <w:sz w:val="16"/>
                <w:szCs w:val="16"/>
                <w:b w:val="1"/>
                <w:bCs w:val="1"/>
                <w:color w:val="auto"/>
                <w:w w:val="8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(2,485,696)</w:t>
            </w:r>
          </w:p>
        </w:tc>
        <w:tc>
          <w:tcPr>
            <w:tcW w:w="12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jc w:val="right"/>
              <w:ind w:right="640"/>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(1,286,083)</w:t>
            </w:r>
          </w:p>
        </w:tc>
      </w:tr>
      <w:tr>
        <w:trPr>
          <w:trHeight w:val="20"/>
        </w:trPr>
        <w:tc>
          <w:tcPr>
            <w:tcW w:w="618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820" w:type="dxa"/>
            <w:vAlign w:val="bottom"/>
            <w:tcBorders>
              <w:top w:val="single" w:sz="8" w:color="CCEEFF"/>
            </w:tcBorders>
            <w:shd w:val="clear" w:color="auto" w:fill="000000"/>
          </w:tcPr>
          <w:p>
            <w:pPr>
              <w:spacing w:after="0" w:line="20" w:lineRule="exact"/>
              <w:rPr>
                <w:sz w:val="1"/>
                <w:szCs w:val="1"/>
                <w:color w:val="auto"/>
              </w:rPr>
            </w:pPr>
          </w:p>
        </w:tc>
        <w:tc>
          <w:tcPr>
            <w:tcW w:w="158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820" w:type="dxa"/>
            <w:vAlign w:val="bottom"/>
            <w:tcBorders>
              <w:top w:val="single" w:sz="8" w:color="CCEEFF"/>
            </w:tcBorders>
            <w:shd w:val="clear" w:color="auto" w:fill="000000"/>
          </w:tcPr>
          <w:p>
            <w:pPr>
              <w:spacing w:after="0" w:line="20" w:lineRule="exact"/>
              <w:rPr>
                <w:sz w:val="1"/>
                <w:szCs w:val="1"/>
                <w:color w:val="auto"/>
              </w:rPr>
            </w:pPr>
          </w:p>
        </w:tc>
        <w:tc>
          <w:tcPr>
            <w:tcW w:w="1580" w:type="dxa"/>
            <w:vAlign w:val="bottom"/>
            <w:tcBorders>
              <w:top w:val="single" w:sz="8" w:color="CCEEFF"/>
            </w:tcBorders>
            <w:shd w:val="clear" w:color="auto" w:fill="000000"/>
          </w:tcPr>
          <w:p>
            <w:pPr>
              <w:spacing w:after="0" w:line="20" w:lineRule="exact"/>
              <w:rPr>
                <w:sz w:val="1"/>
                <w:szCs w:val="1"/>
                <w:color w:val="auto"/>
              </w:rPr>
            </w:pPr>
          </w:p>
        </w:tc>
      </w:tr>
    </w:tbl>
    <w:p>
      <w:pPr>
        <w:spacing w:after="0" w:line="163" w:lineRule="exact"/>
        <w:rPr>
          <w:sz w:val="20"/>
          <w:szCs w:val="20"/>
          <w:color w:val="auto"/>
        </w:rPr>
      </w:pPr>
    </w:p>
    <w:p>
      <w:pPr>
        <w:jc w:val="both"/>
        <w:ind w:right="20" w:firstLine="241"/>
        <w:spacing w:after="0" w:line="288" w:lineRule="auto"/>
        <w:rPr>
          <w:sz w:val="20"/>
          <w:szCs w:val="20"/>
          <w:color w:val="auto"/>
        </w:rPr>
      </w:pPr>
      <w:r>
        <w:rPr>
          <w:rFonts w:ascii="Arial" w:cs="Arial" w:eastAsia="Arial" w:hAnsi="Arial"/>
          <w:sz w:val="18"/>
          <w:szCs w:val="18"/>
          <w:b w:val="1"/>
          <w:bCs w:val="1"/>
          <w:color w:val="auto"/>
        </w:rPr>
        <w:t xml:space="preserve">Operating Activities. </w:t>
      </w:r>
      <w:r>
        <w:rPr>
          <w:rFonts w:ascii="Arial" w:cs="Arial" w:eastAsia="Arial" w:hAnsi="Arial"/>
          <w:sz w:val="18"/>
          <w:szCs w:val="18"/>
          <w:color w:val="auto"/>
        </w:rPr>
        <w:t>Cash used in operations decreased, primarily due to the extension of the 2019 tax season into this fiscal year due to</w:t>
      </w:r>
      <w:r>
        <w:rPr>
          <w:rFonts w:ascii="Arial" w:cs="Arial" w:eastAsia="Arial" w:hAnsi="Arial"/>
          <w:sz w:val="18"/>
          <w:szCs w:val="18"/>
          <w:b w:val="1"/>
          <w:bCs w:val="1"/>
          <w:color w:val="auto"/>
        </w:rPr>
        <w:t xml:space="preserve"> </w:t>
      </w:r>
      <w:r>
        <w:rPr>
          <w:rFonts w:ascii="Arial" w:cs="Arial" w:eastAsia="Arial" w:hAnsi="Arial"/>
          <w:sz w:val="18"/>
          <w:szCs w:val="18"/>
          <w:color w:val="auto"/>
        </w:rPr>
        <w:t>COVID-19.</w:t>
      </w:r>
    </w:p>
    <w:p>
      <w:pPr>
        <w:spacing w:after="0" w:line="39" w:lineRule="exact"/>
        <w:rPr>
          <w:sz w:val="20"/>
          <w:szCs w:val="20"/>
          <w:color w:val="auto"/>
        </w:rPr>
      </w:pPr>
    </w:p>
    <w:p>
      <w:pPr>
        <w:jc w:val="both"/>
        <w:ind w:right="20" w:firstLine="241"/>
        <w:spacing w:after="0" w:line="288" w:lineRule="auto"/>
        <w:rPr>
          <w:sz w:val="20"/>
          <w:szCs w:val="20"/>
          <w:color w:val="auto"/>
        </w:rPr>
      </w:pPr>
      <w:r>
        <w:rPr>
          <w:rFonts w:ascii="Arial" w:cs="Arial" w:eastAsia="Arial" w:hAnsi="Arial"/>
          <w:sz w:val="18"/>
          <w:szCs w:val="18"/>
          <w:b w:val="1"/>
          <w:bCs w:val="1"/>
          <w:color w:val="auto"/>
        </w:rPr>
        <w:t xml:space="preserve">Investing Activities. </w:t>
      </w:r>
      <w:r>
        <w:rPr>
          <w:rFonts w:ascii="Arial" w:cs="Arial" w:eastAsia="Arial" w:hAnsi="Arial"/>
          <w:sz w:val="18"/>
          <w:szCs w:val="18"/>
          <w:color w:val="auto"/>
        </w:rPr>
        <w:t>Cash used in investing activities totaled $ 23.4 million for the six months ended October 31, 2020 compared to cash</w:t>
      </w:r>
      <w:r>
        <w:rPr>
          <w:rFonts w:ascii="Arial" w:cs="Arial" w:eastAsia="Arial" w:hAnsi="Arial"/>
          <w:sz w:val="18"/>
          <w:szCs w:val="18"/>
          <w:b w:val="1"/>
          <w:bCs w:val="1"/>
          <w:color w:val="auto"/>
        </w:rPr>
        <w:t xml:space="preserve"> </w:t>
      </w:r>
      <w:r>
        <w:rPr>
          <w:rFonts w:ascii="Arial" w:cs="Arial" w:eastAsia="Arial" w:hAnsi="Arial"/>
          <w:sz w:val="18"/>
          <w:szCs w:val="18"/>
          <w:color w:val="auto"/>
        </w:rPr>
        <w:t>used in investing activities of $417.1 million in the prior year period. This change is due to the prior year acquisition of Wave.</w:t>
      </w:r>
    </w:p>
    <w:p>
      <w:pPr>
        <w:spacing w:after="0" w:line="39" w:lineRule="exact"/>
        <w:rPr>
          <w:sz w:val="20"/>
          <w:szCs w:val="20"/>
          <w:color w:val="auto"/>
        </w:rPr>
      </w:pPr>
    </w:p>
    <w:p>
      <w:pPr>
        <w:jc w:val="both"/>
        <w:ind w:firstLine="241"/>
        <w:spacing w:after="0" w:line="288" w:lineRule="auto"/>
        <w:rPr>
          <w:sz w:val="20"/>
          <w:szCs w:val="20"/>
          <w:color w:val="auto"/>
        </w:rPr>
      </w:pPr>
      <w:r>
        <w:rPr>
          <w:rFonts w:ascii="Arial" w:cs="Arial" w:eastAsia="Arial" w:hAnsi="Arial"/>
          <w:sz w:val="18"/>
          <w:szCs w:val="18"/>
          <w:b w:val="1"/>
          <w:bCs w:val="1"/>
          <w:color w:val="auto"/>
        </w:rPr>
        <w:t xml:space="preserve">Financing Activities. </w:t>
      </w:r>
      <w:r>
        <w:rPr>
          <w:rFonts w:ascii="Arial" w:cs="Arial" w:eastAsia="Arial" w:hAnsi="Arial"/>
          <w:sz w:val="18"/>
          <w:szCs w:val="18"/>
          <w:color w:val="auto"/>
        </w:rPr>
        <w:t>Cash used in financing activities totaled $2.2 billion for the six months ended October 31, 2020 compared to $176.8</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in the prior year period. This change resulted primarily from the repayment of the $2.0 billion draw outstanding on our CLOC.</w:t>
      </w:r>
    </w:p>
    <w:p>
      <w:pPr>
        <w:spacing w:after="0" w:line="3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CASH REQUIREMENTS </w:t>
      </w:r>
      <w:r>
        <w:rPr>
          <w:rFonts w:ascii="Arial" w:cs="Arial" w:eastAsia="Arial" w:hAnsi="Arial"/>
          <w:sz w:val="18"/>
          <w:szCs w:val="18"/>
          <w:color w:val="auto"/>
        </w:rPr>
        <w:t>–</w:t>
      </w:r>
    </w:p>
    <w:p>
      <w:pPr>
        <w:spacing w:after="0" w:line="114" w:lineRule="exact"/>
        <w:rPr>
          <w:sz w:val="20"/>
          <w:szCs w:val="20"/>
          <w:color w:val="auto"/>
        </w:rPr>
      </w:pPr>
    </w:p>
    <w:p>
      <w:pPr>
        <w:jc w:val="both"/>
        <w:ind w:firstLine="241"/>
        <w:spacing w:after="0" w:line="288" w:lineRule="auto"/>
        <w:rPr>
          <w:sz w:val="20"/>
          <w:szCs w:val="20"/>
          <w:color w:val="auto"/>
        </w:rPr>
      </w:pPr>
      <w:r>
        <w:rPr>
          <w:rFonts w:ascii="Arial" w:cs="Arial" w:eastAsia="Arial" w:hAnsi="Arial"/>
          <w:sz w:val="18"/>
          <w:szCs w:val="18"/>
          <w:b w:val="1"/>
          <w:bCs w:val="1"/>
          <w:color w:val="auto"/>
        </w:rPr>
        <w:t xml:space="preserve">Dividends and Share Repurchases. </w:t>
      </w:r>
      <w:r>
        <w:rPr>
          <w:rFonts w:ascii="Arial" w:cs="Arial" w:eastAsia="Arial" w:hAnsi="Arial"/>
          <w:sz w:val="18"/>
          <w:szCs w:val="18"/>
          <w:color w:val="auto"/>
        </w:rPr>
        <w:t>Returning capital to shareholders in the form of dividends and the repurchase of outstanding shares</w:t>
      </w:r>
      <w:r>
        <w:rPr>
          <w:rFonts w:ascii="Arial" w:cs="Arial" w:eastAsia="Arial" w:hAnsi="Arial"/>
          <w:sz w:val="18"/>
          <w:szCs w:val="18"/>
          <w:b w:val="1"/>
          <w:bCs w:val="1"/>
          <w:color w:val="auto"/>
        </w:rPr>
        <w:t xml:space="preserve"> </w:t>
      </w:r>
      <w:r>
        <w:rPr>
          <w:rFonts w:ascii="Arial" w:cs="Arial" w:eastAsia="Arial" w:hAnsi="Arial"/>
          <w:sz w:val="18"/>
          <w:szCs w:val="18"/>
          <w:color w:val="auto"/>
        </w:rPr>
        <w:t>has historically been a significant component of our capital allocation plan.</w:t>
      </w:r>
    </w:p>
    <w:p>
      <w:pPr>
        <w:spacing w:after="0" w:line="41" w:lineRule="exact"/>
        <w:rPr>
          <w:sz w:val="20"/>
          <w:szCs w:val="20"/>
          <w:color w:val="auto"/>
        </w:rPr>
      </w:pPr>
    </w:p>
    <w:p>
      <w:pPr>
        <w:jc w:val="both"/>
        <w:ind w:firstLine="241"/>
        <w:spacing w:after="0" w:line="267" w:lineRule="auto"/>
        <w:rPr>
          <w:sz w:val="20"/>
          <w:szCs w:val="20"/>
          <w:color w:val="auto"/>
        </w:rPr>
      </w:pPr>
      <w:r>
        <w:rPr>
          <w:rFonts w:ascii="Arial" w:cs="Arial" w:eastAsia="Arial" w:hAnsi="Arial"/>
          <w:sz w:val="18"/>
          <w:szCs w:val="18"/>
          <w:color w:val="auto"/>
        </w:rPr>
        <w:t>We have consistently paid quarterly dividends. Dividends paid totaled $100.2 million and $104.1 million for the six months ended October 31, 2020 and 2019, respectively. Although we have historically paid dividends and plan to continue to do so, there can be no assurances that circumstances will not change in the future that could affect our ability or decisions to pay dividends.</w:t>
      </w:r>
    </w:p>
    <w:p>
      <w:pPr>
        <w:spacing w:after="0" w:line="59" w:lineRule="exact"/>
        <w:rPr>
          <w:sz w:val="20"/>
          <w:szCs w:val="20"/>
          <w:color w:val="auto"/>
        </w:rPr>
      </w:pPr>
    </w:p>
    <w:p>
      <w:pPr>
        <w:jc w:val="both"/>
        <w:ind w:firstLine="241"/>
        <w:spacing w:after="0" w:line="267" w:lineRule="auto"/>
        <w:rPr>
          <w:sz w:val="20"/>
          <w:szCs w:val="20"/>
          <w:color w:val="auto"/>
        </w:rPr>
      </w:pPr>
      <w:r>
        <w:rPr>
          <w:rFonts w:ascii="Arial" w:cs="Arial" w:eastAsia="Arial" w:hAnsi="Arial"/>
          <w:sz w:val="18"/>
          <w:szCs w:val="18"/>
          <w:color w:val="auto"/>
        </w:rPr>
        <w:t>Our current share repurchase program has remaining authorization of $601.8 million which is effective through June 2022. During the six months ended October 31, 2020, we repurchased $150.1 million of our common stock at an average price of $15.83 per share. In the prior year period, we repurchased $181.0 million of our common stock at an average price of $24.75 per share.</w:t>
      </w:r>
    </w:p>
    <w:p>
      <w:pPr>
        <w:spacing w:after="0" w:line="59" w:lineRule="exact"/>
        <w:rPr>
          <w:sz w:val="20"/>
          <w:szCs w:val="20"/>
          <w:color w:val="auto"/>
        </w:rPr>
      </w:pPr>
    </w:p>
    <w:p>
      <w:pPr>
        <w:jc w:val="both"/>
        <w:ind w:firstLine="241"/>
        <w:spacing w:after="0" w:line="260" w:lineRule="auto"/>
        <w:rPr>
          <w:sz w:val="20"/>
          <w:szCs w:val="20"/>
          <w:color w:val="auto"/>
        </w:rPr>
      </w:pPr>
      <w:r>
        <w:rPr>
          <w:rFonts w:ascii="Arial" w:cs="Arial" w:eastAsia="Arial" w:hAnsi="Arial"/>
          <w:sz w:val="18"/>
          <w:szCs w:val="18"/>
          <w:color w:val="auto"/>
        </w:rPr>
        <w:t>Share repurchases may be effectuated through open market transactions, some of which may be effectuated under SEC Rule 10b5-1. The Company may cancel, suspend, or extend the period for the purchase of shares at any time. Any repurchases will be funded primarily through available cash and cash from operations. Although we may continue to repurchase shares, there is no assurance that we will purchase up to the full Board authorization.</w:t>
      </w:r>
    </w:p>
    <w:p>
      <w:pPr>
        <w:spacing w:after="0" w:line="65" w:lineRule="exact"/>
        <w:rPr>
          <w:sz w:val="20"/>
          <w:szCs w:val="20"/>
          <w:color w:val="auto"/>
        </w:rPr>
      </w:pPr>
    </w:p>
    <w:p>
      <w:pPr>
        <w:jc w:val="both"/>
        <w:ind w:firstLine="270"/>
        <w:spacing w:after="0" w:line="258" w:lineRule="auto"/>
        <w:rPr>
          <w:sz w:val="20"/>
          <w:szCs w:val="20"/>
          <w:color w:val="auto"/>
        </w:rPr>
      </w:pPr>
      <w:r>
        <w:rPr>
          <w:rFonts w:ascii="Arial" w:cs="Arial" w:eastAsia="Arial" w:hAnsi="Arial"/>
          <w:sz w:val="18"/>
          <w:szCs w:val="18"/>
          <w:b w:val="1"/>
          <w:bCs w:val="1"/>
          <w:color w:val="auto"/>
        </w:rPr>
        <w:t xml:space="preserve">Capital Investment. </w:t>
      </w:r>
      <w:r>
        <w:rPr>
          <w:rFonts w:ascii="Arial" w:cs="Arial" w:eastAsia="Arial" w:hAnsi="Arial"/>
          <w:sz w:val="18"/>
          <w:szCs w:val="18"/>
          <w:color w:val="auto"/>
        </w:rPr>
        <w:t>Capital expenditures totaled $ 26.6 million and $42.9 million for the six months ended October 31, 2020 and 2019,</w:t>
      </w:r>
      <w:r>
        <w:rPr>
          <w:rFonts w:ascii="Arial" w:cs="Arial" w:eastAsia="Arial" w:hAnsi="Arial"/>
          <w:sz w:val="18"/>
          <w:szCs w:val="18"/>
          <w:b w:val="1"/>
          <w:bCs w:val="1"/>
          <w:color w:val="auto"/>
        </w:rPr>
        <w:t xml:space="preserve"> </w:t>
      </w:r>
      <w:r>
        <w:rPr>
          <w:rFonts w:ascii="Arial" w:cs="Arial" w:eastAsia="Arial" w:hAnsi="Arial"/>
          <w:sz w:val="18"/>
          <w:szCs w:val="18"/>
          <w:color w:val="auto"/>
        </w:rPr>
        <w:t>respectively. Our capital expenditures relate primarily to recurring improvements to retail offices, as well as investments in computers, software and related assets. In addition to our capital expenditures, we also made payments to acquire businesses. We acquired franchisee and competitor businesses totaling $3.7 million in the current year compared to Wave and franchisee and competitor businesses totaling $416.9 million in the prior year. See Item 1, note 5 for additional information on our acquisitions.</w:t>
      </w:r>
    </w:p>
    <w:p>
      <w:pPr>
        <w:spacing w:after="0" w:line="66" w:lineRule="exact"/>
        <w:rPr>
          <w:sz w:val="20"/>
          <w:szCs w:val="20"/>
          <w:color w:val="auto"/>
        </w:rPr>
      </w:pPr>
    </w:p>
    <w:p>
      <w:pPr>
        <w:jc w:val="both"/>
        <w:ind w:firstLine="279"/>
        <w:spacing w:after="0" w:line="268" w:lineRule="auto"/>
        <w:rPr>
          <w:sz w:val="20"/>
          <w:szCs w:val="20"/>
          <w:color w:val="auto"/>
        </w:rPr>
      </w:pPr>
      <w:r>
        <w:rPr>
          <w:rFonts w:ascii="Arial" w:cs="Arial" w:eastAsia="Arial" w:hAnsi="Arial"/>
          <w:sz w:val="18"/>
          <w:szCs w:val="18"/>
          <w:b w:val="1"/>
          <w:bCs w:val="1"/>
          <w:color w:val="auto"/>
        </w:rPr>
        <w:t xml:space="preserve">FINANCING RESOURCES </w:t>
      </w:r>
      <w:r>
        <w:rPr>
          <w:rFonts w:ascii="Arial" w:cs="Arial" w:eastAsia="Arial" w:hAnsi="Arial"/>
          <w:sz w:val="18"/>
          <w:szCs w:val="18"/>
          <w:color w:val="auto"/>
        </w:rPr>
        <w:t>– In the fourth quarter of fiscal year 2020, we drew down the full $2.0 billion available under our CLOC to</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 our cash position and maximize flexibility in light of the uncertainty surrounding the impact of the COVID-19 pandemic, which we repaid in full in September 2020. In October 2020, we began drawing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60" w:hanging="265"/>
        <w:spacing w:after="0"/>
        <w:tabs>
          <w:tab w:leader="none" w:pos="360" w:val="left"/>
        </w:tabs>
        <w:numPr>
          <w:ilvl w:val="0"/>
          <w:numId w:val="23"/>
        </w:numPr>
        <w:rPr>
          <w:rFonts w:ascii="Arial" w:cs="Arial" w:eastAsia="Arial" w:hAnsi="Arial"/>
          <w:sz w:val="14"/>
          <w:szCs w:val="14"/>
          <w:color w:val="FFFFFF"/>
          <w:highlight w:val="black"/>
        </w:rPr>
      </w:pPr>
      <w:r>
        <w:rPr>
          <w:rFonts w:ascii="Arial" w:cs="Arial" w:eastAsia="Arial" w:hAnsi="Arial"/>
          <w:sz w:val="14"/>
          <w:szCs w:val="14"/>
          <w:color w:val="auto"/>
        </w:rPr>
        <w:t xml:space="preserve">Q2 FY2021 Form 10-Q | </w:t>
      </w:r>
      <w:r>
        <w:rPr>
          <w:rFonts w:ascii="Arial" w:cs="Arial" w:eastAsia="Arial" w:hAnsi="Arial"/>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137160</wp:posOffset>
            </wp:positionV>
            <wp:extent cx="713359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3590"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-100330</wp:posOffset>
            </wp:positionV>
            <wp:extent cx="212725" cy="1187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12725" cy="118745"/>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28" w:name="page29"/>
    <w:bookmarkEnd w:id="2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spacing w:after="0" w:line="286" w:lineRule="auto"/>
        <w:rPr>
          <w:sz w:val="20"/>
          <w:szCs w:val="20"/>
          <w:color w:val="auto"/>
        </w:rPr>
      </w:pPr>
      <w:r>
        <w:rPr>
          <w:rFonts w:ascii="Arial" w:cs="Arial" w:eastAsia="Arial" w:hAnsi="Arial"/>
          <w:sz w:val="18"/>
          <w:szCs w:val="18"/>
          <w:color w:val="auto"/>
        </w:rPr>
        <w:t>on our CLOC in order to meet our seasonal liquidity needs. We had an outstanding balance of $70.0 million under the CLOC as of October 31, 2020.</w:t>
      </w:r>
    </w:p>
    <w:p>
      <w:pPr>
        <w:spacing w:after="0" w:line="42" w:lineRule="exact"/>
        <w:rPr>
          <w:sz w:val="20"/>
          <w:szCs w:val="20"/>
          <w:color w:val="auto"/>
        </w:rPr>
      </w:pPr>
    </w:p>
    <w:p>
      <w:pPr>
        <w:jc w:val="both"/>
        <w:ind w:firstLine="241"/>
        <w:spacing w:after="0" w:line="286" w:lineRule="auto"/>
        <w:rPr>
          <w:sz w:val="20"/>
          <w:szCs w:val="20"/>
          <w:color w:val="auto"/>
        </w:rPr>
      </w:pPr>
      <w:r>
        <w:rPr>
          <w:rFonts w:ascii="Arial" w:cs="Arial" w:eastAsia="Arial" w:hAnsi="Arial"/>
          <w:sz w:val="18"/>
          <w:szCs w:val="18"/>
          <w:color w:val="auto"/>
        </w:rPr>
        <w:t>On August 7, 2020, we issued the 2030 Senior Notes. We used the net proceeds from the 2030 Senior Notes to repay our $650 million Senior Notes that matured on October 1, 2020.</w:t>
      </w:r>
    </w:p>
    <w:p>
      <w:pPr>
        <w:spacing w:after="0" w:line="4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provides ratings for debt issued by Block Financial as of October 31, 2020 and April 30, 2020:</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As of</w:t>
            </w:r>
          </w:p>
        </w:tc>
        <w:tc>
          <w:tcPr>
            <w:tcW w:w="2440" w:type="dxa"/>
            <w:vAlign w:val="bottom"/>
            <w:tcBorders>
              <w:top w:val="single" w:sz="8" w:color="auto"/>
              <w:bottom w:val="single" w:sz="8" w:color="auto"/>
            </w:tcBorders>
          </w:tcPr>
          <w:p>
            <w:pPr>
              <w:spacing w:after="0"/>
              <w:rPr>
                <w:sz w:val="19"/>
                <w:szCs w:val="19"/>
                <w:color w:val="auto"/>
              </w:rPr>
            </w:pPr>
          </w:p>
        </w:tc>
        <w:tc>
          <w:tcPr>
            <w:tcW w:w="168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6"/>
                <w:szCs w:val="16"/>
                <w:b w:val="1"/>
                <w:bCs w:val="1"/>
                <w:color w:val="auto"/>
              </w:rPr>
              <w:t>October 31, 2020</w:t>
            </w:r>
          </w:p>
        </w:tc>
        <w:tc>
          <w:tcPr>
            <w:tcW w:w="11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jc w:val="right"/>
              <w:ind w:right="340"/>
              <w:spacing w:after="0"/>
              <w:rPr>
                <w:sz w:val="20"/>
                <w:szCs w:val="20"/>
                <w:color w:val="auto"/>
              </w:rPr>
            </w:pPr>
            <w:r>
              <w:rPr>
                <w:rFonts w:ascii="Arial" w:cs="Arial" w:eastAsia="Arial" w:hAnsi="Arial"/>
                <w:sz w:val="16"/>
                <w:szCs w:val="16"/>
                <w:color w:val="auto"/>
              </w:rPr>
              <w:t>April 30, 2020</w:t>
            </w:r>
          </w:p>
        </w:tc>
        <w:tc>
          <w:tcPr>
            <w:tcW w:w="1000" w:type="dxa"/>
            <w:vAlign w:val="bottom"/>
            <w:tcBorders>
              <w:top w:val="single" w:sz="8" w:color="auto"/>
              <w:bottom w:val="single" w:sz="8" w:color="auto"/>
            </w:tcBorders>
          </w:tcPr>
          <w:p>
            <w:pPr>
              <w:spacing w:after="0"/>
              <w:rPr>
                <w:sz w:val="19"/>
                <w:szCs w:val="19"/>
                <w:color w:val="auto"/>
              </w:rPr>
            </w:pPr>
          </w:p>
        </w:tc>
      </w:tr>
      <w:tr>
        <w:trPr>
          <w:trHeight w:val="208"/>
        </w:trPr>
        <w:tc>
          <w:tcPr>
            <w:tcW w:w="226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Short-term</w:t>
            </w:r>
          </w:p>
        </w:tc>
        <w:tc>
          <w:tcPr>
            <w:tcW w:w="168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color w:val="auto"/>
              </w:rPr>
              <w:t>Long-term</w:t>
            </w:r>
          </w:p>
        </w:tc>
        <w:tc>
          <w:tcPr>
            <w:tcW w:w="118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Outlook</w:t>
            </w: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Short-term</w:t>
            </w:r>
          </w:p>
        </w:tc>
        <w:tc>
          <w:tcPr>
            <w:tcW w:w="154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Long-term</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Outlook</w:t>
            </w:r>
          </w:p>
        </w:tc>
      </w:tr>
      <w:tr>
        <w:trPr>
          <w:trHeight w:val="208"/>
        </w:trPr>
        <w:tc>
          <w:tcPr>
            <w:tcW w:w="2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Moody's</w:t>
            </w:r>
          </w:p>
        </w:tc>
        <w:tc>
          <w:tcPr>
            <w:tcW w:w="24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P-3</w:t>
            </w:r>
          </w:p>
        </w:tc>
        <w:tc>
          <w:tcPr>
            <w:tcW w:w="1680" w:type="dxa"/>
            <w:vAlign w:val="bottom"/>
            <w:shd w:val="clear" w:color="auto" w:fill="CCEEFF"/>
          </w:tcPr>
          <w:p>
            <w:pPr>
              <w:jc w:val="right"/>
              <w:ind w:right="340"/>
              <w:spacing w:after="0"/>
              <w:rPr>
                <w:sz w:val="20"/>
                <w:szCs w:val="20"/>
                <w:color w:val="auto"/>
              </w:rPr>
            </w:pPr>
            <w:r>
              <w:rPr>
                <w:rFonts w:ascii="Arial" w:cs="Arial" w:eastAsia="Arial" w:hAnsi="Arial"/>
                <w:sz w:val="16"/>
                <w:szCs w:val="16"/>
                <w:b w:val="1"/>
                <w:bCs w:val="1"/>
                <w:color w:val="auto"/>
              </w:rPr>
              <w:t>Baa3</w:t>
            </w:r>
          </w:p>
        </w:tc>
        <w:tc>
          <w:tcPr>
            <w:tcW w:w="1180" w:type="dxa"/>
            <w:vAlign w:val="bottom"/>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Stable</w:t>
            </w: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P-3</w:t>
            </w:r>
          </w:p>
        </w:tc>
        <w:tc>
          <w:tcPr>
            <w:tcW w:w="154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Baa3</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Negative</w:t>
            </w:r>
          </w:p>
        </w:tc>
      </w:tr>
      <w:tr>
        <w:trPr>
          <w:trHeight w:val="214"/>
        </w:trPr>
        <w:tc>
          <w:tcPr>
            <w:tcW w:w="22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S&amp;P</w:t>
            </w:r>
          </w:p>
        </w:tc>
        <w:tc>
          <w:tcPr>
            <w:tcW w:w="2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A-2</w:t>
            </w:r>
          </w:p>
        </w:tc>
        <w:tc>
          <w:tcPr>
            <w:tcW w:w="168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BBB</w:t>
            </w:r>
          </w:p>
        </w:tc>
        <w:tc>
          <w:tcPr>
            <w:tcW w:w="118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b w:val="1"/>
                <w:bCs w:val="1"/>
                <w:color w:val="auto"/>
              </w:rPr>
              <w:t>Stable</w:t>
            </w: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A-2</w:t>
            </w:r>
          </w:p>
        </w:tc>
        <w:tc>
          <w:tcPr>
            <w:tcW w:w="154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BBB</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Negative</w:t>
            </w:r>
          </w:p>
        </w:tc>
      </w:tr>
    </w:tbl>
    <w:p>
      <w:pPr>
        <w:spacing w:after="0" w:line="151" w:lineRule="exact"/>
        <w:rPr>
          <w:sz w:val="20"/>
          <w:szCs w:val="20"/>
          <w:color w:val="auto"/>
        </w:rPr>
      </w:pPr>
    </w:p>
    <w:p>
      <w:pPr>
        <w:jc w:val="both"/>
        <w:ind w:firstLine="241"/>
        <w:spacing w:after="0" w:line="286" w:lineRule="auto"/>
        <w:rPr>
          <w:sz w:val="20"/>
          <w:szCs w:val="20"/>
          <w:color w:val="auto"/>
        </w:rPr>
      </w:pPr>
      <w:r>
        <w:rPr>
          <w:rFonts w:ascii="Arial" w:cs="Arial" w:eastAsia="Arial" w:hAnsi="Arial"/>
          <w:sz w:val="18"/>
          <w:szCs w:val="18"/>
          <w:color w:val="auto"/>
        </w:rPr>
        <w:t>Other than described above, there have been no material changes in our borrowings from those reported as of April 30, 2020 in our Annual Report on Form 10-K.</w:t>
      </w:r>
    </w:p>
    <w:p>
      <w:pPr>
        <w:spacing w:after="0" w:line="40" w:lineRule="exact"/>
        <w:rPr>
          <w:sz w:val="20"/>
          <w:szCs w:val="20"/>
          <w:color w:val="auto"/>
        </w:rPr>
      </w:pPr>
    </w:p>
    <w:p>
      <w:pPr>
        <w:jc w:val="both"/>
        <w:ind w:firstLine="241"/>
        <w:spacing w:after="0" w:line="288" w:lineRule="auto"/>
        <w:rPr>
          <w:sz w:val="20"/>
          <w:szCs w:val="20"/>
          <w:color w:val="auto"/>
        </w:rPr>
      </w:pPr>
      <w:r>
        <w:rPr>
          <w:rFonts w:ascii="Arial" w:cs="Arial" w:eastAsia="Arial" w:hAnsi="Arial"/>
          <w:sz w:val="18"/>
          <w:szCs w:val="18"/>
          <w:b w:val="1"/>
          <w:bCs w:val="1"/>
          <w:color w:val="auto"/>
        </w:rPr>
        <w:t xml:space="preserve">CASH AND OTHER ASSETS </w:t>
      </w:r>
      <w:r>
        <w:rPr>
          <w:rFonts w:ascii="Arial" w:cs="Arial" w:eastAsia="Arial" w:hAnsi="Arial"/>
          <w:sz w:val="18"/>
          <w:szCs w:val="18"/>
          <w:color w:val="auto"/>
        </w:rPr>
        <w:t>– As of October 31, 2020, we held cash and cash equivalents, excluding restricted amounts, of $209.0</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including $88.5 million held by our foreign subsidiaries.</w:t>
      </w:r>
    </w:p>
    <w:p>
      <w:pPr>
        <w:spacing w:after="0" w:line="39" w:lineRule="exact"/>
        <w:rPr>
          <w:sz w:val="20"/>
          <w:szCs w:val="20"/>
          <w:color w:val="auto"/>
        </w:rPr>
      </w:pPr>
    </w:p>
    <w:p>
      <w:pPr>
        <w:jc w:val="both"/>
        <w:ind w:firstLine="241"/>
        <w:spacing w:after="0" w:line="268" w:lineRule="auto"/>
        <w:rPr>
          <w:sz w:val="20"/>
          <w:szCs w:val="20"/>
          <w:color w:val="auto"/>
        </w:rPr>
      </w:pPr>
      <w:r>
        <w:rPr>
          <w:rFonts w:ascii="Arial" w:cs="Arial" w:eastAsia="Arial" w:hAnsi="Arial"/>
          <w:sz w:val="18"/>
          <w:szCs w:val="18"/>
          <w:b w:val="1"/>
          <w:bCs w:val="1"/>
          <w:color w:val="auto"/>
        </w:rPr>
        <w:t xml:space="preserve">Foreign Operations. </w:t>
      </w:r>
      <w:r>
        <w:rPr>
          <w:rFonts w:ascii="Arial" w:cs="Arial" w:eastAsia="Arial" w:hAnsi="Arial"/>
          <w:sz w:val="18"/>
          <w:szCs w:val="18"/>
          <w:color w:val="auto"/>
        </w:rPr>
        <w:t>When necessary, our international businesses are funded by our U.S. operations. To mitigate foreign currency</w:t>
      </w:r>
      <w:r>
        <w:rPr>
          <w:rFonts w:ascii="Arial" w:cs="Arial" w:eastAsia="Arial" w:hAnsi="Arial"/>
          <w:sz w:val="18"/>
          <w:szCs w:val="18"/>
          <w:b w:val="1"/>
          <w:bCs w:val="1"/>
          <w:color w:val="auto"/>
        </w:rPr>
        <w:t xml:space="preserve"> </w:t>
      </w:r>
      <w:r>
        <w:rPr>
          <w:rFonts w:ascii="Arial" w:cs="Arial" w:eastAsia="Arial" w:hAnsi="Arial"/>
          <w:sz w:val="18"/>
          <w:szCs w:val="18"/>
          <w:color w:val="auto"/>
        </w:rPr>
        <w:t>exchange rate risk, we sometimes enter into foreign exchange forward contracts. There was one forward contract outstanding as of October 31, 2020, which had a recorded amount of $0.8 million.</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We do not currently intend to repatriate any non-borrowed funds held by our foreign subsidiaries.</w:t>
      </w:r>
    </w:p>
    <w:p>
      <w:pPr>
        <w:spacing w:after="0" w:line="114" w:lineRule="exact"/>
        <w:rPr>
          <w:sz w:val="20"/>
          <w:szCs w:val="20"/>
          <w:color w:val="auto"/>
        </w:rPr>
      </w:pPr>
    </w:p>
    <w:p>
      <w:pPr>
        <w:jc w:val="both"/>
        <w:ind w:firstLine="241"/>
        <w:spacing w:after="0" w:line="286" w:lineRule="auto"/>
        <w:rPr>
          <w:sz w:val="20"/>
          <w:szCs w:val="20"/>
          <w:color w:val="auto"/>
        </w:rPr>
      </w:pPr>
      <w:r>
        <w:rPr>
          <w:rFonts w:ascii="Arial" w:cs="Arial" w:eastAsia="Arial" w:hAnsi="Arial"/>
          <w:sz w:val="18"/>
          <w:szCs w:val="18"/>
          <w:color w:val="auto"/>
        </w:rPr>
        <w:t>The impact of changes in foreign exchange rates during the period on our international cash balances resulted in an increase of $6.4 million during the six months ended October 31, 2020 compared to an increase of $1.1 million in the prior year.</w:t>
      </w:r>
    </w:p>
    <w:p>
      <w:pPr>
        <w:spacing w:after="0" w:line="40" w:lineRule="exact"/>
        <w:rPr>
          <w:sz w:val="20"/>
          <w:szCs w:val="20"/>
          <w:color w:val="auto"/>
        </w:rPr>
      </w:pPr>
    </w:p>
    <w:p>
      <w:pPr>
        <w:jc w:val="both"/>
        <w:ind w:firstLine="241"/>
        <w:spacing w:after="0" w:line="261" w:lineRule="auto"/>
        <w:rPr>
          <w:sz w:val="20"/>
          <w:szCs w:val="20"/>
          <w:color w:val="auto"/>
        </w:rPr>
      </w:pPr>
      <w:r>
        <w:rPr>
          <w:rFonts w:ascii="Arial" w:cs="Arial" w:eastAsia="Arial" w:hAnsi="Arial"/>
          <w:sz w:val="18"/>
          <w:szCs w:val="18"/>
          <w:b w:val="1"/>
          <w:bCs w:val="1"/>
          <w:color w:val="auto"/>
        </w:rPr>
        <w:t xml:space="preserve">CONTRACTUAL OBLIGATIONS AND COMMERCIAL COMMITMENTS </w:t>
      </w:r>
      <w:r>
        <w:rPr>
          <w:rFonts w:ascii="Arial" w:cs="Arial" w:eastAsia="Arial" w:hAnsi="Arial"/>
          <w:sz w:val="18"/>
          <w:szCs w:val="18"/>
          <w:color w:val="auto"/>
        </w:rPr>
        <w:t>– Except as described in Recent Developments related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Meta Program Management Agreement, and in Item 1, note 6 related to the 2030 Senior Notes issuance, there have been no material changes in our contractual obligations and commercial commitments from those reported as of April 30, 2020 in our Annual Report on Form 10-K.</w:t>
      </w:r>
    </w:p>
    <w:p>
      <w:pPr>
        <w:spacing w:after="0" w:line="64" w:lineRule="exact"/>
        <w:rPr>
          <w:sz w:val="20"/>
          <w:szCs w:val="20"/>
          <w:color w:val="auto"/>
        </w:rPr>
      </w:pPr>
    </w:p>
    <w:p>
      <w:pPr>
        <w:jc w:val="both"/>
        <w:ind w:firstLine="241"/>
        <w:spacing w:after="0" w:line="268" w:lineRule="auto"/>
        <w:rPr>
          <w:sz w:val="20"/>
          <w:szCs w:val="20"/>
          <w:color w:val="auto"/>
        </w:rPr>
      </w:pPr>
      <w:r>
        <w:rPr>
          <w:rFonts w:ascii="Arial" w:cs="Arial" w:eastAsia="Arial" w:hAnsi="Arial"/>
          <w:sz w:val="18"/>
          <w:szCs w:val="18"/>
          <w:b w:val="1"/>
          <w:bCs w:val="1"/>
          <w:color w:val="auto"/>
        </w:rPr>
        <w:t xml:space="preserve">SUMMARIZED GUARANTOR FINANCIAL STATEMENTS </w:t>
      </w:r>
      <w:r>
        <w:rPr>
          <w:rFonts w:ascii="Arial" w:cs="Arial" w:eastAsia="Arial" w:hAnsi="Arial"/>
          <w:sz w:val="18"/>
          <w:szCs w:val="18"/>
          <w:color w:val="auto"/>
        </w:rPr>
        <w:t>– Block Financial is a 100% owned subsidiary of H&amp;R Block, Inc. Block</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is the Issuer and H&amp;R Block, Inc. is the full and unconditional Guarantor of our Senior Notes, CLOC and other indebtedness issued from time to time.</w:t>
      </w:r>
    </w:p>
    <w:p>
      <w:pPr>
        <w:spacing w:after="0" w:line="58" w:lineRule="exact"/>
        <w:rPr>
          <w:sz w:val="20"/>
          <w:szCs w:val="20"/>
          <w:color w:val="auto"/>
        </w:rPr>
      </w:pPr>
    </w:p>
    <w:p>
      <w:pPr>
        <w:jc w:val="both"/>
        <w:ind w:firstLine="241"/>
        <w:spacing w:after="0" w:line="286" w:lineRule="auto"/>
        <w:rPr>
          <w:sz w:val="20"/>
          <w:szCs w:val="20"/>
          <w:color w:val="auto"/>
        </w:rPr>
      </w:pPr>
      <w:r>
        <w:rPr>
          <w:rFonts w:ascii="Arial" w:cs="Arial" w:eastAsia="Arial" w:hAnsi="Arial"/>
          <w:sz w:val="18"/>
          <w:szCs w:val="18"/>
          <w:color w:val="auto"/>
        </w:rPr>
        <w:t>The following table presents summarized financial information for H&amp;R Block, Inc. (Guarantor) and Block Financial (Issuer) on a combined basis after intercompany eliminations and excludes investments in and equity earnings in non-guarantor subsidiaries.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92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SUMMARIZED BALANCE SHEET - GUARANTOR AND ISSUER</w:t>
            </w:r>
          </w:p>
        </w:tc>
        <w:tc>
          <w:tcPr>
            <w:tcW w:w="260" w:type="dxa"/>
            <w:vAlign w:val="bottom"/>
            <w:tcBorders>
              <w:top w:val="single" w:sz="8" w:color="auto"/>
              <w:bottom w:val="single" w:sz="8" w:color="auto"/>
            </w:tcBorders>
          </w:tcPr>
          <w:p>
            <w:pPr>
              <w:spacing w:after="0"/>
              <w:rPr>
                <w:sz w:val="19"/>
                <w:szCs w:val="19"/>
                <w:color w:val="auto"/>
              </w:rPr>
            </w:pPr>
          </w:p>
        </w:tc>
        <w:tc>
          <w:tcPr>
            <w:tcW w:w="186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(in 000s)</w:t>
            </w:r>
          </w:p>
        </w:tc>
      </w:tr>
      <w:tr>
        <w:trPr>
          <w:trHeight w:val="208"/>
        </w:trPr>
        <w:tc>
          <w:tcPr>
            <w:tcW w:w="6920" w:type="dxa"/>
            <w:vAlign w:val="bottom"/>
            <w:gridSpan w:val="2"/>
          </w:tcPr>
          <w:p>
            <w:pPr>
              <w:ind w:left="20"/>
              <w:spacing w:after="0"/>
              <w:rPr>
                <w:sz w:val="20"/>
                <w:szCs w:val="20"/>
                <w:color w:val="auto"/>
              </w:rPr>
            </w:pPr>
            <w:r>
              <w:rPr>
                <w:rFonts w:ascii="Arial" w:cs="Arial" w:eastAsia="Arial" w:hAnsi="Arial"/>
                <w:sz w:val="16"/>
                <w:szCs w:val="16"/>
                <w:color w:val="auto"/>
              </w:rPr>
              <w:t>As of</w:t>
            </w:r>
          </w:p>
        </w:tc>
        <w:tc>
          <w:tcPr>
            <w:tcW w:w="260" w:type="dxa"/>
            <w:vAlign w:val="bottom"/>
          </w:tcPr>
          <w:p>
            <w:pPr>
              <w:spacing w:after="0"/>
              <w:rPr>
                <w:sz w:val="18"/>
                <w:szCs w:val="18"/>
                <w:color w:val="auto"/>
              </w:rPr>
            </w:pPr>
          </w:p>
        </w:tc>
        <w:tc>
          <w:tcPr>
            <w:tcW w:w="1940" w:type="dxa"/>
            <w:vAlign w:val="bottom"/>
            <w:gridSpan w:val="2"/>
          </w:tcPr>
          <w:p>
            <w:pPr>
              <w:ind w:left="160"/>
              <w:spacing w:after="0"/>
              <w:rPr>
                <w:sz w:val="20"/>
                <w:szCs w:val="20"/>
                <w:color w:val="auto"/>
              </w:rPr>
            </w:pPr>
            <w:r>
              <w:rPr>
                <w:rFonts w:ascii="Arial" w:cs="Arial" w:eastAsia="Arial" w:hAnsi="Arial"/>
                <w:sz w:val="16"/>
                <w:szCs w:val="16"/>
                <w:b w:val="1"/>
                <w:bCs w:val="1"/>
                <w:color w:val="auto"/>
              </w:rPr>
              <w:t>October 31, 2020</w:t>
            </w:r>
          </w:p>
        </w:tc>
        <w:tc>
          <w:tcPr>
            <w:tcW w:w="340" w:type="dxa"/>
            <w:vAlign w:val="bottom"/>
          </w:tcPr>
          <w:p>
            <w:pPr>
              <w:spacing w:after="0"/>
              <w:rPr>
                <w:sz w:val="18"/>
                <w:szCs w:val="18"/>
                <w:color w:val="auto"/>
              </w:rPr>
            </w:pPr>
          </w:p>
        </w:tc>
        <w:tc>
          <w:tcPr>
            <w:tcW w:w="1780" w:type="dxa"/>
            <w:vAlign w:val="bottom"/>
          </w:tcPr>
          <w:p>
            <w:pPr>
              <w:jc w:val="right"/>
              <w:ind w:right="481"/>
              <w:spacing w:after="0"/>
              <w:rPr>
                <w:sz w:val="20"/>
                <w:szCs w:val="20"/>
                <w:color w:val="auto"/>
              </w:rPr>
            </w:pPr>
            <w:r>
              <w:rPr>
                <w:rFonts w:ascii="Arial" w:cs="Arial" w:eastAsia="Arial" w:hAnsi="Arial"/>
                <w:sz w:val="16"/>
                <w:szCs w:val="16"/>
                <w:color w:val="auto"/>
              </w:rPr>
              <w:t>April 30, 2020</w:t>
            </w:r>
          </w:p>
        </w:tc>
      </w:tr>
      <w:tr>
        <w:trPr>
          <w:trHeight w:val="34"/>
        </w:trPr>
        <w:tc>
          <w:tcPr>
            <w:tcW w:w="68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8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780" w:type="dxa"/>
            <w:vAlign w:val="bottom"/>
            <w:tcBorders>
              <w:top w:val="single" w:sz="8" w:color="auto"/>
            </w:tcBorders>
          </w:tcPr>
          <w:p>
            <w:pPr>
              <w:spacing w:after="0"/>
              <w:rPr>
                <w:sz w:val="2"/>
                <w:szCs w:val="2"/>
                <w:color w:val="auto"/>
              </w:rPr>
            </w:pPr>
          </w:p>
        </w:tc>
      </w:tr>
      <w:tr>
        <w:trPr>
          <w:trHeight w:val="214"/>
        </w:trPr>
        <w:tc>
          <w:tcPr>
            <w:tcW w:w="6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260" w:type="dxa"/>
            <w:vAlign w:val="bottom"/>
            <w:shd w:val="clear" w:color="auto" w:fill="CCEEFF"/>
          </w:tcPr>
          <w:p>
            <w:pPr>
              <w:jc w:val="right"/>
              <w:ind w:right="80"/>
              <w:spacing w:after="0"/>
              <w:rPr>
                <w:sz w:val="20"/>
                <w:szCs w:val="20"/>
                <w:color w:val="auto"/>
              </w:rPr>
            </w:pPr>
            <w:r>
              <w:rPr>
                <w:rFonts w:ascii="Arial" w:cs="Arial" w:eastAsia="Arial" w:hAnsi="Arial"/>
                <w:sz w:val="16"/>
                <w:szCs w:val="16"/>
                <w:b w:val="1"/>
                <w:bCs w:val="1"/>
                <w:color w:val="auto"/>
                <w:w w:val="8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44,283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53,865</w:t>
            </w:r>
          </w:p>
        </w:tc>
      </w:tr>
      <w:tr>
        <w:trPr>
          <w:trHeight w:val="214"/>
        </w:trPr>
        <w:tc>
          <w:tcPr>
            <w:tcW w:w="6920" w:type="dxa"/>
            <w:vAlign w:val="bottom"/>
            <w:gridSpan w:val="2"/>
          </w:tcPr>
          <w:p>
            <w:pPr>
              <w:ind w:left="20"/>
              <w:spacing w:after="0"/>
              <w:rPr>
                <w:sz w:val="20"/>
                <w:szCs w:val="20"/>
                <w:color w:val="auto"/>
              </w:rPr>
            </w:pPr>
            <w:r>
              <w:rPr>
                <w:rFonts w:ascii="Arial" w:cs="Arial" w:eastAsia="Arial" w:hAnsi="Arial"/>
                <w:sz w:val="16"/>
                <w:szCs w:val="16"/>
                <w:color w:val="auto"/>
              </w:rPr>
              <w:t>Noncurrent assets</w:t>
            </w:r>
          </w:p>
        </w:tc>
        <w:tc>
          <w:tcPr>
            <w:tcW w:w="26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b w:val="1"/>
                <w:bCs w:val="1"/>
                <w:color w:val="auto"/>
              </w:rPr>
              <w:t>1,671,981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80" w:type="dxa"/>
            <w:vAlign w:val="bottom"/>
          </w:tcPr>
          <w:p>
            <w:pPr>
              <w:jc w:val="right"/>
              <w:ind w:right="1"/>
              <w:spacing w:after="0"/>
              <w:rPr>
                <w:sz w:val="20"/>
                <w:szCs w:val="20"/>
                <w:color w:val="auto"/>
              </w:rPr>
            </w:pPr>
            <w:r>
              <w:rPr>
                <w:rFonts w:ascii="Arial" w:cs="Arial" w:eastAsia="Arial" w:hAnsi="Arial"/>
                <w:sz w:val="16"/>
                <w:szCs w:val="16"/>
                <w:color w:val="auto"/>
              </w:rPr>
              <w:t>3,644,369</w:t>
            </w:r>
          </w:p>
        </w:tc>
      </w:tr>
      <w:tr>
        <w:trPr>
          <w:trHeight w:val="214"/>
        </w:trPr>
        <w:tc>
          <w:tcPr>
            <w:tcW w:w="6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26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35,942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697,797</w:t>
            </w:r>
          </w:p>
        </w:tc>
      </w:tr>
      <w:tr>
        <w:trPr>
          <w:trHeight w:val="248"/>
        </w:trPr>
        <w:tc>
          <w:tcPr>
            <w:tcW w:w="69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Noncurrent liabilities</w:t>
            </w:r>
          </w:p>
        </w:tc>
        <w:tc>
          <w:tcPr>
            <w:tcW w:w="260" w:type="dxa"/>
            <w:vAlign w:val="bottom"/>
            <w:tcBorders>
              <w:bottom w:val="single" w:sz="8" w:color="CCEEFF"/>
            </w:tcBorders>
          </w:tcPr>
          <w:p>
            <w:pPr>
              <w:spacing w:after="0"/>
              <w:rPr>
                <w:sz w:val="21"/>
                <w:szCs w:val="21"/>
                <w:color w:val="auto"/>
              </w:rPr>
            </w:pPr>
          </w:p>
        </w:tc>
        <w:tc>
          <w:tcPr>
            <w:tcW w:w="186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1,568,236</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178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color w:val="auto"/>
              </w:rPr>
              <w:t>2,854,211</w:t>
            </w:r>
          </w:p>
        </w:tc>
      </w:tr>
      <w:tr>
        <w:trPr>
          <w:trHeight w:val="20"/>
        </w:trPr>
        <w:tc>
          <w:tcPr>
            <w:tcW w:w="68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824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Q2 FY2021 Form 10-Q</w:t>
      </w:r>
      <w:r>
        <w:rPr>
          <w:rFonts w:ascii="Arial" w:cs="Arial" w:eastAsia="Arial" w:hAnsi="Arial"/>
          <w:sz w:val="14"/>
          <w:szCs w:val="14"/>
          <w:b w:val="1"/>
          <w:bCs w:val="1"/>
          <w:color w:val="auto"/>
        </w:rPr>
        <w:t xml:space="preserve">  </w:t>
      </w:r>
      <w:r>
        <w:rPr>
          <w:rFonts w:ascii="Arial" w:cs="Arial" w:eastAsia="Arial" w:hAnsi="Arial"/>
          <w:sz w:val="14"/>
          <w:szCs w:val="14"/>
          <w:color w:val="FFFFFF"/>
          <w:highlight w:val="black"/>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145415</wp:posOffset>
            </wp:positionV>
            <wp:extent cx="713359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3590" cy="17145"/>
                    </a:xfrm>
                    <a:prstGeom prst="rect">
                      <a:avLst/>
                    </a:prstGeom>
                    <a:noFill/>
                  </pic:spPr>
                </pic:pic>
              </a:graphicData>
            </a:graphic>
          </wp:anchor>
        </w:drawing>
        <w:drawing>
          <wp:anchor simplePos="0" relativeHeight="251657728" behindDoc="1" locked="0" layoutInCell="0" allowOverlap="1">
            <wp:simplePos x="0" y="0"/>
            <wp:positionH relativeFrom="column">
              <wp:posOffset>6917055</wp:posOffset>
            </wp:positionH>
            <wp:positionV relativeFrom="paragraph">
              <wp:posOffset>-100330</wp:posOffset>
            </wp:positionV>
            <wp:extent cx="220980" cy="1187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20980" cy="118745"/>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29" w:name="page30"/>
    <w:bookmarkEnd w:id="2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92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SUMMARIZED STATEMENTS OF OPERATIONS - GUARANTOR AND ISSUER</w:t>
            </w:r>
          </w:p>
        </w:tc>
        <w:tc>
          <w:tcPr>
            <w:tcW w:w="420" w:type="dxa"/>
            <w:vAlign w:val="bottom"/>
            <w:tcBorders>
              <w:top w:val="single" w:sz="8" w:color="auto"/>
              <w:bottom w:val="single" w:sz="8" w:color="auto"/>
            </w:tcBorders>
          </w:tcPr>
          <w:p>
            <w:pPr>
              <w:spacing w:after="0"/>
              <w:rPr>
                <w:sz w:val="19"/>
                <w:szCs w:val="19"/>
                <w:color w:val="auto"/>
              </w:rPr>
            </w:pPr>
          </w:p>
        </w:tc>
        <w:tc>
          <w:tcPr>
            <w:tcW w:w="170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(in 000s)</w:t>
            </w:r>
          </w:p>
        </w:tc>
      </w:tr>
      <w:tr>
        <w:trPr>
          <w:trHeight w:val="154"/>
        </w:trPr>
        <w:tc>
          <w:tcPr>
            <w:tcW w:w="6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0" w:type="dxa"/>
            <w:vAlign w:val="bottom"/>
            <w:gridSpan w:val="3"/>
          </w:tcPr>
          <w:p>
            <w:pPr>
              <w:ind w:left="40"/>
              <w:spacing w:after="0" w:line="154" w:lineRule="exact"/>
              <w:rPr>
                <w:sz w:val="20"/>
                <w:szCs w:val="20"/>
                <w:color w:val="auto"/>
              </w:rPr>
            </w:pPr>
            <w:r>
              <w:rPr>
                <w:rFonts w:ascii="Arial" w:cs="Arial" w:eastAsia="Arial" w:hAnsi="Arial"/>
                <w:sz w:val="16"/>
                <w:szCs w:val="16"/>
                <w:b w:val="1"/>
                <w:bCs w:val="1"/>
                <w:color w:val="auto"/>
              </w:rPr>
              <w:t>Six months ended October</w:t>
            </w:r>
          </w:p>
        </w:tc>
        <w:tc>
          <w:tcPr>
            <w:tcW w:w="2120" w:type="dxa"/>
            <w:vAlign w:val="bottom"/>
            <w:gridSpan w:val="2"/>
          </w:tcPr>
          <w:p>
            <w:pPr>
              <w:jc w:val="right"/>
              <w:ind w:right="21"/>
              <w:spacing w:after="0" w:line="154" w:lineRule="exact"/>
              <w:rPr>
                <w:sz w:val="20"/>
                <w:szCs w:val="20"/>
                <w:color w:val="auto"/>
              </w:rPr>
            </w:pPr>
            <w:r>
              <w:rPr>
                <w:rFonts w:ascii="Arial" w:cs="Arial" w:eastAsia="Arial" w:hAnsi="Arial"/>
                <w:sz w:val="16"/>
                <w:szCs w:val="16"/>
                <w:color w:val="auto"/>
              </w:rPr>
              <w:t>Twelve months ended April</w:t>
            </w:r>
          </w:p>
        </w:tc>
      </w:tr>
      <w:tr>
        <w:trPr>
          <w:trHeight w:val="214"/>
        </w:trPr>
        <w:tc>
          <w:tcPr>
            <w:tcW w:w="6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680"/>
              <w:spacing w:after="0"/>
              <w:rPr>
                <w:sz w:val="20"/>
                <w:szCs w:val="20"/>
                <w:color w:val="auto"/>
              </w:rPr>
            </w:pPr>
            <w:r>
              <w:rPr>
                <w:rFonts w:ascii="Arial" w:cs="Arial" w:eastAsia="Arial" w:hAnsi="Arial"/>
                <w:sz w:val="16"/>
                <w:szCs w:val="16"/>
                <w:b w:val="1"/>
                <w:bCs w:val="1"/>
                <w:color w:val="auto"/>
              </w:rPr>
              <w:t>31, 2020</w:t>
            </w:r>
          </w:p>
        </w:tc>
        <w:tc>
          <w:tcPr>
            <w:tcW w:w="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661"/>
              <w:spacing w:after="0"/>
              <w:rPr>
                <w:sz w:val="20"/>
                <w:szCs w:val="20"/>
                <w:color w:val="auto"/>
              </w:rPr>
            </w:pPr>
            <w:r>
              <w:rPr>
                <w:rFonts w:ascii="Arial" w:cs="Arial" w:eastAsia="Arial" w:hAnsi="Arial"/>
                <w:sz w:val="16"/>
                <w:szCs w:val="16"/>
                <w:color w:val="auto"/>
              </w:rPr>
              <w:t>30, 2020</w:t>
            </w:r>
          </w:p>
        </w:tc>
      </w:tr>
      <w:tr>
        <w:trPr>
          <w:trHeight w:val="34"/>
        </w:trPr>
        <w:tc>
          <w:tcPr>
            <w:tcW w:w="6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14"/>
        </w:trPr>
        <w:tc>
          <w:tcPr>
            <w:tcW w:w="6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revenues</w:t>
            </w:r>
          </w:p>
        </w:tc>
        <w:tc>
          <w:tcPr>
            <w:tcW w:w="4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1700" w:type="dxa"/>
            <w:vAlign w:val="bottom"/>
            <w:shd w:val="clear" w:color="auto" w:fill="CCEEFF"/>
          </w:tcPr>
          <w:p>
            <w:pPr>
              <w:jc w:val="center"/>
              <w:ind w:left="960"/>
              <w:spacing w:after="0"/>
              <w:rPr>
                <w:sz w:val="20"/>
                <w:szCs w:val="20"/>
                <w:color w:val="auto"/>
              </w:rPr>
            </w:pPr>
            <w:r>
              <w:rPr>
                <w:rFonts w:ascii="Arial" w:cs="Arial" w:eastAsia="Arial" w:hAnsi="Arial"/>
                <w:sz w:val="16"/>
                <w:szCs w:val="16"/>
                <w:b w:val="1"/>
                <w:bCs w:val="1"/>
                <w:color w:val="auto"/>
              </w:rPr>
              <w:t>33,833</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184,415</w:t>
            </w:r>
          </w:p>
        </w:tc>
      </w:tr>
      <w:tr>
        <w:trPr>
          <w:trHeight w:val="214"/>
        </w:trPr>
        <w:tc>
          <w:tcPr>
            <w:tcW w:w="6920" w:type="dxa"/>
            <w:vAlign w:val="bottom"/>
            <w:gridSpan w:val="2"/>
          </w:tcPr>
          <w:p>
            <w:pPr>
              <w:ind w:left="20"/>
              <w:spacing w:after="0"/>
              <w:rPr>
                <w:sz w:val="20"/>
                <w:szCs w:val="20"/>
                <w:color w:val="auto"/>
              </w:rPr>
            </w:pPr>
            <w:r>
              <w:rPr>
                <w:rFonts w:ascii="Arial" w:cs="Arial" w:eastAsia="Arial" w:hAnsi="Arial"/>
                <w:sz w:val="16"/>
                <w:szCs w:val="16"/>
                <w:color w:val="auto"/>
              </w:rPr>
              <w:t>Loss from continuing operations before income taxes</w:t>
            </w:r>
          </w:p>
        </w:tc>
        <w:tc>
          <w:tcPr>
            <w:tcW w:w="420" w:type="dxa"/>
            <w:vAlign w:val="bottom"/>
          </w:tcPr>
          <w:p>
            <w:pPr>
              <w:spacing w:after="0"/>
              <w:rPr>
                <w:sz w:val="18"/>
                <w:szCs w:val="18"/>
                <w:color w:val="auto"/>
              </w:rPr>
            </w:pPr>
          </w:p>
        </w:tc>
        <w:tc>
          <w:tcPr>
            <w:tcW w:w="1700" w:type="dxa"/>
            <w:vAlign w:val="bottom"/>
          </w:tcPr>
          <w:p>
            <w:pPr>
              <w:jc w:val="center"/>
              <w:ind w:left="940"/>
              <w:spacing w:after="0"/>
              <w:rPr>
                <w:sz w:val="20"/>
                <w:szCs w:val="20"/>
                <w:color w:val="auto"/>
              </w:rPr>
            </w:pPr>
            <w:r>
              <w:rPr>
                <w:rFonts w:ascii="Arial" w:cs="Arial" w:eastAsia="Arial" w:hAnsi="Arial"/>
                <w:sz w:val="16"/>
                <w:szCs w:val="16"/>
                <w:b w:val="1"/>
                <w:bCs w:val="1"/>
                <w:color w:val="auto"/>
              </w:rPr>
              <w:t>(36,126)</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tcPr>
          <w:p>
            <w:pPr>
              <w:jc w:val="right"/>
              <w:ind w:right="1"/>
              <w:spacing w:after="0"/>
              <w:rPr>
                <w:sz w:val="20"/>
                <w:szCs w:val="20"/>
                <w:color w:val="auto"/>
              </w:rPr>
            </w:pPr>
            <w:r>
              <w:rPr>
                <w:rFonts w:ascii="Arial" w:cs="Arial" w:eastAsia="Arial" w:hAnsi="Arial"/>
                <w:sz w:val="16"/>
                <w:szCs w:val="16"/>
                <w:color w:val="auto"/>
              </w:rPr>
              <w:t>30,231</w:t>
            </w:r>
          </w:p>
        </w:tc>
      </w:tr>
      <w:tr>
        <w:trPr>
          <w:trHeight w:val="214"/>
        </w:trPr>
        <w:tc>
          <w:tcPr>
            <w:tcW w:w="6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loss from continuing operations</w:t>
            </w:r>
          </w:p>
        </w:tc>
        <w:tc>
          <w:tcPr>
            <w:tcW w:w="420" w:type="dxa"/>
            <w:vAlign w:val="bottom"/>
            <w:shd w:val="clear" w:color="auto" w:fill="CCEEFF"/>
          </w:tcPr>
          <w:p>
            <w:pPr>
              <w:spacing w:after="0"/>
              <w:rPr>
                <w:sz w:val="18"/>
                <w:szCs w:val="18"/>
                <w:color w:val="auto"/>
              </w:rPr>
            </w:pPr>
          </w:p>
        </w:tc>
        <w:tc>
          <w:tcPr>
            <w:tcW w:w="1700" w:type="dxa"/>
            <w:vAlign w:val="bottom"/>
            <w:shd w:val="clear" w:color="auto" w:fill="CCEEFF"/>
          </w:tcPr>
          <w:p>
            <w:pPr>
              <w:jc w:val="center"/>
              <w:ind w:left="940"/>
              <w:spacing w:after="0"/>
              <w:rPr>
                <w:sz w:val="20"/>
                <w:szCs w:val="20"/>
                <w:color w:val="auto"/>
              </w:rPr>
            </w:pPr>
            <w:r>
              <w:rPr>
                <w:rFonts w:ascii="Arial" w:cs="Arial" w:eastAsia="Arial" w:hAnsi="Arial"/>
                <w:sz w:val="16"/>
                <w:szCs w:val="16"/>
                <w:b w:val="1"/>
                <w:bCs w:val="1"/>
                <w:color w:val="auto"/>
              </w:rPr>
              <w:t>(28,518)</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23,559</w:t>
            </w:r>
          </w:p>
        </w:tc>
      </w:tr>
      <w:tr>
        <w:trPr>
          <w:trHeight w:val="248"/>
        </w:trPr>
        <w:tc>
          <w:tcPr>
            <w:tcW w:w="692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Net loss</w:t>
            </w:r>
          </w:p>
        </w:tc>
        <w:tc>
          <w:tcPr>
            <w:tcW w:w="420" w:type="dxa"/>
            <w:vAlign w:val="bottom"/>
            <w:tcBorders>
              <w:bottom w:val="single" w:sz="8" w:color="CCEEFF"/>
            </w:tcBorders>
          </w:tcPr>
          <w:p>
            <w:pPr>
              <w:spacing w:after="0"/>
              <w:rPr>
                <w:sz w:val="21"/>
                <w:szCs w:val="21"/>
                <w:color w:val="auto"/>
              </w:rPr>
            </w:pPr>
          </w:p>
        </w:tc>
        <w:tc>
          <w:tcPr>
            <w:tcW w:w="1700" w:type="dxa"/>
            <w:vAlign w:val="bottom"/>
            <w:tcBorders>
              <w:bottom w:val="single" w:sz="8" w:color="CCEEFF"/>
            </w:tcBorders>
          </w:tcPr>
          <w:p>
            <w:pPr>
              <w:jc w:val="center"/>
              <w:ind w:left="940"/>
              <w:spacing w:after="0"/>
              <w:rPr>
                <w:sz w:val="20"/>
                <w:szCs w:val="20"/>
                <w:color w:val="auto"/>
              </w:rPr>
            </w:pPr>
            <w:r>
              <w:rPr>
                <w:rFonts w:ascii="Arial" w:cs="Arial" w:eastAsia="Arial" w:hAnsi="Arial"/>
                <w:sz w:val="16"/>
                <w:szCs w:val="16"/>
                <w:b w:val="1"/>
                <w:bCs w:val="1"/>
                <w:color w:val="auto"/>
              </w:rPr>
              <w:t>(32,061)</w:t>
            </w:r>
          </w:p>
        </w:tc>
        <w:tc>
          <w:tcPr>
            <w:tcW w:w="80" w:type="dxa"/>
            <w:vAlign w:val="bottom"/>
            <w:tcBorders>
              <w:bottom w:val="single" w:sz="8" w:color="CCEEFF"/>
            </w:tcBorders>
          </w:tcPr>
          <w:p>
            <w:pPr>
              <w:spacing w:after="0"/>
              <w:rPr>
                <w:sz w:val="21"/>
                <w:szCs w:val="21"/>
                <w:color w:val="auto"/>
              </w:rPr>
            </w:pPr>
          </w:p>
        </w:tc>
        <w:tc>
          <w:tcPr>
            <w:tcW w:w="440" w:type="dxa"/>
            <w:vAlign w:val="bottom"/>
            <w:tcBorders>
              <w:bottom w:val="single" w:sz="8" w:color="CCEEFF"/>
            </w:tcBorders>
          </w:tcPr>
          <w:p>
            <w:pPr>
              <w:spacing w:after="0"/>
              <w:rPr>
                <w:sz w:val="21"/>
                <w:szCs w:val="21"/>
                <w:color w:val="auto"/>
              </w:rPr>
            </w:pPr>
          </w:p>
        </w:tc>
        <w:tc>
          <w:tcPr>
            <w:tcW w:w="168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color w:val="auto"/>
              </w:rPr>
              <w:t>10,497</w:t>
            </w:r>
          </w:p>
        </w:tc>
      </w:tr>
      <w:tr>
        <w:trPr>
          <w:trHeight w:val="20"/>
        </w:trPr>
        <w:tc>
          <w:tcPr>
            <w:tcW w:w="6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r>
    </w:tbl>
    <w:p>
      <w:pPr>
        <w:spacing w:after="0" w:line="178" w:lineRule="exact"/>
        <w:rPr>
          <w:sz w:val="20"/>
          <w:szCs w:val="20"/>
          <w:color w:val="auto"/>
        </w:rPr>
      </w:pPr>
    </w:p>
    <w:p>
      <w:pPr>
        <w:jc w:val="both"/>
        <w:ind w:firstLine="241"/>
        <w:spacing w:after="0" w:line="286" w:lineRule="auto"/>
        <w:rPr>
          <w:sz w:val="20"/>
          <w:szCs w:val="20"/>
          <w:color w:val="auto"/>
        </w:rPr>
      </w:pPr>
      <w:r>
        <w:rPr>
          <w:rFonts w:ascii="Arial" w:cs="Arial" w:eastAsia="Arial" w:hAnsi="Arial"/>
          <w:sz w:val="18"/>
          <w:szCs w:val="18"/>
          <w:color w:val="auto"/>
        </w:rPr>
        <w:t>The table above reflects $1.6 billion and $3.6 billion of non-current intercompany receivables due to the Issuer from non-guarantor subsidiaries as of October 31, 2020 and April 30, 2020, respectively.</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ENVIRONMENT</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212529"/>
        </w:rPr>
        <w:t>On November 17, 2017, the Consumer Financial Protection Bureau (CFPB) published its final rule changing the regulation of certain consumer credit products, including payday loans, vehicle title loans, and high-cost installment loans (Payday Rule). Certain limited provisions of the Payday Rule became effective on January 16, 2018, but most provisions were scheduled to go into effect on August 19, 2019. On November 6, 2018, a judge from the U.S. District Court for the Western District of Texas issued a stay of the Payday Rule's August 19, 2019 compliance date, which stay remains in effect until further notice from the Court. On July 7, 2020, the CFPB issued a final rule revoking the mandatory underwriting provisions of the Payday Rule.</w:t>
      </w:r>
    </w:p>
    <w:p>
      <w:pPr>
        <w:spacing w:after="0" w:line="73" w:lineRule="exact"/>
        <w:rPr>
          <w:sz w:val="20"/>
          <w:szCs w:val="20"/>
          <w:color w:val="auto"/>
        </w:rPr>
      </w:pPr>
    </w:p>
    <w:p>
      <w:pPr>
        <w:jc w:val="both"/>
        <w:ind w:firstLine="241"/>
        <w:spacing w:after="0" w:line="239" w:lineRule="auto"/>
        <w:rPr>
          <w:sz w:val="20"/>
          <w:szCs w:val="20"/>
          <w:color w:val="auto"/>
        </w:rPr>
      </w:pPr>
      <w:r>
        <w:rPr>
          <w:rFonts w:ascii="Arial" w:cs="Arial" w:eastAsia="Arial" w:hAnsi="Arial"/>
          <w:sz w:val="18"/>
          <w:szCs w:val="18"/>
          <w:color w:val="212529"/>
        </w:rPr>
        <w:t>Given these developments, we are unsure whether, when, or in what form the Payday Rule will go into effect. The timing to resolve the litigation is unclear. We do not currently expect the Payday Rule to have a material adverse impact on the Emerald Advance</w:t>
      </w:r>
      <w:r>
        <w:rPr>
          <w:rFonts w:ascii="Arial" w:cs="Arial" w:eastAsia="Arial" w:hAnsi="Arial"/>
          <w:sz w:val="23"/>
          <w:szCs w:val="23"/>
          <w:color w:val="212529"/>
          <w:vertAlign w:val="superscript"/>
        </w:rPr>
        <w:t>TM</w:t>
      </w:r>
      <w:r>
        <w:rPr>
          <w:rFonts w:ascii="Arial" w:cs="Arial" w:eastAsia="Arial" w:hAnsi="Arial"/>
          <w:sz w:val="18"/>
          <w:szCs w:val="18"/>
          <w:color w:val="212529"/>
        </w:rPr>
        <w:t xml:space="preserve"> product, our business, or our consolidated financial position, results of operations, and cash flows. We will continue to monitor and analyze the potential impact of any further Payday Rule developments on the Company.</w:t>
      </w:r>
    </w:p>
    <w:p>
      <w:pPr>
        <w:spacing w:after="0" w:line="82" w:lineRule="exact"/>
        <w:rPr>
          <w:sz w:val="20"/>
          <w:szCs w:val="20"/>
          <w:color w:val="auto"/>
        </w:rPr>
      </w:pPr>
    </w:p>
    <w:p>
      <w:pPr>
        <w:jc w:val="both"/>
        <w:ind w:firstLine="241"/>
        <w:spacing w:after="0" w:line="286" w:lineRule="auto"/>
        <w:rPr>
          <w:sz w:val="20"/>
          <w:szCs w:val="20"/>
          <w:color w:val="auto"/>
        </w:rPr>
      </w:pPr>
      <w:r>
        <w:rPr>
          <w:rFonts w:ascii="Arial" w:cs="Arial" w:eastAsia="Arial" w:hAnsi="Arial"/>
          <w:sz w:val="18"/>
          <w:szCs w:val="18"/>
          <w:color w:val="auto"/>
        </w:rPr>
        <w:t>There have been no other material changes in our regulatory environment from what was reported as of April 30, 2020 in our Annual Report on Form 10-K.</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INFORMATION</w:t>
      </w:r>
    </w:p>
    <w:p>
      <w:pPr>
        <w:spacing w:after="0" w:line="76"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Non-GAAP financial measures should not be considered as a substitute for, or superior to, measures of financial performance prepared in accordance with GAAP. Because these measures are not measures of financial performance under GAAP and are susceptible to varying calculations, they may not be comparable to similarly titled measures for other companies.</w:t>
      </w:r>
    </w:p>
    <w:p>
      <w:pPr>
        <w:spacing w:after="0" w:line="19" w:lineRule="exact"/>
        <w:rPr>
          <w:sz w:val="20"/>
          <w:szCs w:val="20"/>
          <w:color w:val="auto"/>
        </w:rPr>
      </w:pPr>
    </w:p>
    <w:p>
      <w:pPr>
        <w:jc w:val="both"/>
        <w:ind w:firstLine="241"/>
        <w:spacing w:after="0" w:line="260" w:lineRule="auto"/>
        <w:rPr>
          <w:sz w:val="20"/>
          <w:szCs w:val="20"/>
          <w:color w:val="auto"/>
        </w:rPr>
      </w:pPr>
      <w:r>
        <w:rPr>
          <w:rFonts w:ascii="Arial" w:cs="Arial" w:eastAsia="Arial" w:hAnsi="Arial"/>
          <w:sz w:val="18"/>
          <w:szCs w:val="18"/>
          <w:color w:val="auto"/>
        </w:rPr>
        <w:t>We consider our non-GAAP financial measures to be performance measures and a useful metric for management and investors to evaluate and compare the ongoing operating performance of our business. We make adjustments for certain non-GAAP financial measures related to amortization of intangibles from acquisitions and goodwill impairments. We may consider whether other significant items that arise in the future should be excluded from our non-GAAP financial measures.</w:t>
      </w:r>
    </w:p>
    <w:p>
      <w:pPr>
        <w:spacing w:after="0" w:line="40" w:lineRule="exact"/>
        <w:rPr>
          <w:sz w:val="20"/>
          <w:szCs w:val="20"/>
          <w:color w:val="auto"/>
        </w:rPr>
      </w:pPr>
    </w:p>
    <w:p>
      <w:pPr>
        <w:jc w:val="both"/>
        <w:ind w:firstLine="241"/>
        <w:spacing w:after="0" w:line="257" w:lineRule="auto"/>
        <w:rPr>
          <w:sz w:val="20"/>
          <w:szCs w:val="20"/>
          <w:color w:val="auto"/>
        </w:rPr>
      </w:pPr>
      <w:r>
        <w:rPr>
          <w:rFonts w:ascii="Arial" w:cs="Arial" w:eastAsia="Arial" w:hAnsi="Arial"/>
          <w:sz w:val="18"/>
          <w:szCs w:val="18"/>
          <w:color w:val="auto"/>
        </w:rPr>
        <w:t>We measure the performance of our business using a variety of metrics, including earnings before interest, taxes, depreciation and amortization (EBITDA) from continuing operations, adjusted EBITDA from continuing operations, EBITDA margin from continuing operations, adjusted EBITDA margin from continuing operations, adjusted diluted earnings per share from continuing operations and free cash flow. We also use EBITDA from continuing operations and pretax income of continuing operations, each subject to permitted adjustments, as performance metrics in incentive compensation calculations for our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60" w:hanging="265"/>
        <w:spacing w:after="0"/>
        <w:tabs>
          <w:tab w:leader="none" w:pos="360" w:val="left"/>
        </w:tabs>
        <w:numPr>
          <w:ilvl w:val="0"/>
          <w:numId w:val="24"/>
        </w:numPr>
        <w:rPr>
          <w:rFonts w:ascii="Arial" w:cs="Arial" w:eastAsia="Arial" w:hAnsi="Arial"/>
          <w:sz w:val="14"/>
          <w:szCs w:val="14"/>
          <w:color w:val="FFFFFF"/>
          <w:highlight w:val="black"/>
        </w:rPr>
      </w:pPr>
      <w:r>
        <w:rPr>
          <w:rFonts w:ascii="Arial" w:cs="Arial" w:eastAsia="Arial" w:hAnsi="Arial"/>
          <w:sz w:val="14"/>
          <w:szCs w:val="14"/>
          <w:color w:val="auto"/>
        </w:rPr>
        <w:t xml:space="preserve">Q2 FY2021 Form 10-Q | </w:t>
      </w:r>
      <w:r>
        <w:rPr>
          <w:rFonts w:ascii="Arial" w:cs="Arial" w:eastAsia="Arial" w:hAnsi="Arial"/>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145415</wp:posOffset>
            </wp:positionV>
            <wp:extent cx="713359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3590"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-100330</wp:posOffset>
            </wp:positionV>
            <wp:extent cx="212725" cy="1187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12725" cy="118745"/>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30" w:name="page31"/>
    <w:bookmarkEnd w:id="3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is a reconciliation of net income (loss) to EBITDA from continuing operations, which is a non-GAAP financial measure: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(in 000s)</w:t>
            </w:r>
          </w:p>
        </w:tc>
      </w:tr>
      <w:tr>
        <w:trPr>
          <w:trHeight w:val="208"/>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20" w:type="dxa"/>
            <w:vAlign w:val="bottom"/>
            <w:gridSpan w:val="5"/>
          </w:tcPr>
          <w:p>
            <w:pPr>
              <w:ind w:left="160"/>
              <w:spacing w:after="0"/>
              <w:rPr>
                <w:sz w:val="20"/>
                <w:szCs w:val="20"/>
                <w:color w:val="auto"/>
              </w:rPr>
            </w:pPr>
            <w:r>
              <w:rPr>
                <w:rFonts w:ascii="Arial" w:cs="Arial" w:eastAsia="Arial" w:hAnsi="Arial"/>
                <w:sz w:val="16"/>
                <w:szCs w:val="16"/>
                <w:color w:val="auto"/>
              </w:rPr>
              <w:t>Three months ended October 31,</w:t>
            </w:r>
          </w:p>
        </w:tc>
        <w:tc>
          <w:tcPr>
            <w:tcW w:w="320" w:type="dxa"/>
            <w:vAlign w:val="bottom"/>
          </w:tcPr>
          <w:p>
            <w:pPr>
              <w:spacing w:after="0"/>
              <w:rPr>
                <w:sz w:val="18"/>
                <w:szCs w:val="18"/>
                <w:color w:val="auto"/>
              </w:rPr>
            </w:pPr>
          </w:p>
        </w:tc>
        <w:tc>
          <w:tcPr>
            <w:tcW w:w="2920" w:type="dxa"/>
            <w:vAlign w:val="bottom"/>
            <w:gridSpan w:val="4"/>
          </w:tcPr>
          <w:p>
            <w:pPr>
              <w:jc w:val="right"/>
              <w:ind w:right="461"/>
              <w:spacing w:after="0"/>
              <w:rPr>
                <w:sz w:val="20"/>
                <w:szCs w:val="20"/>
                <w:color w:val="auto"/>
              </w:rPr>
            </w:pPr>
            <w:r>
              <w:rPr>
                <w:rFonts w:ascii="Arial" w:cs="Arial" w:eastAsia="Arial" w:hAnsi="Arial"/>
                <w:sz w:val="16"/>
                <w:szCs w:val="16"/>
                <w:color w:val="auto"/>
              </w:rPr>
              <w:t>Six months ended October 31,</w:t>
            </w:r>
          </w:p>
        </w:tc>
      </w:tr>
      <w:tr>
        <w:trPr>
          <w:trHeight w:val="208"/>
        </w:trPr>
        <w:tc>
          <w:tcPr>
            <w:tcW w:w="45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2019</w:t>
            </w:r>
          </w:p>
        </w:tc>
        <w:tc>
          <w:tcPr>
            <w:tcW w:w="1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2019</w:t>
            </w:r>
          </w:p>
        </w:tc>
      </w:tr>
      <w:tr>
        <w:trPr>
          <w:trHeight w:val="208"/>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 as reported</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(223,726)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80"/>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(187,999)</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0"/>
              <w:spacing w:after="0"/>
              <w:rPr>
                <w:sz w:val="20"/>
                <w:szCs w:val="20"/>
                <w:color w:val="auto"/>
              </w:rPr>
            </w:pPr>
            <w:r>
              <w:rPr>
                <w:rFonts w:ascii="Arial" w:cs="Arial" w:eastAsia="Arial" w:hAnsi="Arial"/>
                <w:sz w:val="16"/>
                <w:szCs w:val="16"/>
                <w:b w:val="1"/>
                <w:bCs w:val="1"/>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(132,467)</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00"/>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(338,246)</w:t>
            </w:r>
          </w:p>
        </w:tc>
      </w:tr>
      <w:tr>
        <w:trPr>
          <w:trHeight w:val="214"/>
        </w:trPr>
        <w:tc>
          <w:tcPr>
            <w:tcW w:w="46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Discontinued operations, net</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1,246</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4,445</w:t>
            </w:r>
          </w:p>
        </w:tc>
        <w:tc>
          <w:tcPr>
            <w:tcW w:w="1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3,543</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8,968</w:t>
            </w:r>
          </w:p>
        </w:tc>
      </w:tr>
      <w:tr>
        <w:trPr>
          <w:trHeight w:val="208"/>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loss from continuing operations - as reported</w:t>
            </w: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(222,480)</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(183,554)</w:t>
            </w:r>
          </w:p>
        </w:tc>
        <w:tc>
          <w:tcPr>
            <w:tcW w:w="1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(128,924)</w:t>
            </w:r>
          </w:p>
        </w:tc>
        <w:tc>
          <w:tcPr>
            <w:tcW w:w="1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(329,278)</w:t>
            </w:r>
          </w:p>
        </w:tc>
      </w:tr>
      <w:tr>
        <w:trPr>
          <w:trHeight w:val="194"/>
        </w:trPr>
        <w:tc>
          <w:tcPr>
            <w:tcW w:w="4620" w:type="dxa"/>
            <w:vAlign w:val="bottom"/>
            <w:gridSpan w:val="2"/>
          </w:tcPr>
          <w:p>
            <w:pPr>
              <w:ind w:left="20"/>
              <w:spacing w:after="0"/>
              <w:rPr>
                <w:sz w:val="20"/>
                <w:szCs w:val="20"/>
                <w:color w:val="auto"/>
              </w:rPr>
            </w:pPr>
            <w:r>
              <w:rPr>
                <w:rFonts w:ascii="Arial" w:cs="Arial" w:eastAsia="Arial" w:hAnsi="Arial"/>
                <w:sz w:val="16"/>
                <w:szCs w:val="16"/>
                <w:color w:val="auto"/>
              </w:rPr>
              <w:t>Add back:</w:t>
            </w: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14"/>
        </w:trPr>
        <w:tc>
          <w:tcPr>
            <w:tcW w:w="46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Income taxes (benefit) of continuing operations</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(14,547)</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(77,752)</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15,939</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(139,142)</w:t>
            </w:r>
          </w:p>
        </w:tc>
      </w:tr>
      <w:tr>
        <w:trPr>
          <w:trHeight w:val="214"/>
        </w:trPr>
        <w:tc>
          <w:tcPr>
            <w:tcW w:w="4620" w:type="dxa"/>
            <w:vAlign w:val="bottom"/>
            <w:gridSpan w:val="2"/>
          </w:tcPr>
          <w:p>
            <w:pPr>
              <w:ind w:left="140"/>
              <w:spacing w:after="0"/>
              <w:rPr>
                <w:sz w:val="20"/>
                <w:szCs w:val="20"/>
                <w:color w:val="auto"/>
              </w:rPr>
            </w:pPr>
            <w:r>
              <w:rPr>
                <w:rFonts w:ascii="Arial" w:cs="Arial" w:eastAsia="Arial" w:hAnsi="Arial"/>
                <w:sz w:val="16"/>
                <w:szCs w:val="16"/>
                <w:color w:val="auto"/>
              </w:rPr>
              <w:t>Interest expense of continuing operations</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30,861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21,306</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62,986</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42,377</w:t>
            </w:r>
          </w:p>
        </w:tc>
      </w:tr>
      <w:tr>
        <w:trPr>
          <w:trHeight w:val="214"/>
        </w:trPr>
        <w:tc>
          <w:tcPr>
            <w:tcW w:w="46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Depreciation and amortization of continuing operations</w:t>
            </w: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37,799</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42,657</w:t>
            </w:r>
          </w:p>
        </w:tc>
        <w:tc>
          <w:tcPr>
            <w:tcW w:w="1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77,307</w:t>
            </w:r>
          </w:p>
        </w:tc>
        <w:tc>
          <w:tcPr>
            <w:tcW w:w="1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81,262</w:t>
            </w:r>
          </w:p>
        </w:tc>
      </w:tr>
      <w:tr>
        <w:trPr>
          <w:trHeight w:val="208"/>
        </w:trPr>
        <w:tc>
          <w:tcPr>
            <w:tcW w:w="45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54,113</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(13,789)</w:t>
            </w:r>
          </w:p>
        </w:tc>
        <w:tc>
          <w:tcPr>
            <w:tcW w:w="1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156,232</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(15,503)</w:t>
            </w:r>
          </w:p>
        </w:tc>
      </w:tr>
      <w:tr>
        <w:trPr>
          <w:trHeight w:val="208"/>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EBITDA from continuing operations</w:t>
            </w:r>
          </w:p>
        </w:tc>
        <w:tc>
          <w:tcPr>
            <w:tcW w:w="2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(168,367)</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80"/>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(197,343)</w:t>
            </w:r>
          </w:p>
        </w:tc>
        <w:tc>
          <w:tcPr>
            <w:tcW w:w="1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27,308</w:t>
            </w:r>
          </w:p>
        </w:tc>
        <w:tc>
          <w:tcPr>
            <w:tcW w:w="1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300"/>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(344,781)</w:t>
            </w:r>
          </w:p>
        </w:tc>
      </w:tr>
      <w:tr>
        <w:trPr>
          <w:trHeight w:val="34"/>
        </w:trPr>
        <w:tc>
          <w:tcPr>
            <w:tcW w:w="4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165"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following is a reconciliation of our results from continuing operations to our adjusted results from continuing operations, which are non-</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GAAP financial measures:</w:t>
      </w:r>
    </w:p>
    <w:p>
      <w:pPr>
        <w:spacing w:after="0" w:line="129" w:lineRule="exact"/>
        <w:rPr>
          <w:sz w:val="20"/>
          <w:szCs w:val="20"/>
          <w:color w:val="auto"/>
        </w:rPr>
      </w:pPr>
    </w:p>
    <w:p>
      <w:pPr>
        <w:ind w:left="8940"/>
        <w:spacing w:after="0"/>
        <w:rPr>
          <w:sz w:val="20"/>
          <w:szCs w:val="20"/>
          <w:color w:val="auto"/>
        </w:rPr>
      </w:pPr>
      <w:r>
        <w:rPr>
          <w:rFonts w:ascii="Arial" w:cs="Arial" w:eastAsia="Arial" w:hAnsi="Arial"/>
          <w:sz w:val="14"/>
          <w:szCs w:val="14"/>
          <w:color w:val="auto"/>
        </w:rPr>
        <w:t>(in 000s, except per share amounts)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5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3100" w:type="dxa"/>
            <w:vAlign w:val="bottom"/>
            <w:tcBorders>
              <w:top w:val="single" w:sz="8" w:color="auto"/>
            </w:tcBorders>
            <w:gridSpan w:val="5"/>
          </w:tcPr>
          <w:p>
            <w:pPr>
              <w:ind w:left="180"/>
              <w:spacing w:after="0"/>
              <w:rPr>
                <w:sz w:val="20"/>
                <w:szCs w:val="20"/>
                <w:color w:val="auto"/>
              </w:rPr>
            </w:pPr>
            <w:r>
              <w:rPr>
                <w:rFonts w:ascii="Arial" w:cs="Arial" w:eastAsia="Arial" w:hAnsi="Arial"/>
                <w:sz w:val="16"/>
                <w:szCs w:val="16"/>
                <w:color w:val="auto"/>
              </w:rPr>
              <w:t>Three months ended October 31,</w:t>
            </w:r>
          </w:p>
        </w:tc>
        <w:tc>
          <w:tcPr>
            <w:tcW w:w="340" w:type="dxa"/>
            <w:vAlign w:val="bottom"/>
            <w:tcBorders>
              <w:top w:val="single" w:sz="8" w:color="auto"/>
            </w:tcBorders>
          </w:tcPr>
          <w:p>
            <w:pPr>
              <w:spacing w:after="0"/>
              <w:rPr>
                <w:sz w:val="18"/>
                <w:szCs w:val="18"/>
                <w:color w:val="auto"/>
              </w:rPr>
            </w:pPr>
          </w:p>
        </w:tc>
        <w:tc>
          <w:tcPr>
            <w:tcW w:w="2920" w:type="dxa"/>
            <w:vAlign w:val="bottom"/>
            <w:tcBorders>
              <w:top w:val="single" w:sz="8" w:color="auto"/>
            </w:tcBorders>
            <w:gridSpan w:val="4"/>
          </w:tcPr>
          <w:p>
            <w:pPr>
              <w:jc w:val="right"/>
              <w:ind w:right="460"/>
              <w:spacing w:after="0"/>
              <w:rPr>
                <w:sz w:val="20"/>
                <w:szCs w:val="20"/>
                <w:color w:val="auto"/>
              </w:rPr>
            </w:pPr>
            <w:r>
              <w:rPr>
                <w:rFonts w:ascii="Arial" w:cs="Arial" w:eastAsia="Arial" w:hAnsi="Arial"/>
                <w:sz w:val="16"/>
                <w:szCs w:val="16"/>
                <w:color w:val="auto"/>
              </w:rPr>
              <w:t>Six months ended October 31,</w:t>
            </w:r>
          </w:p>
        </w:tc>
      </w:tr>
      <w:tr>
        <w:trPr>
          <w:trHeight w:val="208"/>
        </w:trPr>
        <w:tc>
          <w:tcPr>
            <w:tcW w:w="45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2019</w:t>
            </w:r>
          </w:p>
        </w:tc>
        <w:tc>
          <w:tcPr>
            <w:tcW w:w="12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2019</w:t>
            </w:r>
          </w:p>
        </w:tc>
      </w:tr>
      <w:tr>
        <w:trPr>
          <w:trHeight w:val="34"/>
        </w:trPr>
        <w:tc>
          <w:tcPr>
            <w:tcW w:w="4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14"/>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loss from continuing operations - as reported</w:t>
            </w:r>
          </w:p>
        </w:tc>
        <w:tc>
          <w:tcPr>
            <w:tcW w:w="260" w:type="dxa"/>
            <w:vAlign w:val="bottom"/>
            <w:shd w:val="clear" w:color="auto" w:fill="CCEEFF"/>
          </w:tcPr>
          <w:p>
            <w:pPr>
              <w:jc w:val="right"/>
              <w:ind w:right="80"/>
              <w:spacing w:after="0"/>
              <w:rPr>
                <w:sz w:val="20"/>
                <w:szCs w:val="20"/>
                <w:color w:val="auto"/>
              </w:rPr>
            </w:pPr>
            <w:r>
              <w:rPr>
                <w:rFonts w:ascii="Arial" w:cs="Arial" w:eastAsia="Arial" w:hAnsi="Arial"/>
                <w:sz w:val="16"/>
                <w:szCs w:val="16"/>
                <w:b w:val="1"/>
                <w:bCs w:val="1"/>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(222,480)</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00"/>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(183,554)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(128,924)</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00"/>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(329,278)</w:t>
            </w:r>
          </w:p>
        </w:tc>
      </w:tr>
      <w:tr>
        <w:trPr>
          <w:trHeight w:val="54"/>
        </w:trPr>
        <w:tc>
          <w:tcPr>
            <w:tcW w:w="4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80" w:type="dxa"/>
            <w:vAlign w:val="bottom"/>
          </w:tcPr>
          <w:p>
            <w:pPr>
              <w:spacing w:after="0"/>
              <w:rPr>
                <w:sz w:val="4"/>
                <w:szCs w:val="4"/>
                <w:color w:val="auto"/>
              </w:rPr>
            </w:pPr>
          </w:p>
        </w:tc>
      </w:tr>
      <w:tr>
        <w:trPr>
          <w:trHeight w:val="214"/>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Adjustments:</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4"/>
        </w:trPr>
        <w:tc>
          <w:tcPr>
            <w:tcW w:w="4620" w:type="dxa"/>
            <w:vAlign w:val="bottom"/>
            <w:gridSpan w:val="2"/>
          </w:tcPr>
          <w:p>
            <w:pPr>
              <w:ind w:left="140"/>
              <w:spacing w:after="0"/>
              <w:rPr>
                <w:sz w:val="20"/>
                <w:szCs w:val="20"/>
                <w:color w:val="auto"/>
              </w:rPr>
            </w:pPr>
            <w:r>
              <w:rPr>
                <w:rFonts w:ascii="Arial" w:cs="Arial" w:eastAsia="Arial" w:hAnsi="Arial"/>
                <w:sz w:val="16"/>
                <w:szCs w:val="16"/>
                <w:color w:val="auto"/>
              </w:rPr>
              <w:t>Amortization of intangibles related to acquisitions (pretax)</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17,306</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19,579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35,883</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35,818</w:t>
            </w:r>
          </w:p>
        </w:tc>
      </w:tr>
      <w:tr>
        <w:trPr>
          <w:trHeight w:val="214"/>
        </w:trPr>
        <w:tc>
          <w:tcPr>
            <w:tcW w:w="4620" w:type="dxa"/>
            <w:vAlign w:val="bottom"/>
            <w:gridSpan w:val="2"/>
            <w:shd w:val="clear" w:color="auto" w:fill="CCEEFF"/>
          </w:tcPr>
          <w:p>
            <w:pPr>
              <w:ind w:left="140"/>
              <w:spacing w:after="0" w:line="214" w:lineRule="exact"/>
              <w:rPr>
                <w:sz w:val="20"/>
                <w:szCs w:val="20"/>
                <w:color w:val="auto"/>
              </w:rPr>
            </w:pPr>
            <w:r>
              <w:rPr>
                <w:rFonts w:ascii="Arial" w:cs="Arial" w:eastAsia="Arial" w:hAnsi="Arial"/>
                <w:sz w:val="16"/>
                <w:szCs w:val="16"/>
                <w:color w:val="auto"/>
              </w:rPr>
              <w:t xml:space="preserve">Tax effect of adjustments </w:t>
            </w:r>
            <w:r>
              <w:rPr>
                <w:rFonts w:ascii="Arial" w:cs="Arial" w:eastAsia="Arial" w:hAnsi="Arial"/>
                <w:sz w:val="20"/>
                <w:szCs w:val="20"/>
                <w:color w:val="auto"/>
                <w:vertAlign w:val="superscript"/>
              </w:rPr>
              <w:t>(1)</w:t>
            </w: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(755)</w:t>
            </w:r>
          </w:p>
        </w:tc>
        <w:tc>
          <w:tcPr>
            <w:tcW w:w="1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(4,549)</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(5,155)</w:t>
            </w:r>
          </w:p>
        </w:tc>
        <w:tc>
          <w:tcPr>
            <w:tcW w:w="1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(8,711)</w:t>
            </w:r>
          </w:p>
        </w:tc>
      </w:tr>
      <w:tr>
        <w:trPr>
          <w:trHeight w:val="246"/>
        </w:trPr>
        <w:tc>
          <w:tcPr>
            <w:tcW w:w="46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Adjusted net loss from continuing operations</w:t>
            </w:r>
          </w:p>
        </w:tc>
        <w:tc>
          <w:tcPr>
            <w:tcW w:w="2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(205,929)</w:t>
            </w:r>
          </w:p>
        </w:tc>
        <w:tc>
          <w:tcPr>
            <w:tcW w:w="12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(168,524)</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(98,196)</w:t>
            </w:r>
          </w:p>
        </w:tc>
        <w:tc>
          <w:tcPr>
            <w:tcW w:w="12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(302,171)</w:t>
            </w:r>
          </w:p>
        </w:tc>
      </w:tr>
      <w:tr>
        <w:trPr>
          <w:trHeight w:val="214"/>
        </w:trPr>
        <w:tc>
          <w:tcPr>
            <w:tcW w:w="4620" w:type="dxa"/>
            <w:vAlign w:val="bottom"/>
            <w:tcBorders>
              <w:top w:val="single" w:sz="8" w:color="CCEEFF"/>
            </w:tcBorders>
            <w:gridSpan w:val="2"/>
          </w:tcPr>
          <w:p>
            <w:pPr>
              <w:ind w:left="20"/>
              <w:spacing w:after="0"/>
              <w:rPr>
                <w:sz w:val="20"/>
                <w:szCs w:val="20"/>
                <w:color w:val="auto"/>
              </w:rPr>
            </w:pPr>
            <w:r>
              <w:rPr>
                <w:rFonts w:ascii="Arial" w:cs="Arial" w:eastAsia="Arial" w:hAnsi="Arial"/>
                <w:sz w:val="16"/>
                <w:szCs w:val="16"/>
                <w:color w:val="auto"/>
              </w:rPr>
              <w:t>Diluted loss per share - as reported</w:t>
            </w:r>
          </w:p>
        </w:tc>
        <w:tc>
          <w:tcPr>
            <w:tcW w:w="260" w:type="dxa"/>
            <w:vAlign w:val="bottom"/>
            <w:tcBorders>
              <w:top w:val="single" w:sz="8" w:color="CCEEFF"/>
            </w:tcBorders>
          </w:tcPr>
          <w:p>
            <w:pPr>
              <w:jc w:val="right"/>
              <w:ind w:right="80"/>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top w:val="single" w:sz="8" w:color="CCEEFF"/>
            </w:tcBorders>
          </w:tcPr>
          <w:p>
            <w:pPr>
              <w:jc w:val="right"/>
              <w:spacing w:after="0"/>
              <w:rPr>
                <w:sz w:val="20"/>
                <w:szCs w:val="20"/>
                <w:color w:val="auto"/>
              </w:rPr>
            </w:pPr>
            <w:r>
              <w:rPr>
                <w:rFonts w:ascii="Arial" w:cs="Arial" w:eastAsia="Arial" w:hAnsi="Arial"/>
                <w:sz w:val="16"/>
                <w:szCs w:val="16"/>
                <w:b w:val="1"/>
                <w:bCs w:val="1"/>
                <w:color w:val="auto"/>
              </w:rPr>
              <w:t>(1.17)</w:t>
            </w: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jc w:val="right"/>
              <w:ind w:right="300"/>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(0.93)</w:t>
            </w:r>
          </w:p>
        </w:tc>
        <w:tc>
          <w:tcPr>
            <w:tcW w:w="1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jc w:val="right"/>
              <w:ind w:right="140"/>
              <w:spacing w:after="0"/>
              <w:rPr>
                <w:sz w:val="20"/>
                <w:szCs w:val="20"/>
                <w:color w:val="auto"/>
              </w:rPr>
            </w:pPr>
            <w:r>
              <w:rPr>
                <w:rFonts w:ascii="Arial" w:cs="Arial" w:eastAsia="Arial" w:hAnsi="Arial"/>
                <w:sz w:val="16"/>
                <w:szCs w:val="16"/>
                <w:b w:val="1"/>
                <w:bCs w:val="1"/>
                <w:color w:val="auto"/>
              </w:rPr>
              <w:t>$</w:t>
            </w:r>
          </w:p>
        </w:tc>
        <w:tc>
          <w:tcPr>
            <w:tcW w:w="1240" w:type="dxa"/>
            <w:vAlign w:val="bottom"/>
            <w:tcBorders>
              <w:top w:val="single" w:sz="8" w:color="CCEEFF"/>
            </w:tcBorders>
          </w:tcPr>
          <w:p>
            <w:pPr>
              <w:jc w:val="right"/>
              <w:spacing w:after="0"/>
              <w:rPr>
                <w:sz w:val="20"/>
                <w:szCs w:val="20"/>
                <w:color w:val="auto"/>
              </w:rPr>
            </w:pPr>
            <w:r>
              <w:rPr>
                <w:rFonts w:ascii="Arial" w:cs="Arial" w:eastAsia="Arial" w:hAnsi="Arial"/>
                <w:sz w:val="16"/>
                <w:szCs w:val="16"/>
                <w:b w:val="1"/>
                <w:bCs w:val="1"/>
                <w:color w:val="auto"/>
              </w:rPr>
              <w:t>(0.68)</w:t>
            </w: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jc w:val="right"/>
              <w:ind w:right="300"/>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(1.65)</w:t>
            </w:r>
          </w:p>
        </w:tc>
      </w:tr>
      <w:tr>
        <w:trPr>
          <w:trHeight w:val="214"/>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Adjustments, net of tax</w:t>
            </w: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0.08</w:t>
            </w:r>
          </w:p>
        </w:tc>
        <w:tc>
          <w:tcPr>
            <w:tcW w:w="1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0.16</w:t>
            </w:r>
          </w:p>
        </w:tc>
        <w:tc>
          <w:tcPr>
            <w:tcW w:w="1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0.14</w:t>
            </w:r>
          </w:p>
        </w:tc>
      </w:tr>
      <w:tr>
        <w:trPr>
          <w:trHeight w:val="246"/>
        </w:trPr>
        <w:tc>
          <w:tcPr>
            <w:tcW w:w="46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Adjusted loss per share</w:t>
            </w:r>
          </w:p>
        </w:tc>
        <w:tc>
          <w:tcPr>
            <w:tcW w:w="2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(1.09)</w:t>
            </w:r>
          </w:p>
        </w:tc>
        <w:tc>
          <w:tcPr>
            <w:tcW w:w="12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(0.85)</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(0.52)</w:t>
            </w:r>
          </w:p>
        </w:tc>
        <w:tc>
          <w:tcPr>
            <w:tcW w:w="12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w:t>
            </w:r>
          </w:p>
        </w:tc>
      </w:tr>
      <w:tr>
        <w:trPr>
          <w:trHeight w:val="20"/>
        </w:trPr>
        <w:tc>
          <w:tcPr>
            <w:tcW w:w="450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000000"/>
          </w:tcPr>
          <w:p>
            <w:pPr>
              <w:spacing w:after="0" w:line="20" w:lineRule="exact"/>
              <w:rPr>
                <w:sz w:val="1"/>
                <w:szCs w:val="1"/>
                <w:color w:val="auto"/>
              </w:rPr>
            </w:pPr>
          </w:p>
        </w:tc>
        <w:tc>
          <w:tcPr>
            <w:tcW w:w="130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480" w:type="dxa"/>
            <w:vAlign w:val="bottom"/>
            <w:tcBorders>
              <w:top w:val="single" w:sz="8" w:color="CCEEFF"/>
            </w:tcBorders>
            <w:shd w:val="clear" w:color="auto" w:fill="000000"/>
          </w:tcPr>
          <w:p>
            <w:pPr>
              <w:spacing w:after="0" w:line="20" w:lineRule="exact"/>
              <w:rPr>
                <w:sz w:val="1"/>
                <w:szCs w:val="1"/>
                <w:color w:val="auto"/>
              </w:rPr>
            </w:pPr>
          </w:p>
        </w:tc>
        <w:tc>
          <w:tcPr>
            <w:tcW w:w="108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000000"/>
          </w:tcPr>
          <w:p>
            <w:pPr>
              <w:spacing w:after="0" w:line="20" w:lineRule="exact"/>
              <w:rPr>
                <w:sz w:val="1"/>
                <w:szCs w:val="1"/>
                <w:color w:val="auto"/>
              </w:rPr>
            </w:pPr>
          </w:p>
        </w:tc>
        <w:tc>
          <w:tcPr>
            <w:tcW w:w="124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480" w:type="dxa"/>
            <w:vAlign w:val="bottom"/>
            <w:tcBorders>
              <w:top w:val="single" w:sz="8" w:color="CCEEFF"/>
            </w:tcBorders>
            <w:shd w:val="clear" w:color="auto" w:fill="000000"/>
          </w:tcPr>
          <w:p>
            <w:pPr>
              <w:spacing w:after="0" w:line="20" w:lineRule="exact"/>
              <w:rPr>
                <w:sz w:val="1"/>
                <w:szCs w:val="1"/>
                <w:color w:val="auto"/>
              </w:rPr>
            </w:pPr>
          </w:p>
        </w:tc>
        <w:tc>
          <w:tcPr>
            <w:tcW w:w="1080" w:type="dxa"/>
            <w:vAlign w:val="bottom"/>
            <w:tcBorders>
              <w:top w:val="single" w:sz="8" w:color="CCEEFF"/>
            </w:tcBorders>
            <w:shd w:val="clear" w:color="auto" w:fill="000000"/>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vertAlign w:val="superscript"/>
        </w:rPr>
        <w:t>(1)</w:t>
      </w:r>
      <w:r>
        <w:rPr>
          <w:rFonts w:ascii="Arial" w:cs="Arial" w:eastAsia="Arial" w:hAnsi="Arial"/>
          <w:sz w:val="14"/>
          <w:szCs w:val="14"/>
          <w:color w:val="auto"/>
        </w:rPr>
        <w:t>Tax effect of adjustments is the difference between the tax provision calculated on a GAAP basis and on an adjusted non-GAAP basis.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INFORMATION</w:t>
      </w:r>
    </w:p>
    <w:p>
      <w:pPr>
        <w:spacing w:after="0" w:line="11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This report and other documents filed with the SEC may contain forward-looking statements. In addition, our senior management may make forward-looking statements orally to analysts, investors, the media and others. Forward-looking statements can be identified by the fact that they do not relate strictly to historical or current facts. They often include words or variation of words such as "expects," "anticipates," "intends," "plans," "believes," "commits," "seeks," "estimates," "projects," "forecasts," "targets," "would," "will," "should," "goal," "could," "may" or other similar expressions. Forward-looking statements provide management's current expectations or predictions of future conditions, events or results. All statements that address operating performance, events or developments that we expect or anticipate will occur in the future are forward-looking statements. They may include estimates of revenues, client trajectory, income, effective tax rate, earnings per share, cost savings, capital expenditures, dividends, share repurchases, liquidity, capital structure, market share, industry volumes or other financial items, descriptions of management's plans or objectives for future operations, services or products, or descriptions of assumptions underlying any of the above. They may also include the expected impact of the coronavirus (COVID–19) pandemic, including, without limitation, the impact on economic and financial markets, the Company's capital resources and financial condition, future expenditures, potential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824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Q2 FY2021 Form 10-Q</w:t>
      </w:r>
      <w:r>
        <w:rPr>
          <w:rFonts w:ascii="Arial" w:cs="Arial" w:eastAsia="Arial" w:hAnsi="Arial"/>
          <w:sz w:val="14"/>
          <w:szCs w:val="14"/>
          <w:b w:val="1"/>
          <w:bCs w:val="1"/>
          <w:color w:val="auto"/>
        </w:rPr>
        <w:t xml:space="preserve">  </w:t>
      </w:r>
      <w:r>
        <w:rPr>
          <w:rFonts w:ascii="Arial" w:cs="Arial" w:eastAsia="Arial" w:hAnsi="Arial"/>
          <w:sz w:val="14"/>
          <w:szCs w:val="14"/>
          <w:color w:val="FFFFFF"/>
          <w:highlight w:val="black"/>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145415</wp:posOffset>
            </wp:positionV>
            <wp:extent cx="713359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3590" cy="17145"/>
                    </a:xfrm>
                    <a:prstGeom prst="rect">
                      <a:avLst/>
                    </a:prstGeom>
                    <a:noFill/>
                  </pic:spPr>
                </pic:pic>
              </a:graphicData>
            </a:graphic>
          </wp:anchor>
        </w:drawing>
        <w:drawing>
          <wp:anchor simplePos="0" relativeHeight="251657728" behindDoc="1" locked="0" layoutInCell="0" allowOverlap="1">
            <wp:simplePos x="0" y="0"/>
            <wp:positionH relativeFrom="column">
              <wp:posOffset>6917055</wp:posOffset>
            </wp:positionH>
            <wp:positionV relativeFrom="paragraph">
              <wp:posOffset>-100330</wp:posOffset>
            </wp:positionV>
            <wp:extent cx="220980" cy="1187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20980" cy="118745"/>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31" w:name="page32"/>
    <w:bookmarkEnd w:id="3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spacing w:after="0" w:line="286" w:lineRule="auto"/>
        <w:rPr>
          <w:sz w:val="20"/>
          <w:szCs w:val="20"/>
          <w:color w:val="auto"/>
        </w:rPr>
      </w:pPr>
      <w:r>
        <w:rPr>
          <w:rFonts w:ascii="Arial" w:cs="Arial" w:eastAsia="Arial" w:hAnsi="Arial"/>
          <w:sz w:val="18"/>
          <w:szCs w:val="18"/>
          <w:color w:val="auto"/>
        </w:rPr>
        <w:t>regulatory actions, such as extensions of tax filing deadlines or other related relief, changes in consumer behaviors and modifications to the Company's operations relating thereto.</w:t>
      </w:r>
    </w:p>
    <w:p>
      <w:pPr>
        <w:spacing w:after="0" w:line="42" w:lineRule="exact"/>
        <w:rPr>
          <w:sz w:val="20"/>
          <w:szCs w:val="20"/>
          <w:color w:val="auto"/>
        </w:rPr>
      </w:pPr>
    </w:p>
    <w:p>
      <w:pPr>
        <w:jc w:val="both"/>
        <w:ind w:firstLine="241"/>
        <w:spacing w:after="0" w:line="260" w:lineRule="auto"/>
        <w:rPr>
          <w:sz w:val="20"/>
          <w:szCs w:val="20"/>
          <w:color w:val="auto"/>
        </w:rPr>
      </w:pPr>
      <w:r>
        <w:rPr>
          <w:rFonts w:ascii="Arial" w:cs="Arial" w:eastAsia="Arial" w:hAnsi="Arial"/>
          <w:sz w:val="18"/>
          <w:szCs w:val="18"/>
          <w:color w:val="auto"/>
        </w:rPr>
        <w:t>All forward-looking statements speak only as of the date they are made and reflect the Company's good faith beliefs, assumptions and expectations, but they are not guarantees of future performance or events. Furthermore, the Company disclaims any obligation to publicly update or revise any forward-looking statement to reflect changes in underlying assumptions, factors, or expectations, new information, data or methods, future events or other changes, except as required by law.</w:t>
      </w:r>
    </w:p>
    <w:p>
      <w:pPr>
        <w:spacing w:after="0" w:line="67" w:lineRule="exact"/>
        <w:rPr>
          <w:sz w:val="20"/>
          <w:szCs w:val="20"/>
          <w:color w:val="auto"/>
        </w:rPr>
      </w:pPr>
    </w:p>
    <w:p>
      <w:pPr>
        <w:jc w:val="both"/>
        <w:ind w:firstLine="241"/>
        <w:spacing w:after="0" w:line="254" w:lineRule="auto"/>
        <w:rPr>
          <w:sz w:val="20"/>
          <w:szCs w:val="20"/>
          <w:color w:val="auto"/>
        </w:rPr>
      </w:pPr>
      <w:r>
        <w:rPr>
          <w:rFonts w:ascii="Arial" w:cs="Arial" w:eastAsia="Arial" w:hAnsi="Arial"/>
          <w:sz w:val="18"/>
          <w:szCs w:val="18"/>
          <w:color w:val="auto"/>
        </w:rPr>
        <w:t>By their nature, forward-looking statements are subject to risks and uncertainties that could cause actual results to differ materially from those suggested by the forward-looking statements. Factors that might cause such differences include, but are not limited to, a variety of economic, competitive, operational and regulatory factors, many of which are beyond the Company's control. In addition, factors that may cause the Company’s actual effective tax rate to differ from estimates include the Company’s actual results from operations compared to current estimates, future discrete items, changes in interpretations and assumptions the Company has made, and future actions of the Company. Investors should understand that it is not possible to predict or identify all such factors and, consequently, should not consider any such list to be a complete set of all potential risks or uncertainties.</w:t>
      </w:r>
    </w:p>
    <w:p>
      <w:pPr>
        <w:spacing w:after="0" w:line="73" w:lineRule="exact"/>
        <w:rPr>
          <w:sz w:val="20"/>
          <w:szCs w:val="20"/>
          <w:color w:val="auto"/>
        </w:rPr>
      </w:pPr>
    </w:p>
    <w:p>
      <w:pPr>
        <w:jc w:val="both"/>
        <w:ind w:firstLine="241"/>
        <w:spacing w:after="0" w:line="260" w:lineRule="auto"/>
        <w:rPr>
          <w:sz w:val="20"/>
          <w:szCs w:val="20"/>
          <w:color w:val="auto"/>
        </w:rPr>
      </w:pPr>
      <w:r>
        <w:rPr>
          <w:rFonts w:ascii="Arial" w:cs="Arial" w:eastAsia="Arial" w:hAnsi="Arial"/>
          <w:sz w:val="18"/>
          <w:szCs w:val="18"/>
          <w:color w:val="auto"/>
        </w:rPr>
        <w:t>Details about risks, uncertainties and assumptions that could affect various aspects of our business are included throughout our Annual Report on Form 10-K for the fiscal year ended April 30, 2020 and are also described from time to time in other filings with the SEC. Investors should carefully consider all of these risks, and should pay particular attention to Item 1A, "Risk Factors," and Item 7 under "Critical Accounting Policies" of our Annual Report on Form 10-K for the fiscal year ended April 30, 2020.</w:t>
      </w:r>
    </w:p>
    <w:p>
      <w:pPr>
        <w:spacing w:after="0" w:line="6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in our market risks from those reported at April 30, 2020 in our Annual Report on Form 10-K.</w:t>
      </w:r>
    </w:p>
    <w:p>
      <w:pPr>
        <w:spacing w:after="0" w:line="112"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1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EVALUATION OF DISCLOSURE CONTROLS AND PROCEDURES </w:t>
      </w:r>
      <w:r>
        <w:rPr>
          <w:rFonts w:ascii="Arial" w:cs="Arial" w:eastAsia="Arial" w:hAnsi="Arial"/>
          <w:sz w:val="18"/>
          <w:szCs w:val="18"/>
          <w:color w:val="auto"/>
        </w:rPr>
        <w:t>– As of the end of the period covered by this Form 10-Q,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supervision and with the participation of our Chief Executive Officer and Chief Financial Officer, evaluated the effectiveness of the design and operation of our disclosure controls and procedures (as defined in Exchange Act Rules 13a-15(e) and 15d-15(e)). Based on this evaluation, our Chief Executive Officer and Chief Financial Officer have concluded that our disclosure controls and procedures were effective as of the end of the period covered by this Quarterly Report on Form 10-Q.</w:t>
      </w:r>
    </w:p>
    <w:p>
      <w:pPr>
        <w:spacing w:after="0" w:line="66" w:lineRule="exact"/>
        <w:rPr>
          <w:sz w:val="20"/>
          <w:szCs w:val="20"/>
          <w:color w:val="auto"/>
        </w:rPr>
      </w:pPr>
    </w:p>
    <w:p>
      <w:pPr>
        <w:jc w:val="both"/>
        <w:spacing w:after="0" w:line="288" w:lineRule="auto"/>
        <w:rPr>
          <w:sz w:val="20"/>
          <w:szCs w:val="20"/>
          <w:color w:val="auto"/>
        </w:rPr>
      </w:pPr>
      <w:r>
        <w:rPr>
          <w:rFonts w:ascii="Arial" w:cs="Arial" w:eastAsia="Arial" w:hAnsi="Arial"/>
          <w:sz w:val="18"/>
          <w:szCs w:val="18"/>
          <w:b w:val="1"/>
          <w:bCs w:val="1"/>
          <w:color w:val="auto"/>
        </w:rPr>
        <w:t xml:space="preserve">CHANGES IN INTERNAL CONTROL OVER FINANCIAL REPORTING </w:t>
      </w:r>
      <w:r>
        <w:rPr>
          <w:rFonts w:ascii="Arial" w:cs="Arial" w:eastAsia="Arial" w:hAnsi="Arial"/>
          <w:sz w:val="18"/>
          <w:szCs w:val="18"/>
          <w:color w:val="auto"/>
        </w:rPr>
        <w:t>– There were no changes during the last fiscal quarter that materially</w:t>
      </w:r>
      <w:r>
        <w:rPr>
          <w:rFonts w:ascii="Arial" w:cs="Arial" w:eastAsia="Arial" w:hAnsi="Arial"/>
          <w:sz w:val="18"/>
          <w:szCs w:val="18"/>
          <w:b w:val="1"/>
          <w:bCs w:val="1"/>
          <w:color w:val="auto"/>
        </w:rPr>
        <w:t xml:space="preserve"> </w:t>
      </w:r>
      <w:r>
        <w:rPr>
          <w:rFonts w:ascii="Arial" w:cs="Arial" w:eastAsia="Arial" w:hAnsi="Arial"/>
          <w:sz w:val="18"/>
          <w:szCs w:val="18"/>
          <w:color w:val="auto"/>
        </w:rPr>
        <w:t>affected, or are reasonably likely to materially affect, our internal control over financial reporting.</w:t>
      </w:r>
    </w:p>
    <w:p>
      <w:pPr>
        <w:spacing w:after="0" w:line="3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PART II</w:t>
      </w:r>
      <w:r>
        <w:rPr>
          <w:sz w:val="20"/>
          <w:szCs w:val="20"/>
          <w:color w:val="auto"/>
        </w:rPr>
        <w:tab/>
      </w:r>
      <w:r>
        <w:rPr>
          <w:rFonts w:ascii="Arial" w:cs="Arial" w:eastAsia="Arial" w:hAnsi="Arial"/>
          <w:sz w:val="17"/>
          <w:szCs w:val="17"/>
          <w:b w:val="1"/>
          <w:bCs w:val="1"/>
          <w:color w:val="auto"/>
        </w:rPr>
        <w:t>OTHER INFORMATION</w:t>
      </w:r>
    </w:p>
    <w:p>
      <w:pPr>
        <w:spacing w:after="0" w:line="114"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For a description of our material pending legal proceedings, see discussion in Part I, Item 1, note 10 to the consolidated financial statements.</w:t>
      </w:r>
    </w:p>
    <w:p>
      <w:pPr>
        <w:spacing w:after="0" w:line="112"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14" w:lineRule="exact"/>
        <w:rPr>
          <w:sz w:val="20"/>
          <w:szCs w:val="20"/>
          <w:color w:val="auto"/>
        </w:rPr>
      </w:pPr>
    </w:p>
    <w:p>
      <w:pPr>
        <w:jc w:val="both"/>
        <w:ind w:right="20"/>
        <w:spacing w:after="0" w:line="300" w:lineRule="auto"/>
        <w:rPr>
          <w:sz w:val="20"/>
          <w:szCs w:val="20"/>
          <w:color w:val="auto"/>
        </w:rPr>
      </w:pPr>
      <w:r>
        <w:rPr>
          <w:rFonts w:ascii="Arial" w:cs="Arial" w:eastAsia="Arial" w:hAnsi="Arial"/>
          <w:sz w:val="18"/>
          <w:szCs w:val="18"/>
          <w:b w:val="1"/>
          <w:bCs w:val="1"/>
          <w:color w:val="auto"/>
        </w:rPr>
        <w:t>We face legal actions in connection with our various business activities, and current or future legal actions may damage our reputation, impair our product offerings, or result in material liabilities and losses.</w:t>
      </w:r>
    </w:p>
    <w:p>
      <w:pPr>
        <w:spacing w:after="0" w:line="2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been named, and from time to time will likely continue to be named, in various legal actions, including arbitrations, class or representative actions, actions or inquiries by state attorneys general and other regulators, and other litigation arising in connection with our various business activities, including relating to our various service and product offerings. For example, as previously reported, we are subject to litigation and have received and are responding to certain governmental inquiries relating to the IRS Free File program. These inquiries include requests for information and, in some cases, subpoenas from regulators and state attorneys general. On July 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60" w:hanging="265"/>
        <w:spacing w:after="0"/>
        <w:tabs>
          <w:tab w:leader="none" w:pos="360" w:val="left"/>
        </w:tabs>
        <w:numPr>
          <w:ilvl w:val="0"/>
          <w:numId w:val="25"/>
        </w:numPr>
        <w:rPr>
          <w:rFonts w:ascii="Arial" w:cs="Arial" w:eastAsia="Arial" w:hAnsi="Arial"/>
          <w:sz w:val="14"/>
          <w:szCs w:val="14"/>
          <w:color w:val="FFFFFF"/>
          <w:highlight w:val="black"/>
        </w:rPr>
      </w:pPr>
      <w:r>
        <w:rPr>
          <w:rFonts w:ascii="Arial" w:cs="Arial" w:eastAsia="Arial" w:hAnsi="Arial"/>
          <w:sz w:val="14"/>
          <w:szCs w:val="14"/>
          <w:color w:val="auto"/>
        </w:rPr>
        <w:t xml:space="preserve">Q2 FY2021 Form 10-Q | </w:t>
      </w:r>
      <w:r>
        <w:rPr>
          <w:rFonts w:ascii="Arial" w:cs="Arial" w:eastAsia="Arial" w:hAnsi="Arial"/>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145415</wp:posOffset>
            </wp:positionV>
            <wp:extent cx="713359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3590"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-100330</wp:posOffset>
            </wp:positionV>
            <wp:extent cx="212725" cy="1187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12725" cy="118745"/>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32" w:name="page33"/>
    <w:bookmarkEnd w:id="3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2020, the New York State Department of Financial Services issued a press release and report on its investigation of certain tax preparers, including us, related to the IRS Free File program. We cannot predict whether this report or other inquiries could lead to further inquiries, further litigation, fines, injunctions or other regulatory or legislative actions or impacts on our brand, reputation and business. See discussion in Part I, Item 1, note 10 to the consolidated financial statements, and Item 8, note 13 to the consolidated financial statements in our Annual Report on Form 10-K for the fiscal year ended April 30, 2020. We also grant our franchisees a limited license to use our registered trademarks and, accordingly, there is risk that one or more of the franchisees may be alleged to be controlled by us. Third parties, regulators or courts may seek to hold us responsible for the actions or failures to act by our franchisees. Adverse outcomes related to legal actions could result in substantial damages and could cause our earnings to decline. Negative public opinion could also result from our or our franchisees’ actual or alleged conduct in such claims, possibly damaging our reputation, which, in turn, could adversely affect our business prospects and cause the market price of our securities to decline.</w:t>
      </w:r>
    </w:p>
    <w:p>
      <w:pPr>
        <w:spacing w:after="0" w:line="76" w:lineRule="exact"/>
        <w:rPr>
          <w:sz w:val="20"/>
          <w:szCs w:val="20"/>
          <w:color w:val="auto"/>
        </w:rPr>
      </w:pPr>
    </w:p>
    <w:p>
      <w:pPr>
        <w:jc w:val="both"/>
        <w:ind w:firstLine="241"/>
        <w:spacing w:after="0" w:line="286" w:lineRule="auto"/>
        <w:rPr>
          <w:sz w:val="20"/>
          <w:szCs w:val="20"/>
          <w:color w:val="auto"/>
        </w:rPr>
      </w:pPr>
      <w:r>
        <w:rPr>
          <w:rFonts w:ascii="Arial" w:cs="Arial" w:eastAsia="Arial" w:hAnsi="Arial"/>
          <w:sz w:val="18"/>
          <w:szCs w:val="18"/>
          <w:color w:val="auto"/>
        </w:rPr>
        <w:t>Except as indicated above, there have been no material changes in our risk factors from those reported at April 30, 2020 in our Annual Report on Form 10-K.</w:t>
      </w:r>
    </w:p>
    <w:p>
      <w:pPr>
        <w:spacing w:after="0" w:line="4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purchases of H&amp;R Block common stock during the second quarter of fiscal year 2021 is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(in 000s, except per share amounts)</w:t>
            </w:r>
          </w:p>
        </w:tc>
        <w:tc>
          <w:tcPr>
            <w:tcW w:w="0" w:type="dxa"/>
            <w:vAlign w:val="bottom"/>
          </w:tcPr>
          <w:p>
            <w:pPr>
              <w:spacing w:after="0"/>
              <w:rPr>
                <w:sz w:val="1"/>
                <w:szCs w:val="1"/>
                <w:color w:val="auto"/>
              </w:rPr>
            </w:pPr>
          </w:p>
        </w:tc>
      </w:tr>
      <w:tr>
        <w:trPr>
          <w:trHeight w:val="208"/>
        </w:trPr>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Average</w:t>
            </w:r>
          </w:p>
        </w:tc>
        <w:tc>
          <w:tcPr>
            <w:tcW w:w="2440" w:type="dxa"/>
            <w:vAlign w:val="bottom"/>
          </w:tcPr>
          <w:p>
            <w:pPr>
              <w:jc w:val="right"/>
              <w:spacing w:after="0"/>
              <w:rPr>
                <w:sz w:val="20"/>
                <w:szCs w:val="20"/>
                <w:color w:val="auto"/>
              </w:rPr>
            </w:pPr>
            <w:r>
              <w:rPr>
                <w:rFonts w:ascii="Arial" w:cs="Arial" w:eastAsia="Arial" w:hAnsi="Arial"/>
                <w:sz w:val="16"/>
                <w:szCs w:val="16"/>
                <w:color w:val="auto"/>
              </w:rPr>
              <w:t>Total Number of Shares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tcPr>
          <w:p>
            <w:pPr>
              <w:jc w:val="right"/>
              <w:spacing w:after="0"/>
              <w:rPr>
                <w:sz w:val="20"/>
                <w:szCs w:val="20"/>
                <w:color w:val="auto"/>
              </w:rPr>
            </w:pPr>
            <w:r>
              <w:rPr>
                <w:rFonts w:ascii="Arial" w:cs="Arial" w:eastAsia="Arial" w:hAnsi="Arial"/>
                <w:sz w:val="16"/>
                <w:szCs w:val="16"/>
                <w:color w:val="auto"/>
              </w:rPr>
              <w:t>Maximum Dollar Value of</w:t>
            </w:r>
          </w:p>
        </w:tc>
        <w:tc>
          <w:tcPr>
            <w:tcW w:w="0" w:type="dxa"/>
            <w:vAlign w:val="bottom"/>
          </w:tcPr>
          <w:p>
            <w:pPr>
              <w:spacing w:after="0"/>
              <w:rPr>
                <w:sz w:val="1"/>
                <w:szCs w:val="1"/>
                <w:color w:val="auto"/>
              </w:rPr>
            </w:pPr>
          </w:p>
        </w:tc>
      </w:tr>
      <w:tr>
        <w:trPr>
          <w:trHeight w:val="161"/>
        </w:trPr>
        <w:tc>
          <w:tcPr>
            <w:tcW w:w="2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60" w:type="dxa"/>
            <w:vAlign w:val="bottom"/>
            <w:vMerge w:val="restart"/>
          </w:tcPr>
          <w:p>
            <w:pPr>
              <w:jc w:val="right"/>
              <w:spacing w:after="0"/>
              <w:rPr>
                <w:sz w:val="20"/>
                <w:szCs w:val="20"/>
                <w:color w:val="auto"/>
              </w:rPr>
            </w:pPr>
            <w:r>
              <w:rPr>
                <w:rFonts w:ascii="Arial" w:cs="Arial" w:eastAsia="Arial" w:hAnsi="Arial"/>
                <w:sz w:val="16"/>
                <w:szCs w:val="16"/>
                <w:color w:val="auto"/>
              </w:rPr>
              <w:t>Total Number of</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2440" w:type="dxa"/>
            <w:vAlign w:val="bottom"/>
          </w:tcPr>
          <w:p>
            <w:pPr>
              <w:jc w:val="right"/>
              <w:spacing w:after="0" w:line="161" w:lineRule="exact"/>
              <w:rPr>
                <w:sz w:val="20"/>
                <w:szCs w:val="20"/>
                <w:color w:val="auto"/>
              </w:rPr>
            </w:pPr>
            <w:r>
              <w:rPr>
                <w:rFonts w:ascii="Arial" w:cs="Arial" w:eastAsia="Arial" w:hAnsi="Arial"/>
                <w:sz w:val="16"/>
                <w:szCs w:val="16"/>
                <w:color w:val="auto"/>
              </w:rPr>
              <w:t>Purchased as Part of</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20" w:type="dxa"/>
            <w:vAlign w:val="bottom"/>
          </w:tcPr>
          <w:p>
            <w:pPr>
              <w:jc w:val="right"/>
              <w:spacing w:after="0" w:line="161" w:lineRule="exact"/>
              <w:rPr>
                <w:sz w:val="20"/>
                <w:szCs w:val="20"/>
                <w:color w:val="auto"/>
              </w:rPr>
            </w:pPr>
            <w:r>
              <w:rPr>
                <w:rFonts w:ascii="Arial" w:cs="Arial" w:eastAsia="Arial" w:hAnsi="Arial"/>
                <w:sz w:val="16"/>
                <w:szCs w:val="16"/>
                <w:color w:val="auto"/>
              </w:rPr>
              <w:t>Shares that May Yet Be</w:t>
            </w:r>
          </w:p>
        </w:tc>
        <w:tc>
          <w:tcPr>
            <w:tcW w:w="0" w:type="dxa"/>
            <w:vAlign w:val="bottom"/>
          </w:tcPr>
          <w:p>
            <w:pPr>
              <w:spacing w:after="0"/>
              <w:rPr>
                <w:sz w:val="1"/>
                <w:szCs w:val="1"/>
                <w:color w:val="auto"/>
              </w:rPr>
            </w:pPr>
          </w:p>
        </w:tc>
      </w:tr>
      <w:tr>
        <w:trPr>
          <w:trHeight w:val="161"/>
        </w:trPr>
        <w:tc>
          <w:tcPr>
            <w:tcW w:w="2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gridSpan w:val="2"/>
          </w:tcPr>
          <w:p>
            <w:pPr>
              <w:jc w:val="right"/>
              <w:ind w:right="140"/>
              <w:spacing w:after="0" w:line="161" w:lineRule="exact"/>
              <w:rPr>
                <w:sz w:val="20"/>
                <w:szCs w:val="20"/>
                <w:color w:val="auto"/>
              </w:rPr>
            </w:pPr>
            <w:r>
              <w:rPr>
                <w:rFonts w:ascii="Arial" w:cs="Arial" w:eastAsia="Arial" w:hAnsi="Arial"/>
                <w:sz w:val="16"/>
                <w:szCs w:val="16"/>
                <w:color w:val="auto"/>
              </w:rPr>
              <w:t>Price Paid</w:t>
            </w:r>
          </w:p>
        </w:tc>
        <w:tc>
          <w:tcPr>
            <w:tcW w:w="2440" w:type="dxa"/>
            <w:vAlign w:val="bottom"/>
          </w:tcPr>
          <w:p>
            <w:pPr>
              <w:jc w:val="right"/>
              <w:spacing w:after="0" w:line="161" w:lineRule="exact"/>
              <w:rPr>
                <w:sz w:val="20"/>
                <w:szCs w:val="20"/>
                <w:color w:val="auto"/>
              </w:rPr>
            </w:pPr>
            <w:r>
              <w:rPr>
                <w:rFonts w:ascii="Arial" w:cs="Arial" w:eastAsia="Arial" w:hAnsi="Arial"/>
                <w:sz w:val="16"/>
                <w:szCs w:val="16"/>
                <w:color w:val="auto"/>
              </w:rPr>
              <w:t>Publicly Announced Plans</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20" w:type="dxa"/>
            <w:vAlign w:val="bottom"/>
          </w:tcPr>
          <w:p>
            <w:pPr>
              <w:jc w:val="right"/>
              <w:spacing w:after="0" w:line="161" w:lineRule="exact"/>
              <w:rPr>
                <w:sz w:val="20"/>
                <w:szCs w:val="20"/>
                <w:color w:val="auto"/>
              </w:rPr>
            </w:pPr>
            <w:r>
              <w:rPr>
                <w:rFonts w:ascii="Arial" w:cs="Arial" w:eastAsia="Arial" w:hAnsi="Arial"/>
                <w:sz w:val="16"/>
                <w:szCs w:val="16"/>
                <w:color w:val="auto"/>
              </w:rPr>
              <w:t>Purchased Under the Plans</w:t>
            </w:r>
          </w:p>
        </w:tc>
        <w:tc>
          <w:tcPr>
            <w:tcW w:w="0" w:type="dxa"/>
            <w:vAlign w:val="bottom"/>
          </w:tcPr>
          <w:p>
            <w:pPr>
              <w:spacing w:after="0"/>
              <w:rPr>
                <w:sz w:val="1"/>
                <w:szCs w:val="1"/>
                <w:color w:val="auto"/>
              </w:rPr>
            </w:pPr>
          </w:p>
        </w:tc>
      </w:tr>
      <w:tr>
        <w:trPr>
          <w:trHeight w:val="214"/>
        </w:trPr>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tcPr>
          <w:p>
            <w:pPr>
              <w:jc w:val="right"/>
              <w:spacing w:after="0" w:line="214" w:lineRule="exact"/>
              <w:rPr>
                <w:sz w:val="20"/>
                <w:szCs w:val="20"/>
                <w:color w:val="auto"/>
              </w:rPr>
            </w:pPr>
            <w:r>
              <w:rPr>
                <w:rFonts w:ascii="Arial" w:cs="Arial" w:eastAsia="Arial" w:hAnsi="Arial"/>
                <w:sz w:val="16"/>
                <w:szCs w:val="16"/>
                <w:color w:val="auto"/>
              </w:rPr>
              <w:t xml:space="preserve">Shares Purchased </w:t>
            </w:r>
            <w:r>
              <w:rPr>
                <w:rFonts w:ascii="Arial" w:cs="Arial" w:eastAsia="Arial" w:hAnsi="Arial"/>
                <w:sz w:val="20"/>
                <w:szCs w:val="20"/>
                <w:color w:val="auto"/>
                <w:vertAlign w:val="superscript"/>
              </w:rPr>
              <w:t>(1)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per Share</w:t>
            </w:r>
          </w:p>
        </w:tc>
        <w:tc>
          <w:tcPr>
            <w:tcW w:w="2440" w:type="dxa"/>
            <w:vAlign w:val="bottom"/>
          </w:tcPr>
          <w:p>
            <w:pPr>
              <w:jc w:val="right"/>
              <w:spacing w:after="0" w:line="214" w:lineRule="exact"/>
              <w:rPr>
                <w:sz w:val="20"/>
                <w:szCs w:val="20"/>
                <w:color w:val="auto"/>
              </w:rPr>
            </w:pPr>
            <w:r>
              <w:rPr>
                <w:rFonts w:ascii="Arial" w:cs="Arial" w:eastAsia="Arial" w:hAnsi="Arial"/>
                <w:sz w:val="16"/>
                <w:szCs w:val="16"/>
                <w:color w:val="auto"/>
              </w:rPr>
              <w:t xml:space="preserve">or Programs </w:t>
            </w:r>
            <w:r>
              <w:rPr>
                <w:rFonts w:ascii="Arial" w:cs="Arial" w:eastAsia="Arial" w:hAnsi="Arial"/>
                <w:sz w:val="20"/>
                <w:szCs w:val="20"/>
                <w:color w:val="auto"/>
                <w:vertAlign w:val="superscript"/>
              </w:rPr>
              <w:t>(2)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tcPr>
          <w:p>
            <w:pPr>
              <w:jc w:val="right"/>
              <w:spacing w:after="0" w:line="214" w:lineRule="exact"/>
              <w:rPr>
                <w:sz w:val="20"/>
                <w:szCs w:val="20"/>
                <w:color w:val="auto"/>
              </w:rPr>
            </w:pPr>
            <w:r>
              <w:rPr>
                <w:rFonts w:ascii="Arial" w:cs="Arial" w:eastAsia="Arial" w:hAnsi="Arial"/>
                <w:sz w:val="16"/>
                <w:szCs w:val="16"/>
                <w:color w:val="auto"/>
              </w:rPr>
              <w:t xml:space="preserve">or Programs </w:t>
            </w:r>
            <w:r>
              <w:rPr>
                <w:rFonts w:ascii="Arial" w:cs="Arial" w:eastAsia="Arial" w:hAnsi="Arial"/>
                <w:sz w:val="20"/>
                <w:szCs w:val="20"/>
                <w:color w:val="auto"/>
                <w:vertAlign w:val="superscript"/>
              </w:rPr>
              <w:t>(2)</w:t>
            </w:r>
          </w:p>
        </w:tc>
        <w:tc>
          <w:tcPr>
            <w:tcW w:w="0" w:type="dxa"/>
            <w:vAlign w:val="bottom"/>
          </w:tcPr>
          <w:p>
            <w:pPr>
              <w:spacing w:after="0"/>
              <w:rPr>
                <w:sz w:val="1"/>
                <w:szCs w:val="1"/>
                <w:color w:val="auto"/>
              </w:rPr>
            </w:pPr>
          </w:p>
        </w:tc>
      </w:tr>
      <w:tr>
        <w:trPr>
          <w:trHeight w:val="208"/>
        </w:trPr>
        <w:tc>
          <w:tcPr>
            <w:tcW w:w="26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August 1 - August 31</w:t>
            </w:r>
          </w:p>
        </w:tc>
        <w:tc>
          <w:tcPr>
            <w:tcW w:w="12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14.62</w:t>
            </w:r>
          </w:p>
        </w:tc>
        <w:tc>
          <w:tcPr>
            <w:tcW w:w="120" w:type="dxa"/>
            <w:vAlign w:val="bottom"/>
            <w:tcBorders>
              <w:top w:val="single" w:sz="8" w:color="CCEEFF"/>
            </w:tcBorders>
            <w:shd w:val="clear" w:color="auto" w:fill="CCEEFF"/>
          </w:tcPr>
          <w:p>
            <w:pPr>
              <w:spacing w:after="0"/>
              <w:rPr>
                <w:sz w:val="18"/>
                <w:szCs w:val="18"/>
                <w:color w:val="auto"/>
              </w:rPr>
            </w:pPr>
          </w:p>
        </w:tc>
        <w:tc>
          <w:tcPr>
            <w:tcW w:w="2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w:t>
            </w:r>
          </w:p>
        </w:tc>
        <w:tc>
          <w:tcPr>
            <w:tcW w:w="24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751,837</w:t>
            </w:r>
          </w:p>
        </w:tc>
        <w:tc>
          <w:tcPr>
            <w:tcW w:w="0" w:type="dxa"/>
            <w:vAlign w:val="bottom"/>
          </w:tcPr>
          <w:p>
            <w:pPr>
              <w:spacing w:after="0"/>
              <w:rPr>
                <w:sz w:val="1"/>
                <w:szCs w:val="1"/>
                <w:color w:val="auto"/>
              </w:rPr>
            </w:pPr>
          </w:p>
        </w:tc>
      </w:tr>
      <w:tr>
        <w:trPr>
          <w:trHeight w:val="214"/>
        </w:trPr>
        <w:tc>
          <w:tcPr>
            <w:tcW w:w="2800" w:type="dxa"/>
            <w:vAlign w:val="bottom"/>
            <w:gridSpan w:val="2"/>
          </w:tcPr>
          <w:p>
            <w:pPr>
              <w:ind w:left="20"/>
              <w:spacing w:after="0"/>
              <w:rPr>
                <w:sz w:val="20"/>
                <w:szCs w:val="20"/>
                <w:color w:val="auto"/>
              </w:rPr>
            </w:pPr>
            <w:r>
              <w:rPr>
                <w:rFonts w:ascii="Arial" w:cs="Arial" w:eastAsia="Arial" w:hAnsi="Arial"/>
                <w:sz w:val="16"/>
                <w:szCs w:val="16"/>
                <w:color w:val="auto"/>
              </w:rPr>
              <w:t>September 1 - September 30</w:t>
            </w:r>
          </w:p>
        </w:tc>
        <w:tc>
          <w:tcPr>
            <w:tcW w:w="1860" w:type="dxa"/>
            <w:vAlign w:val="bottom"/>
          </w:tcPr>
          <w:p>
            <w:pPr>
              <w:jc w:val="right"/>
              <w:spacing w:after="0"/>
              <w:rPr>
                <w:sz w:val="20"/>
                <w:szCs w:val="20"/>
                <w:color w:val="auto"/>
              </w:rPr>
            </w:pPr>
            <w:r>
              <w:rPr>
                <w:rFonts w:ascii="Arial" w:cs="Arial" w:eastAsia="Arial" w:hAnsi="Arial"/>
                <w:sz w:val="16"/>
                <w:szCs w:val="16"/>
                <w:b w:val="1"/>
                <w:bCs w:val="1"/>
                <w:color w:val="auto"/>
              </w:rPr>
              <w:t>5,959</w:t>
            </w:r>
          </w:p>
        </w:tc>
        <w:tc>
          <w:tcPr>
            <w:tcW w:w="36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14.83</w:t>
            </w:r>
          </w:p>
        </w:tc>
        <w:tc>
          <w:tcPr>
            <w:tcW w:w="120" w:type="dxa"/>
            <w:vAlign w:val="bottom"/>
          </w:tcPr>
          <w:p>
            <w:pPr>
              <w:spacing w:after="0"/>
              <w:rPr>
                <w:sz w:val="18"/>
                <w:szCs w:val="18"/>
                <w:color w:val="auto"/>
              </w:rPr>
            </w:pPr>
          </w:p>
        </w:tc>
        <w:tc>
          <w:tcPr>
            <w:tcW w:w="2440" w:type="dxa"/>
            <w:vAlign w:val="bottom"/>
          </w:tcPr>
          <w:p>
            <w:pPr>
              <w:jc w:val="right"/>
              <w:spacing w:after="0"/>
              <w:rPr>
                <w:sz w:val="20"/>
                <w:szCs w:val="20"/>
                <w:color w:val="auto"/>
              </w:rPr>
            </w:pPr>
            <w:r>
              <w:rPr>
                <w:rFonts w:ascii="Arial" w:cs="Arial" w:eastAsia="Arial" w:hAnsi="Arial"/>
                <w:sz w:val="16"/>
                <w:szCs w:val="16"/>
                <w:b w:val="1"/>
                <w:bCs w:val="1"/>
                <w:color w:val="auto"/>
              </w:rPr>
              <w:t>5,957</w:t>
            </w:r>
          </w:p>
        </w:tc>
        <w:tc>
          <w:tcPr>
            <w:tcW w:w="34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2420" w:type="dxa"/>
            <w:vAlign w:val="bottom"/>
          </w:tcPr>
          <w:p>
            <w:pPr>
              <w:jc w:val="right"/>
              <w:ind w:right="1"/>
              <w:spacing w:after="0"/>
              <w:rPr>
                <w:sz w:val="20"/>
                <w:szCs w:val="20"/>
                <w:color w:val="auto"/>
              </w:rPr>
            </w:pPr>
            <w:r>
              <w:rPr>
                <w:rFonts w:ascii="Arial" w:cs="Arial" w:eastAsia="Arial" w:hAnsi="Arial"/>
                <w:sz w:val="16"/>
                <w:szCs w:val="16"/>
                <w:b w:val="1"/>
                <w:bCs w:val="1"/>
                <w:color w:val="auto"/>
              </w:rPr>
              <w:t>663,468</w:t>
            </w:r>
          </w:p>
        </w:tc>
        <w:tc>
          <w:tcPr>
            <w:tcW w:w="0" w:type="dxa"/>
            <w:vAlign w:val="bottom"/>
          </w:tcPr>
          <w:p>
            <w:pPr>
              <w:spacing w:after="0"/>
              <w:rPr>
                <w:sz w:val="1"/>
                <w:szCs w:val="1"/>
                <w:color w:val="auto"/>
              </w:rPr>
            </w:pPr>
          </w:p>
        </w:tc>
      </w:tr>
      <w:tr>
        <w:trPr>
          <w:trHeight w:val="214"/>
        </w:trPr>
        <w:tc>
          <w:tcPr>
            <w:tcW w:w="28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October 1 - October 31</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3,533</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17.46</w:t>
            </w:r>
          </w:p>
        </w:tc>
        <w:tc>
          <w:tcPr>
            <w:tcW w:w="120" w:type="dxa"/>
            <w:vAlign w:val="bottom"/>
            <w:shd w:val="clear" w:color="auto" w:fill="CCEEFF"/>
          </w:tcPr>
          <w:p>
            <w:pPr>
              <w:spacing w:after="0"/>
              <w:rPr>
                <w:sz w:val="18"/>
                <w:szCs w:val="18"/>
                <w:color w:val="auto"/>
              </w:rPr>
            </w:pPr>
          </w:p>
        </w:tc>
        <w:tc>
          <w:tcPr>
            <w:tcW w:w="2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3,531</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w:t>
            </w:r>
          </w:p>
        </w:tc>
        <w:tc>
          <w:tcPr>
            <w:tcW w:w="242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601,837</w:t>
            </w:r>
          </w:p>
        </w:tc>
        <w:tc>
          <w:tcPr>
            <w:tcW w:w="0" w:type="dxa"/>
            <w:vAlign w:val="bottom"/>
          </w:tcPr>
          <w:p>
            <w:pPr>
              <w:spacing w:after="0"/>
              <w:rPr>
                <w:sz w:val="1"/>
                <w:szCs w:val="1"/>
                <w:color w:val="auto"/>
              </w:rPr>
            </w:pPr>
          </w:p>
        </w:tc>
      </w:tr>
      <w:tr>
        <w:trPr>
          <w:trHeight w:val="246"/>
        </w:trPr>
        <w:tc>
          <w:tcPr>
            <w:tcW w:w="26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9,494</w:t>
            </w:r>
          </w:p>
        </w:tc>
        <w:tc>
          <w:tcPr>
            <w:tcW w:w="36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15.81</w:t>
            </w:r>
          </w:p>
        </w:tc>
        <w:tc>
          <w:tcPr>
            <w:tcW w:w="120" w:type="dxa"/>
            <w:vAlign w:val="bottom"/>
            <w:tcBorders>
              <w:bottom w:val="single" w:sz="8" w:color="CCEEFF"/>
            </w:tcBorders>
          </w:tcPr>
          <w:p>
            <w:pPr>
              <w:spacing w:after="0"/>
              <w:rPr>
                <w:sz w:val="20"/>
                <w:szCs w:val="20"/>
                <w:color w:val="auto"/>
              </w:rPr>
            </w:pPr>
          </w:p>
        </w:tc>
        <w:tc>
          <w:tcPr>
            <w:tcW w:w="2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9,488</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4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8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186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000000"/>
          </w:tcPr>
          <w:p>
            <w:pPr>
              <w:spacing w:after="0" w:line="20" w:lineRule="exact"/>
              <w:rPr>
                <w:sz w:val="1"/>
                <w:szCs w:val="1"/>
                <w:color w:val="auto"/>
              </w:rPr>
            </w:pPr>
          </w:p>
        </w:tc>
        <w:tc>
          <w:tcPr>
            <w:tcW w:w="86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244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000000"/>
          </w:tcPr>
          <w:p>
            <w:pPr>
              <w:spacing w:after="0" w:line="20" w:lineRule="exact"/>
              <w:rPr>
                <w:sz w:val="1"/>
                <w:szCs w:val="1"/>
                <w:color w:val="auto"/>
              </w:rPr>
            </w:pPr>
          </w:p>
        </w:tc>
        <w:tc>
          <w:tcPr>
            <w:tcW w:w="2420" w:type="dxa"/>
            <w:vAlign w:val="bottom"/>
            <w:tcBorders>
              <w:top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160" w:hanging="153"/>
        <w:spacing w:after="0" w:line="252" w:lineRule="auto"/>
        <w:tabs>
          <w:tab w:leader="none" w:pos="166" w:val="left"/>
        </w:tabs>
        <w:numPr>
          <w:ilvl w:val="0"/>
          <w:numId w:val="26"/>
        </w:numPr>
        <w:rPr>
          <w:rFonts w:ascii="Arial" w:cs="Arial" w:eastAsia="Arial" w:hAnsi="Arial"/>
          <w:sz w:val="9"/>
          <w:szCs w:val="9"/>
          <w:color w:val="auto"/>
        </w:rPr>
      </w:pPr>
      <w:r>
        <w:rPr>
          <w:rFonts w:ascii="Arial" w:cs="Arial" w:eastAsia="Arial" w:hAnsi="Arial"/>
          <w:sz w:val="14"/>
          <w:szCs w:val="14"/>
          <w:color w:val="auto"/>
        </w:rPr>
        <w:t>We purchased approximately 6 thousand shares in connection with funding employee income tax withholding obligations arising upon the lapse of restrictions on restricted share units.</w:t>
      </w:r>
    </w:p>
    <w:p>
      <w:pPr>
        <w:spacing w:after="0" w:line="1" w:lineRule="exact"/>
        <w:rPr>
          <w:rFonts w:ascii="Arial" w:cs="Arial" w:eastAsia="Arial" w:hAnsi="Arial"/>
          <w:sz w:val="9"/>
          <w:szCs w:val="9"/>
          <w:color w:val="auto"/>
        </w:rPr>
      </w:pPr>
    </w:p>
    <w:p>
      <w:pPr>
        <w:ind w:left="160" w:hanging="153"/>
        <w:spacing w:after="0" w:line="260" w:lineRule="auto"/>
        <w:tabs>
          <w:tab w:leader="none" w:pos="166" w:val="left"/>
        </w:tabs>
        <w:numPr>
          <w:ilvl w:val="0"/>
          <w:numId w:val="26"/>
        </w:numPr>
        <w:rPr>
          <w:rFonts w:ascii="Arial" w:cs="Arial" w:eastAsia="Arial" w:hAnsi="Arial"/>
          <w:sz w:val="9"/>
          <w:szCs w:val="9"/>
          <w:color w:val="auto"/>
        </w:rPr>
      </w:pPr>
      <w:r>
        <w:rPr>
          <w:rFonts w:ascii="Arial" w:cs="Arial" w:eastAsia="Arial" w:hAnsi="Arial"/>
          <w:sz w:val="14"/>
          <w:szCs w:val="14"/>
          <w:color w:val="auto"/>
        </w:rPr>
        <w:t>In September 2015, we announced that our Board of Directors approved a $3.5 billion share repurchase program, effective through June 2019. In June 2019, our Board of Directors extended the share repurchase program through June 2022.</w:t>
      </w:r>
    </w:p>
    <w:p>
      <w:pPr>
        <w:spacing w:after="0" w:line="5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1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824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Q2 FY2021 Form 10-Q</w:t>
      </w:r>
      <w:r>
        <w:rPr>
          <w:rFonts w:ascii="Arial" w:cs="Arial" w:eastAsia="Arial" w:hAnsi="Arial"/>
          <w:sz w:val="14"/>
          <w:szCs w:val="14"/>
          <w:b w:val="1"/>
          <w:bCs w:val="1"/>
          <w:color w:val="auto"/>
        </w:rPr>
        <w:t xml:space="preserve">  </w:t>
      </w:r>
      <w:r>
        <w:rPr>
          <w:rFonts w:ascii="Arial" w:cs="Arial" w:eastAsia="Arial" w:hAnsi="Arial"/>
          <w:sz w:val="14"/>
          <w:szCs w:val="14"/>
          <w:color w:val="FFFFFF"/>
          <w:highlight w:val="black"/>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137160</wp:posOffset>
            </wp:positionV>
            <wp:extent cx="713359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3590" cy="17145"/>
                    </a:xfrm>
                    <a:prstGeom prst="rect">
                      <a:avLst/>
                    </a:prstGeom>
                    <a:noFill/>
                  </pic:spPr>
                </pic:pic>
              </a:graphicData>
            </a:graphic>
          </wp:anchor>
        </w:drawing>
        <w:drawing>
          <wp:anchor simplePos="0" relativeHeight="251657728" behindDoc="1" locked="0" layoutInCell="0" allowOverlap="1">
            <wp:simplePos x="0" y="0"/>
            <wp:positionH relativeFrom="column">
              <wp:posOffset>6917055</wp:posOffset>
            </wp:positionH>
            <wp:positionV relativeFrom="paragraph">
              <wp:posOffset>-100330</wp:posOffset>
            </wp:positionV>
            <wp:extent cx="220980" cy="1187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20980" cy="118745"/>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33" w:name="page34"/>
    <w:bookmarkEnd w:id="3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78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10460" w:type="dxa"/>
            <w:vAlign w:val="bottom"/>
          </w:tcPr>
          <w:p>
            <w:pPr>
              <w:ind w:left="100"/>
              <w:spacing w:after="0"/>
              <w:rPr>
                <w:sz w:val="20"/>
                <w:szCs w:val="20"/>
                <w:color w:val="auto"/>
              </w:rPr>
            </w:pPr>
            <w:r>
              <w:rPr>
                <w:rFonts w:ascii="Arial" w:cs="Arial" w:eastAsia="Arial" w:hAnsi="Arial"/>
                <w:sz w:val="18"/>
                <w:szCs w:val="18"/>
                <w:b w:val="1"/>
                <w:bCs w:val="1"/>
                <w:color w:val="auto"/>
              </w:rPr>
              <w:t>EXHIBITS</w:t>
            </w:r>
          </w:p>
        </w:tc>
      </w:tr>
      <w:tr>
        <w:trPr>
          <w:trHeight w:val="258"/>
        </w:trPr>
        <w:tc>
          <w:tcPr>
            <w:tcW w:w="11240" w:type="dxa"/>
            <w:vAlign w:val="bottom"/>
            <w:gridSpan w:val="3"/>
          </w:tcPr>
          <w:p>
            <w:pPr>
              <w:spacing w:after="0"/>
              <w:rPr>
                <w:sz w:val="20"/>
                <w:szCs w:val="20"/>
                <w:color w:val="auto"/>
              </w:rPr>
            </w:pPr>
            <w:r>
              <w:rPr>
                <w:rFonts w:ascii="Arial" w:cs="Arial" w:eastAsia="Arial" w:hAnsi="Arial"/>
                <w:sz w:val="18"/>
                <w:szCs w:val="18"/>
                <w:color w:val="auto"/>
              </w:rPr>
              <w:t>The following exhibits are numbered in accordance with the Exhibit Table of Item 601 of Regulation S-K:</w:t>
            </w:r>
          </w:p>
        </w:tc>
      </w:tr>
      <w:tr>
        <w:trPr>
          <w:trHeight w:val="484"/>
        </w:trPr>
        <w:tc>
          <w:tcPr>
            <w:tcW w:w="460" w:type="dxa"/>
            <w:vAlign w:val="bottom"/>
          </w:tcPr>
          <w:p>
            <w:pPr>
              <w:spacing w:after="0"/>
              <w:rPr>
                <w:sz w:val="20"/>
                <w:szCs w:val="20"/>
                <w:color w:val="auto"/>
              </w:rPr>
            </w:pPr>
            <w:r>
              <w:rPr>
                <w:rFonts w:ascii="Arial" w:cs="Arial" w:eastAsia="Arial" w:hAnsi="Arial"/>
                <w:sz w:val="18"/>
                <w:szCs w:val="18"/>
                <w:color w:val="auto"/>
              </w:rPr>
              <w:t>31.1</w:t>
            </w:r>
          </w:p>
        </w:tc>
        <w:tc>
          <w:tcPr>
            <w:tcW w:w="10780" w:type="dxa"/>
            <w:vAlign w:val="bottom"/>
            <w:gridSpan w:val="2"/>
          </w:tcPr>
          <w:p>
            <w:pPr>
              <w:ind w:left="100"/>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Certification by Chief Executive Officer pursuant to Section 302 of the Sarbanes-Oxley Act of 2002.</w:t>
              </w:r>
            </w:hyperlink>
          </w:p>
        </w:tc>
      </w:tr>
      <w:tr>
        <w:trPr>
          <w:trHeight w:val="214"/>
        </w:trPr>
        <w:tc>
          <w:tcPr>
            <w:tcW w:w="460" w:type="dxa"/>
            <w:vAlign w:val="bottom"/>
          </w:tcPr>
          <w:p>
            <w:pPr>
              <w:spacing w:after="0"/>
              <w:rPr>
                <w:sz w:val="20"/>
                <w:szCs w:val="20"/>
                <w:color w:val="auto"/>
              </w:rPr>
            </w:pPr>
            <w:r>
              <w:rPr>
                <w:rFonts w:ascii="Arial" w:cs="Arial" w:eastAsia="Arial" w:hAnsi="Arial"/>
                <w:sz w:val="18"/>
                <w:szCs w:val="18"/>
                <w:color w:val="auto"/>
              </w:rPr>
              <w:t>31.2</w:t>
            </w:r>
          </w:p>
        </w:tc>
        <w:tc>
          <w:tcPr>
            <w:tcW w:w="10780" w:type="dxa"/>
            <w:vAlign w:val="bottom"/>
            <w:gridSpan w:val="2"/>
          </w:tcPr>
          <w:p>
            <w:pPr>
              <w:ind w:left="100"/>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Certification by Chief Financial Officer pursuant to Section 302 of the Sarbanes-Oxley Act of 2002.</w:t>
              </w:r>
            </w:hyperlink>
          </w:p>
        </w:tc>
      </w:tr>
      <w:tr>
        <w:trPr>
          <w:trHeight w:val="214"/>
        </w:trPr>
        <w:tc>
          <w:tcPr>
            <w:tcW w:w="460" w:type="dxa"/>
            <w:vAlign w:val="bottom"/>
          </w:tcPr>
          <w:p>
            <w:pPr>
              <w:spacing w:after="0"/>
              <w:rPr>
                <w:sz w:val="20"/>
                <w:szCs w:val="20"/>
                <w:color w:val="auto"/>
              </w:rPr>
            </w:pPr>
            <w:r>
              <w:rPr>
                <w:rFonts w:ascii="Arial" w:cs="Arial" w:eastAsia="Arial" w:hAnsi="Arial"/>
                <w:sz w:val="18"/>
                <w:szCs w:val="18"/>
                <w:color w:val="auto"/>
              </w:rPr>
              <w:t>32.1</w:t>
            </w:r>
          </w:p>
        </w:tc>
        <w:tc>
          <w:tcPr>
            <w:tcW w:w="10780" w:type="dxa"/>
            <w:vAlign w:val="bottom"/>
            <w:gridSpan w:val="2"/>
          </w:tcPr>
          <w:p>
            <w:pPr>
              <w:ind w:left="100"/>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Certification by Chief Executive Officer pursuant to 18 U.S.C. 1350, as adopted by Section 906 of the Sarbanes-Oxley Act of 2002.</w:t>
              </w:r>
            </w:hyperlink>
          </w:p>
        </w:tc>
      </w:tr>
      <w:tr>
        <w:trPr>
          <w:trHeight w:val="214"/>
        </w:trPr>
        <w:tc>
          <w:tcPr>
            <w:tcW w:w="460" w:type="dxa"/>
            <w:vAlign w:val="bottom"/>
          </w:tcPr>
          <w:p>
            <w:pPr>
              <w:spacing w:after="0"/>
              <w:rPr>
                <w:sz w:val="20"/>
                <w:szCs w:val="20"/>
                <w:color w:val="auto"/>
              </w:rPr>
            </w:pPr>
            <w:r>
              <w:rPr>
                <w:rFonts w:ascii="Arial" w:cs="Arial" w:eastAsia="Arial" w:hAnsi="Arial"/>
                <w:sz w:val="18"/>
                <w:szCs w:val="18"/>
                <w:color w:val="auto"/>
              </w:rPr>
              <w:t>32.2</w:t>
            </w:r>
          </w:p>
        </w:tc>
        <w:tc>
          <w:tcPr>
            <w:tcW w:w="10780" w:type="dxa"/>
            <w:vAlign w:val="bottom"/>
            <w:gridSpan w:val="2"/>
          </w:tcPr>
          <w:p>
            <w:pPr>
              <w:ind w:left="100"/>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Certification by Chief Financial Officer pursuant to 18 U.S.C. 1350, as adopted by Section 906 of the Sarbanes-Oxley Act of 2002.</w:t>
              </w:r>
            </w:hyperlink>
          </w:p>
        </w:tc>
      </w:tr>
      <w:tr>
        <w:trPr>
          <w:trHeight w:val="214"/>
        </w:trPr>
        <w:tc>
          <w:tcPr>
            <w:tcW w:w="7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460" w:type="dxa"/>
            <w:vAlign w:val="bottom"/>
          </w:tcPr>
          <w:p>
            <w:pPr>
              <w:ind w:left="120"/>
              <w:spacing w:after="0"/>
              <w:rPr>
                <w:sz w:val="20"/>
                <w:szCs w:val="20"/>
                <w:color w:val="auto"/>
              </w:rPr>
            </w:pPr>
            <w:r>
              <w:rPr>
                <w:rFonts w:ascii="Arial" w:cs="Arial" w:eastAsia="Arial" w:hAnsi="Arial"/>
                <w:sz w:val="18"/>
                <w:szCs w:val="18"/>
                <w:color w:val="auto"/>
              </w:rPr>
              <w:t>Inline XBRL Instance Document - the instance document does not appear in the Interactive Data File because its XBRL tags are</w:t>
            </w:r>
          </w:p>
        </w:tc>
      </w:tr>
      <w:tr>
        <w:trPr>
          <w:trHeight w:val="214"/>
        </w:trPr>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60" w:type="dxa"/>
            <w:vAlign w:val="bottom"/>
          </w:tcPr>
          <w:p>
            <w:pPr>
              <w:ind w:left="40"/>
              <w:spacing w:after="0"/>
              <w:rPr>
                <w:sz w:val="20"/>
                <w:szCs w:val="20"/>
                <w:color w:val="auto"/>
              </w:rPr>
            </w:pPr>
            <w:r>
              <w:rPr>
                <w:rFonts w:ascii="Arial" w:cs="Arial" w:eastAsia="Arial" w:hAnsi="Arial"/>
                <w:sz w:val="18"/>
                <w:szCs w:val="18"/>
                <w:color w:val="auto"/>
              </w:rPr>
              <w:t>embedded within the Inline XBRL document</w:t>
            </w:r>
          </w:p>
        </w:tc>
      </w:tr>
      <w:tr>
        <w:trPr>
          <w:trHeight w:val="214"/>
        </w:trPr>
        <w:tc>
          <w:tcPr>
            <w:tcW w:w="7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460" w:type="dxa"/>
            <w:vAlign w:val="bottom"/>
          </w:tcPr>
          <w:p>
            <w:pPr>
              <w:ind w:left="140"/>
              <w:spacing w:after="0"/>
              <w:rPr>
                <w:sz w:val="20"/>
                <w:szCs w:val="20"/>
                <w:color w:val="auto"/>
              </w:rPr>
            </w:pPr>
            <w:r>
              <w:rPr>
                <w:rFonts w:ascii="Arial" w:cs="Arial" w:eastAsia="Arial" w:hAnsi="Arial"/>
                <w:sz w:val="18"/>
                <w:szCs w:val="18"/>
                <w:color w:val="auto"/>
              </w:rPr>
              <w:t>Inline XBRL Taxonomy Extension Schema</w:t>
            </w:r>
          </w:p>
        </w:tc>
      </w:tr>
      <w:tr>
        <w:trPr>
          <w:trHeight w:val="214"/>
        </w:trPr>
        <w:tc>
          <w:tcPr>
            <w:tcW w:w="7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460" w:type="dxa"/>
            <w:vAlign w:val="bottom"/>
          </w:tcPr>
          <w:p>
            <w:pPr>
              <w:ind w:left="120"/>
              <w:spacing w:after="0"/>
              <w:rPr>
                <w:sz w:val="20"/>
                <w:szCs w:val="20"/>
                <w:color w:val="auto"/>
              </w:rPr>
            </w:pPr>
            <w:r>
              <w:rPr>
                <w:rFonts w:ascii="Arial" w:cs="Arial" w:eastAsia="Arial" w:hAnsi="Arial"/>
                <w:sz w:val="18"/>
                <w:szCs w:val="18"/>
                <w:color w:val="auto"/>
              </w:rPr>
              <w:t>Inline XBRL Extension Calculation Linkbase</w:t>
            </w:r>
          </w:p>
        </w:tc>
      </w:tr>
      <w:tr>
        <w:trPr>
          <w:trHeight w:val="214"/>
        </w:trPr>
        <w:tc>
          <w:tcPr>
            <w:tcW w:w="7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460" w:type="dxa"/>
            <w:vAlign w:val="bottom"/>
          </w:tcPr>
          <w:p>
            <w:pPr>
              <w:ind w:left="120"/>
              <w:spacing w:after="0"/>
              <w:rPr>
                <w:sz w:val="20"/>
                <w:szCs w:val="20"/>
                <w:color w:val="auto"/>
              </w:rPr>
            </w:pPr>
            <w:r>
              <w:rPr>
                <w:rFonts w:ascii="Arial" w:cs="Arial" w:eastAsia="Arial" w:hAnsi="Arial"/>
                <w:sz w:val="18"/>
                <w:szCs w:val="18"/>
                <w:color w:val="auto"/>
              </w:rPr>
              <w:t>Inline XBRL Taxonomy Extension Label Linkbase</w:t>
            </w:r>
          </w:p>
        </w:tc>
      </w:tr>
      <w:tr>
        <w:trPr>
          <w:trHeight w:val="214"/>
        </w:trPr>
        <w:tc>
          <w:tcPr>
            <w:tcW w:w="7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460" w:type="dxa"/>
            <w:vAlign w:val="bottom"/>
          </w:tcPr>
          <w:p>
            <w:pPr>
              <w:ind w:left="140"/>
              <w:spacing w:after="0"/>
              <w:rPr>
                <w:sz w:val="20"/>
                <w:szCs w:val="20"/>
                <w:color w:val="auto"/>
              </w:rPr>
            </w:pPr>
            <w:r>
              <w:rPr>
                <w:rFonts w:ascii="Arial" w:cs="Arial" w:eastAsia="Arial" w:hAnsi="Arial"/>
                <w:sz w:val="18"/>
                <w:szCs w:val="18"/>
                <w:color w:val="auto"/>
              </w:rPr>
              <w:t>Inline XBRL Taxonomy Extension Presentation Linkbase</w:t>
            </w:r>
          </w:p>
        </w:tc>
      </w:tr>
      <w:tr>
        <w:trPr>
          <w:trHeight w:val="236"/>
        </w:trPr>
        <w:tc>
          <w:tcPr>
            <w:tcW w:w="78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460" w:type="dxa"/>
            <w:vAlign w:val="bottom"/>
          </w:tcPr>
          <w:p>
            <w:pPr>
              <w:ind w:left="120"/>
              <w:spacing w:after="0"/>
              <w:rPr>
                <w:sz w:val="20"/>
                <w:szCs w:val="20"/>
                <w:color w:val="auto"/>
              </w:rPr>
            </w:pPr>
            <w:r>
              <w:rPr>
                <w:rFonts w:ascii="Arial" w:cs="Arial" w:eastAsia="Arial" w:hAnsi="Arial"/>
                <w:sz w:val="18"/>
                <w:szCs w:val="18"/>
                <w:color w:val="auto"/>
              </w:rPr>
              <w:t>Inline XBRL Taxonomy Extension Definition Linkbase</w:t>
            </w:r>
          </w:p>
        </w:tc>
      </w:tr>
    </w:tbl>
    <w:p>
      <w:pPr>
        <w:spacing w:after="0"/>
        <w:tabs>
          <w:tab w:leader="none" w:pos="480" w:val="left"/>
        </w:tabs>
        <w:rPr>
          <w:sz w:val="20"/>
          <w:szCs w:val="20"/>
          <w:color w:val="auto"/>
        </w:rPr>
      </w:pPr>
      <w:r>
        <w:rPr>
          <w:rFonts w:ascii="Arial" w:cs="Arial" w:eastAsia="Arial" w:hAnsi="Arial"/>
          <w:sz w:val="18"/>
          <w:szCs w:val="18"/>
          <w:color w:val="auto"/>
        </w:rPr>
        <w:t>104</w:t>
        <w:tab/>
        <w:t>Cover Page Interactive Data File (formatted as Inline XBRL and contained in Exhibit 101)</w:t>
      </w:r>
    </w:p>
    <w:p>
      <w:pPr>
        <w:spacing w:after="0" w:line="354" w:lineRule="exact"/>
        <w:rPr>
          <w:sz w:val="20"/>
          <w:szCs w:val="20"/>
          <w:color w:val="auto"/>
        </w:rPr>
      </w:pPr>
    </w:p>
    <w:p>
      <w:pPr>
        <w:ind w:left="360" w:hanging="265"/>
        <w:spacing w:after="0"/>
        <w:tabs>
          <w:tab w:leader="none" w:pos="360" w:val="left"/>
        </w:tabs>
        <w:numPr>
          <w:ilvl w:val="0"/>
          <w:numId w:val="27"/>
        </w:numPr>
        <w:rPr>
          <w:rFonts w:ascii="Arial" w:cs="Arial" w:eastAsia="Arial" w:hAnsi="Arial"/>
          <w:sz w:val="14"/>
          <w:szCs w:val="14"/>
          <w:color w:val="FFFFFF"/>
          <w:highlight w:val="black"/>
        </w:rPr>
      </w:pPr>
      <w:r>
        <w:rPr>
          <w:rFonts w:ascii="Arial" w:cs="Arial" w:eastAsia="Arial" w:hAnsi="Arial"/>
          <w:sz w:val="14"/>
          <w:szCs w:val="14"/>
          <w:color w:val="auto"/>
        </w:rPr>
        <w:t xml:space="preserve">Q1 FY2021 Form 10-Q | </w:t>
      </w:r>
      <w:r>
        <w:rPr>
          <w:rFonts w:ascii="Arial" w:cs="Arial" w:eastAsia="Arial" w:hAnsi="Arial"/>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561975</wp:posOffset>
            </wp:positionV>
            <wp:extent cx="713359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3590"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-100330</wp:posOffset>
            </wp:positionV>
            <wp:extent cx="212725" cy="1187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12725" cy="118745"/>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34" w:name="page35"/>
    <w:bookmarkEnd w:id="3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16" w:lineRule="exact"/>
        <w:rPr>
          <w:sz w:val="20"/>
          <w:szCs w:val="20"/>
          <w:color w:val="auto"/>
        </w:rPr>
      </w:pPr>
    </w:p>
    <w:p>
      <w:pPr>
        <w:spacing w:after="0" w:line="28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69"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H&amp;R BLOCK, INC.</w:t>
      </w:r>
    </w:p>
    <w:p>
      <w:pPr>
        <w:spacing w:after="0" w:line="288"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/s/ Jeffrey J. Jones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4502150</wp:posOffset>
            </wp:positionH>
            <wp:positionV relativeFrom="paragraph">
              <wp:posOffset>19050</wp:posOffset>
            </wp:positionV>
            <wp:extent cx="263588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635885" cy="8255"/>
                    </a:xfrm>
                    <a:prstGeom prst="rect">
                      <a:avLst/>
                    </a:prstGeom>
                    <a:noFill/>
                  </pic:spPr>
                </pic:pic>
              </a:graphicData>
            </a:graphic>
          </wp:anchor>
        </w:drawing>
      </w:r>
    </w:p>
    <w:p>
      <w:pPr>
        <w:spacing w:after="0" w:line="14"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Jeffrey J. Jones II</w:t>
      </w:r>
    </w:p>
    <w:p>
      <w:pPr>
        <w:spacing w:after="0" w:line="3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President and Chief Executive Officer</w:t>
      </w:r>
    </w:p>
    <w:p>
      <w:pPr>
        <w:spacing w:after="0" w:line="21"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December 8, 2020</w:t>
      </w:r>
    </w:p>
    <w:p>
      <w:pPr>
        <w:spacing w:after="0" w:line="277"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/s/ Tony G. Bowen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4502150</wp:posOffset>
            </wp:positionH>
            <wp:positionV relativeFrom="paragraph">
              <wp:posOffset>19050</wp:posOffset>
            </wp:positionV>
            <wp:extent cx="263588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635885" cy="8255"/>
                    </a:xfrm>
                    <a:prstGeom prst="rect">
                      <a:avLst/>
                    </a:prstGeom>
                    <a:noFill/>
                  </pic:spPr>
                </pic:pic>
              </a:graphicData>
            </a:graphic>
          </wp:anchor>
        </w:drawing>
      </w:r>
    </w:p>
    <w:p>
      <w:pPr>
        <w:spacing w:after="0" w:line="14"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Tony G. Bowen</w:t>
      </w:r>
    </w:p>
    <w:p>
      <w:pPr>
        <w:spacing w:after="0" w:line="3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Chief Financial Officer</w:t>
      </w:r>
    </w:p>
    <w:p>
      <w:pPr>
        <w:spacing w:after="0" w:line="21"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December 8, 2020</w:t>
      </w:r>
    </w:p>
    <w:p>
      <w:pPr>
        <w:spacing w:after="0" w:line="277"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/s/ Kellie J. Logerwell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4502150</wp:posOffset>
            </wp:positionH>
            <wp:positionV relativeFrom="paragraph">
              <wp:posOffset>19050</wp:posOffset>
            </wp:positionV>
            <wp:extent cx="263588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635885" cy="8255"/>
                    </a:xfrm>
                    <a:prstGeom prst="rect">
                      <a:avLst/>
                    </a:prstGeom>
                    <a:noFill/>
                  </pic:spPr>
                </pic:pic>
              </a:graphicData>
            </a:graphic>
          </wp:anchor>
        </w:drawing>
      </w:r>
    </w:p>
    <w:p>
      <w:pPr>
        <w:spacing w:after="0" w:line="14"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Kellie J. Logerwell</w:t>
      </w:r>
    </w:p>
    <w:p>
      <w:pPr>
        <w:spacing w:after="0" w:line="3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Chief Accounting Officer</w:t>
      </w:r>
    </w:p>
    <w:p>
      <w:pPr>
        <w:spacing w:after="0" w:line="21"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December 8, 2020</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824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Q1 FY2021 Form 10-Q</w:t>
      </w:r>
      <w:r>
        <w:rPr>
          <w:rFonts w:ascii="Arial" w:cs="Arial" w:eastAsia="Arial" w:hAnsi="Arial"/>
          <w:sz w:val="14"/>
          <w:szCs w:val="14"/>
          <w:b w:val="1"/>
          <w:bCs w:val="1"/>
          <w:color w:val="auto"/>
        </w:rPr>
        <w:t xml:space="preserve">  </w:t>
      </w:r>
      <w:r>
        <w:rPr>
          <w:rFonts w:ascii="Arial" w:cs="Arial" w:eastAsia="Arial" w:hAnsi="Arial"/>
          <w:sz w:val="14"/>
          <w:szCs w:val="14"/>
          <w:color w:val="FFFFFF"/>
          <w:highlight w:val="black"/>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6917055</wp:posOffset>
            </wp:positionH>
            <wp:positionV relativeFrom="paragraph">
              <wp:posOffset>-100330</wp:posOffset>
            </wp:positionV>
            <wp:extent cx="220980" cy="1187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20980" cy="118745"/>
                    </a:xfrm>
                    <a:prstGeom prst="rect">
                      <a:avLst/>
                    </a:prstGeom>
                    <a:noFill/>
                  </pic:spPr>
                </pic:pic>
              </a:graphicData>
            </a:graphic>
          </wp:anchor>
        </w:drawing>
      </w:r>
    </w:p>
    <w:p>
      <w:pPr>
        <w:sectPr>
          <w:pgSz w:w="11900" w:h="16838" w:orient="portrait"/>
          <w:cols w:equalWidth="0" w:num="1">
            <w:col w:w="11220"/>
          </w:cols>
          <w:pgMar w:left="320" w:top="228" w:right="35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I, Jeffrey J. Jones II, Chief Executive Officer, certify that:</w:t>
      </w:r>
    </w:p>
    <w:p>
      <w:pPr>
        <w:spacing w:after="0" w:line="248" w:lineRule="exact"/>
        <w:rPr>
          <w:sz w:val="20"/>
          <w:szCs w:val="20"/>
          <w:color w:val="auto"/>
        </w:rPr>
      </w:pPr>
    </w:p>
    <w:p>
      <w:pPr>
        <w:ind w:left="200" w:hanging="193"/>
        <w:spacing w:after="0"/>
        <w:tabs>
          <w:tab w:leader="none" w:pos="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H&amp;R Block, Inc.;</w:t>
      </w:r>
    </w:p>
    <w:p>
      <w:pPr>
        <w:spacing w:after="0" w:line="248" w:lineRule="exact"/>
        <w:rPr>
          <w:rFonts w:ascii="Arial" w:cs="Arial" w:eastAsia="Arial" w:hAnsi="Arial"/>
          <w:sz w:val="18"/>
          <w:szCs w:val="18"/>
          <w:color w:val="auto"/>
        </w:rPr>
      </w:pPr>
    </w:p>
    <w:p>
      <w:pPr>
        <w:ind w:right="200" w:firstLine="7"/>
        <w:spacing w:after="0" w:line="267" w:lineRule="auto"/>
        <w:tabs>
          <w:tab w:leader="none" w:pos="198"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2" w:lineRule="exact"/>
        <w:rPr>
          <w:rFonts w:ascii="Arial" w:cs="Arial" w:eastAsia="Arial" w:hAnsi="Arial"/>
          <w:sz w:val="18"/>
          <w:szCs w:val="18"/>
          <w:color w:val="auto"/>
        </w:rPr>
      </w:pPr>
    </w:p>
    <w:p>
      <w:pPr>
        <w:ind w:right="580" w:firstLine="7"/>
        <w:spacing w:after="0" w:line="317" w:lineRule="auto"/>
        <w:tabs>
          <w:tab w:leader="none" w:pos="198"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3" w:lineRule="exact"/>
        <w:rPr>
          <w:rFonts w:ascii="Arial" w:cs="Arial" w:eastAsia="Arial" w:hAnsi="Arial"/>
          <w:sz w:val="17"/>
          <w:szCs w:val="17"/>
          <w:color w:val="auto"/>
        </w:rPr>
      </w:pPr>
    </w:p>
    <w:p>
      <w:pPr>
        <w:jc w:val="both"/>
        <w:ind w:right="40" w:firstLine="7"/>
        <w:spacing w:after="0" w:line="276" w:lineRule="auto"/>
        <w:tabs>
          <w:tab w:leader="none" w:pos="198"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Arial" w:cs="Arial" w:eastAsia="Arial" w:hAnsi="Arial"/>
          <w:sz w:val="17"/>
          <w:szCs w:val="17"/>
          <w:color w:val="auto"/>
        </w:rPr>
      </w:pPr>
      <w:r>
        <w:rPr>
          <w:rFonts w:ascii="Arial" w:cs="Arial" w:eastAsia="Arial" w:hAnsi="Arial"/>
          <w:sz w:val="18"/>
          <w:szCs w:val="18"/>
          <w:color w:val="auto"/>
        </w:rPr>
        <w:t>15d-15(f)) for the registrant and have:</w:t>
      </w:r>
    </w:p>
    <w:p>
      <w:pPr>
        <w:spacing w:after="0" w:line="226" w:lineRule="exact"/>
        <w:rPr>
          <w:sz w:val="20"/>
          <w:szCs w:val="20"/>
          <w:color w:val="auto"/>
        </w:rPr>
      </w:pPr>
    </w:p>
    <w:p>
      <w:pPr>
        <w:ind w:right="20" w:firstLine="7"/>
        <w:spacing w:after="0" w:line="267" w:lineRule="auto"/>
        <w:tabs>
          <w:tab w:leader="none" w:pos="268"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2" w:lineRule="exact"/>
        <w:rPr>
          <w:rFonts w:ascii="Arial" w:cs="Arial" w:eastAsia="Arial" w:hAnsi="Arial"/>
          <w:sz w:val="18"/>
          <w:szCs w:val="18"/>
          <w:color w:val="auto"/>
        </w:rPr>
      </w:pPr>
    </w:p>
    <w:p>
      <w:pPr>
        <w:ind w:right="300" w:firstLine="7"/>
        <w:spacing w:after="0" w:line="267" w:lineRule="auto"/>
        <w:tabs>
          <w:tab w:leader="none" w:pos="268"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2" w:lineRule="exact"/>
        <w:rPr>
          <w:rFonts w:ascii="Arial" w:cs="Arial" w:eastAsia="Arial" w:hAnsi="Arial"/>
          <w:sz w:val="18"/>
          <w:szCs w:val="18"/>
          <w:color w:val="auto"/>
        </w:rPr>
      </w:pPr>
    </w:p>
    <w:p>
      <w:pPr>
        <w:ind w:right="260" w:firstLine="7"/>
        <w:spacing w:after="0" w:line="317" w:lineRule="auto"/>
        <w:tabs>
          <w:tab w:leader="none" w:pos="258" w:val="left"/>
        </w:tabs>
        <w:numPr>
          <w:ilvl w:val="0"/>
          <w:numId w:val="2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3" w:lineRule="exact"/>
        <w:rPr>
          <w:rFonts w:ascii="Arial" w:cs="Arial" w:eastAsia="Arial" w:hAnsi="Arial"/>
          <w:sz w:val="17"/>
          <w:szCs w:val="17"/>
          <w:color w:val="auto"/>
        </w:rPr>
      </w:pPr>
    </w:p>
    <w:p>
      <w:pPr>
        <w:ind w:right="100" w:firstLine="7"/>
        <w:spacing w:after="0" w:line="267" w:lineRule="auto"/>
        <w:tabs>
          <w:tab w:leader="none" w:pos="268"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3" w:lineRule="exact"/>
        <w:rPr>
          <w:sz w:val="20"/>
          <w:szCs w:val="20"/>
          <w:color w:val="auto"/>
        </w:rPr>
      </w:pPr>
    </w:p>
    <w:p>
      <w:pPr>
        <w:ind w:right="80" w:firstLine="7"/>
        <w:spacing w:after="0" w:line="317" w:lineRule="auto"/>
        <w:tabs>
          <w:tab w:leader="none" w:pos="198"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3" w:lineRule="exact"/>
        <w:rPr>
          <w:sz w:val="20"/>
          <w:szCs w:val="20"/>
          <w:color w:val="auto"/>
        </w:rPr>
      </w:pPr>
    </w:p>
    <w:p>
      <w:pPr>
        <w:ind w:right="720" w:firstLine="7"/>
        <w:spacing w:after="0" w:line="286" w:lineRule="auto"/>
        <w:tabs>
          <w:tab w:leader="none" w:pos="268"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6" w:lineRule="exact"/>
        <w:rPr>
          <w:rFonts w:ascii="Arial" w:cs="Arial" w:eastAsia="Arial" w:hAnsi="Arial"/>
          <w:sz w:val="18"/>
          <w:szCs w:val="18"/>
          <w:color w:val="auto"/>
        </w:rPr>
      </w:pPr>
    </w:p>
    <w:p>
      <w:pPr>
        <w:ind w:right="320" w:firstLine="7"/>
        <w:spacing w:after="0" w:line="286" w:lineRule="auto"/>
        <w:tabs>
          <w:tab w:leader="none" w:pos="268"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237"/>
        </w:trPr>
        <w:tc>
          <w:tcPr>
            <w:tcW w:w="6740" w:type="dxa"/>
            <w:vAlign w:val="bottom"/>
          </w:tcPr>
          <w:p>
            <w:pPr>
              <w:spacing w:after="0"/>
              <w:rPr>
                <w:sz w:val="20"/>
                <w:szCs w:val="20"/>
                <w:color w:val="auto"/>
              </w:rPr>
            </w:pPr>
            <w:r>
              <w:rPr>
                <w:rFonts w:ascii="Arial" w:cs="Arial" w:eastAsia="Arial" w:hAnsi="Arial"/>
                <w:sz w:val="18"/>
                <w:szCs w:val="18"/>
                <w:color w:val="auto"/>
              </w:rPr>
              <w:t>Date:   December 8, 2020</w:t>
            </w:r>
          </w:p>
        </w:tc>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Jeffrey J. Jones II</w:t>
            </w:r>
          </w:p>
        </w:tc>
      </w:tr>
      <w:tr>
        <w:trPr>
          <w:trHeight w:val="212"/>
        </w:trPr>
        <w:tc>
          <w:tcPr>
            <w:tcW w:w="6740" w:type="dxa"/>
            <w:vAlign w:val="bottom"/>
          </w:tcPr>
          <w:p>
            <w:pPr>
              <w:spacing w:after="0"/>
              <w:rPr>
                <w:sz w:val="18"/>
                <w:szCs w:val="18"/>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Jeffrey J. Jones II</w:t>
            </w:r>
          </w:p>
        </w:tc>
      </w:tr>
      <w:tr>
        <w:trPr>
          <w:trHeight w:val="184"/>
        </w:trPr>
        <w:tc>
          <w:tcPr>
            <w:tcW w:w="6740" w:type="dxa"/>
            <w:vAlign w:val="bottom"/>
          </w:tcPr>
          <w:p>
            <w:pPr>
              <w:spacing w:after="0"/>
              <w:rPr>
                <w:sz w:val="15"/>
                <w:szCs w:val="15"/>
                <w:color w:val="auto"/>
              </w:rPr>
            </w:pPr>
          </w:p>
        </w:tc>
        <w:tc>
          <w:tcPr>
            <w:tcW w:w="4480" w:type="dxa"/>
            <w:vAlign w:val="bottom"/>
          </w:tcPr>
          <w:p>
            <w:pPr>
              <w:ind w:left="20"/>
              <w:spacing w:after="0" w:line="183" w:lineRule="exact"/>
              <w:rPr>
                <w:sz w:val="20"/>
                <w:szCs w:val="20"/>
                <w:color w:val="auto"/>
              </w:rPr>
            </w:pPr>
            <w:r>
              <w:rPr>
                <w:rFonts w:ascii="Arial" w:cs="Arial" w:eastAsia="Arial" w:hAnsi="Arial"/>
                <w:sz w:val="18"/>
                <w:szCs w:val="18"/>
                <w:color w:val="auto"/>
              </w:rPr>
              <w:t>Chief Executive Officer</w:t>
            </w:r>
          </w:p>
        </w:tc>
      </w:tr>
      <w:tr>
        <w:trPr>
          <w:trHeight w:val="240"/>
        </w:trPr>
        <w:tc>
          <w:tcPr>
            <w:tcW w:w="6740" w:type="dxa"/>
            <w:vAlign w:val="bottom"/>
          </w:tcPr>
          <w:p>
            <w:pPr>
              <w:spacing w:after="0"/>
              <w:rPr>
                <w:sz w:val="20"/>
                <w:szCs w:val="20"/>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H&amp;R Block, Inc.</w:t>
            </w:r>
          </w:p>
        </w:tc>
      </w:tr>
    </w:tbl>
    <w:p>
      <w:pPr>
        <w:sectPr>
          <w:pgSz w:w="11900" w:h="16838" w:orient="portrait"/>
          <w:cols w:equalWidth="0" w:num="1">
            <w:col w:w="11240"/>
          </w:cols>
          <w:pgMar w:left="320" w:top="115"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I, Tony G. Bowen, Chief Financial Officer, certify that:</w:t>
      </w:r>
    </w:p>
    <w:p>
      <w:pPr>
        <w:spacing w:after="0" w:line="248" w:lineRule="exact"/>
        <w:rPr>
          <w:sz w:val="20"/>
          <w:szCs w:val="20"/>
          <w:color w:val="auto"/>
        </w:rPr>
      </w:pPr>
    </w:p>
    <w:p>
      <w:pPr>
        <w:ind w:left="200" w:hanging="193"/>
        <w:spacing w:after="0"/>
        <w:tabs>
          <w:tab w:leader="none" w:pos="2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H&amp;R Block, Inc.;</w:t>
      </w:r>
    </w:p>
    <w:p>
      <w:pPr>
        <w:spacing w:after="0" w:line="248" w:lineRule="exact"/>
        <w:rPr>
          <w:rFonts w:ascii="Arial" w:cs="Arial" w:eastAsia="Arial" w:hAnsi="Arial"/>
          <w:sz w:val="18"/>
          <w:szCs w:val="18"/>
          <w:color w:val="auto"/>
        </w:rPr>
      </w:pPr>
    </w:p>
    <w:p>
      <w:pPr>
        <w:ind w:right="200" w:firstLine="7"/>
        <w:spacing w:after="0" w:line="267" w:lineRule="auto"/>
        <w:tabs>
          <w:tab w:leader="none" w:pos="198"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2" w:lineRule="exact"/>
        <w:rPr>
          <w:rFonts w:ascii="Arial" w:cs="Arial" w:eastAsia="Arial" w:hAnsi="Arial"/>
          <w:sz w:val="18"/>
          <w:szCs w:val="18"/>
          <w:color w:val="auto"/>
        </w:rPr>
      </w:pPr>
    </w:p>
    <w:p>
      <w:pPr>
        <w:ind w:right="580" w:firstLine="7"/>
        <w:spacing w:after="0" w:line="317" w:lineRule="auto"/>
        <w:tabs>
          <w:tab w:leader="none" w:pos="198"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3" w:lineRule="exact"/>
        <w:rPr>
          <w:rFonts w:ascii="Arial" w:cs="Arial" w:eastAsia="Arial" w:hAnsi="Arial"/>
          <w:sz w:val="17"/>
          <w:szCs w:val="17"/>
          <w:color w:val="auto"/>
        </w:rPr>
      </w:pPr>
    </w:p>
    <w:p>
      <w:pPr>
        <w:jc w:val="both"/>
        <w:ind w:right="40" w:firstLine="7"/>
        <w:spacing w:after="0" w:line="276" w:lineRule="auto"/>
        <w:tabs>
          <w:tab w:leader="none" w:pos="198"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Arial" w:cs="Arial" w:eastAsia="Arial" w:hAnsi="Arial"/>
          <w:sz w:val="17"/>
          <w:szCs w:val="17"/>
          <w:color w:val="auto"/>
        </w:rPr>
      </w:pPr>
      <w:r>
        <w:rPr>
          <w:rFonts w:ascii="Arial" w:cs="Arial" w:eastAsia="Arial" w:hAnsi="Arial"/>
          <w:sz w:val="18"/>
          <w:szCs w:val="18"/>
          <w:color w:val="auto"/>
        </w:rPr>
        <w:t>15d-15(f)) for the registrant and have:</w:t>
      </w:r>
    </w:p>
    <w:p>
      <w:pPr>
        <w:spacing w:after="0" w:line="226" w:lineRule="exact"/>
        <w:rPr>
          <w:sz w:val="20"/>
          <w:szCs w:val="20"/>
          <w:color w:val="auto"/>
        </w:rPr>
      </w:pPr>
    </w:p>
    <w:p>
      <w:pPr>
        <w:ind w:right="20" w:firstLine="7"/>
        <w:spacing w:after="0" w:line="267" w:lineRule="auto"/>
        <w:tabs>
          <w:tab w:leader="none" w:pos="268"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2" w:lineRule="exact"/>
        <w:rPr>
          <w:rFonts w:ascii="Arial" w:cs="Arial" w:eastAsia="Arial" w:hAnsi="Arial"/>
          <w:sz w:val="18"/>
          <w:szCs w:val="18"/>
          <w:color w:val="auto"/>
        </w:rPr>
      </w:pPr>
    </w:p>
    <w:p>
      <w:pPr>
        <w:ind w:right="300" w:firstLine="7"/>
        <w:spacing w:after="0" w:line="267" w:lineRule="auto"/>
        <w:tabs>
          <w:tab w:leader="none" w:pos="268"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2" w:lineRule="exact"/>
        <w:rPr>
          <w:rFonts w:ascii="Arial" w:cs="Arial" w:eastAsia="Arial" w:hAnsi="Arial"/>
          <w:sz w:val="18"/>
          <w:szCs w:val="18"/>
          <w:color w:val="auto"/>
        </w:rPr>
      </w:pPr>
    </w:p>
    <w:p>
      <w:pPr>
        <w:ind w:right="260" w:firstLine="7"/>
        <w:spacing w:after="0" w:line="317" w:lineRule="auto"/>
        <w:tabs>
          <w:tab w:leader="none" w:pos="258" w:val="left"/>
        </w:tabs>
        <w:numPr>
          <w:ilvl w:val="0"/>
          <w:numId w:val="3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3" w:lineRule="exact"/>
        <w:rPr>
          <w:rFonts w:ascii="Arial" w:cs="Arial" w:eastAsia="Arial" w:hAnsi="Arial"/>
          <w:sz w:val="17"/>
          <w:szCs w:val="17"/>
          <w:color w:val="auto"/>
        </w:rPr>
      </w:pPr>
    </w:p>
    <w:p>
      <w:pPr>
        <w:ind w:right="100" w:firstLine="7"/>
        <w:spacing w:after="0" w:line="267" w:lineRule="auto"/>
        <w:tabs>
          <w:tab w:leader="none" w:pos="268"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3" w:lineRule="exact"/>
        <w:rPr>
          <w:sz w:val="20"/>
          <w:szCs w:val="20"/>
          <w:color w:val="auto"/>
        </w:rPr>
      </w:pPr>
    </w:p>
    <w:p>
      <w:pPr>
        <w:ind w:right="80" w:firstLine="7"/>
        <w:spacing w:after="0" w:line="317" w:lineRule="auto"/>
        <w:tabs>
          <w:tab w:leader="none" w:pos="198"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3" w:lineRule="exact"/>
        <w:rPr>
          <w:sz w:val="20"/>
          <w:szCs w:val="20"/>
          <w:color w:val="auto"/>
        </w:rPr>
      </w:pPr>
    </w:p>
    <w:p>
      <w:pPr>
        <w:ind w:right="720" w:firstLine="7"/>
        <w:spacing w:after="0" w:line="286" w:lineRule="auto"/>
        <w:tabs>
          <w:tab w:leader="none" w:pos="268"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6" w:lineRule="exact"/>
        <w:rPr>
          <w:rFonts w:ascii="Arial" w:cs="Arial" w:eastAsia="Arial" w:hAnsi="Arial"/>
          <w:sz w:val="18"/>
          <w:szCs w:val="18"/>
          <w:color w:val="auto"/>
        </w:rPr>
      </w:pPr>
    </w:p>
    <w:p>
      <w:pPr>
        <w:ind w:right="320" w:firstLine="7"/>
        <w:spacing w:after="0" w:line="286" w:lineRule="auto"/>
        <w:tabs>
          <w:tab w:leader="none" w:pos="268"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237"/>
        </w:trPr>
        <w:tc>
          <w:tcPr>
            <w:tcW w:w="6740" w:type="dxa"/>
            <w:vAlign w:val="bottom"/>
          </w:tcPr>
          <w:p>
            <w:pPr>
              <w:spacing w:after="0"/>
              <w:rPr>
                <w:sz w:val="20"/>
                <w:szCs w:val="20"/>
                <w:color w:val="auto"/>
              </w:rPr>
            </w:pPr>
            <w:r>
              <w:rPr>
                <w:rFonts w:ascii="Arial" w:cs="Arial" w:eastAsia="Arial" w:hAnsi="Arial"/>
                <w:sz w:val="18"/>
                <w:szCs w:val="18"/>
                <w:color w:val="auto"/>
              </w:rPr>
              <w:t>Date:   December 8, 2020</w:t>
            </w:r>
          </w:p>
        </w:tc>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Tony G. Bowen</w:t>
            </w:r>
          </w:p>
        </w:tc>
      </w:tr>
      <w:tr>
        <w:trPr>
          <w:trHeight w:val="212"/>
        </w:trPr>
        <w:tc>
          <w:tcPr>
            <w:tcW w:w="6740" w:type="dxa"/>
            <w:vAlign w:val="bottom"/>
          </w:tcPr>
          <w:p>
            <w:pPr>
              <w:spacing w:after="0"/>
              <w:rPr>
                <w:sz w:val="18"/>
                <w:szCs w:val="18"/>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Tony G. Bowen</w:t>
            </w:r>
          </w:p>
        </w:tc>
      </w:tr>
      <w:tr>
        <w:trPr>
          <w:trHeight w:val="184"/>
        </w:trPr>
        <w:tc>
          <w:tcPr>
            <w:tcW w:w="6740" w:type="dxa"/>
            <w:vAlign w:val="bottom"/>
          </w:tcPr>
          <w:p>
            <w:pPr>
              <w:spacing w:after="0"/>
              <w:rPr>
                <w:sz w:val="15"/>
                <w:szCs w:val="15"/>
                <w:color w:val="auto"/>
              </w:rPr>
            </w:pPr>
          </w:p>
        </w:tc>
        <w:tc>
          <w:tcPr>
            <w:tcW w:w="4480" w:type="dxa"/>
            <w:vAlign w:val="bottom"/>
          </w:tcPr>
          <w:p>
            <w:pPr>
              <w:ind w:left="20"/>
              <w:spacing w:after="0" w:line="183" w:lineRule="exact"/>
              <w:rPr>
                <w:sz w:val="20"/>
                <w:szCs w:val="20"/>
                <w:color w:val="auto"/>
              </w:rPr>
            </w:pPr>
            <w:r>
              <w:rPr>
                <w:rFonts w:ascii="Arial" w:cs="Arial" w:eastAsia="Arial" w:hAnsi="Arial"/>
                <w:sz w:val="18"/>
                <w:szCs w:val="18"/>
                <w:color w:val="auto"/>
              </w:rPr>
              <w:t>Chief Financial Officer</w:t>
            </w:r>
          </w:p>
        </w:tc>
      </w:tr>
      <w:tr>
        <w:trPr>
          <w:trHeight w:val="240"/>
        </w:trPr>
        <w:tc>
          <w:tcPr>
            <w:tcW w:w="6740" w:type="dxa"/>
            <w:vAlign w:val="bottom"/>
          </w:tcPr>
          <w:p>
            <w:pPr>
              <w:spacing w:after="0"/>
              <w:rPr>
                <w:sz w:val="20"/>
                <w:szCs w:val="20"/>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H&amp;R Block, Inc.</w:t>
            </w:r>
          </w:p>
        </w:tc>
      </w:tr>
    </w:tbl>
    <w:p>
      <w:pPr>
        <w:sectPr>
          <w:pgSz w:w="11900" w:h="16838" w:orient="portrait"/>
          <w:cols w:equalWidth="0" w:num="1">
            <w:col w:w="11240"/>
          </w:cols>
          <w:pgMar w:left="320" w:top="116"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6" w:lineRule="exact"/>
        <w:rPr>
          <w:sz w:val="20"/>
          <w:szCs w:val="20"/>
          <w:color w:val="auto"/>
        </w:rPr>
      </w:pPr>
    </w:p>
    <w:p>
      <w:pPr>
        <w:jc w:val="both"/>
        <w:ind w:firstLine="220"/>
        <w:spacing w:after="0" w:line="231" w:lineRule="exact"/>
        <w:rPr>
          <w:sz w:val="20"/>
          <w:szCs w:val="20"/>
          <w:color w:val="auto"/>
        </w:rPr>
      </w:pPr>
      <w:r>
        <w:rPr>
          <w:rFonts w:ascii="Arial" w:cs="Arial" w:eastAsia="Arial" w:hAnsi="Arial"/>
          <w:sz w:val="18"/>
          <w:szCs w:val="18"/>
          <w:color w:val="auto"/>
        </w:rPr>
        <w:t>In connection with the quarterly report of H&amp;R Block, Inc. (the “Company”) on Form 10</w:t>
      </w:r>
      <w:r>
        <w:rPr>
          <w:rFonts w:ascii="MS PGothic" w:cs="MS PGothic" w:eastAsia="MS PGothic" w:hAnsi="MS PGothic"/>
          <w:sz w:val="18"/>
          <w:szCs w:val="18"/>
          <w:color w:val="auto"/>
        </w:rPr>
        <w:t>‑</w:t>
      </w:r>
      <w:r>
        <w:rPr>
          <w:rFonts w:ascii="Arial" w:cs="Arial" w:eastAsia="Arial" w:hAnsi="Arial"/>
          <w:sz w:val="18"/>
          <w:szCs w:val="18"/>
          <w:color w:val="auto"/>
        </w:rPr>
        <w:t>Q for the fiscal quarter ending October 31, 2020 as filed with the Securities and Exchange Commission on the date hereof (the “Report”), I, Jeffrey J. Jones II, Chief Executive Officer of the Company, certify pursuant to 18 U.S.C. § 1350, as adopted pursuant to § 906 of the Sarbanes-Oxley Act of 2002, that:</w:t>
      </w:r>
    </w:p>
    <w:p>
      <w:pPr>
        <w:spacing w:after="0" w:line="217" w:lineRule="exact"/>
        <w:rPr>
          <w:sz w:val="20"/>
          <w:szCs w:val="20"/>
          <w:color w:val="auto"/>
        </w:rPr>
      </w:pPr>
    </w:p>
    <w:p>
      <w:pPr>
        <w:ind w:left="1300" w:hanging="650"/>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48" w:lineRule="exact"/>
        <w:rPr>
          <w:rFonts w:ascii="Arial" w:cs="Arial" w:eastAsia="Arial" w:hAnsi="Arial"/>
          <w:sz w:val="18"/>
          <w:szCs w:val="18"/>
          <w:color w:val="auto"/>
        </w:rPr>
      </w:pPr>
    </w:p>
    <w:p>
      <w:pPr>
        <w:ind w:left="1300" w:hanging="650"/>
        <w:spacing w:after="0" w:line="286" w:lineRule="auto"/>
        <w:tabs>
          <w:tab w:leader="none" w:pos="1317"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6"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/s/ Jeffrey J. Jones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5029200</wp:posOffset>
            </wp:positionH>
            <wp:positionV relativeFrom="paragraph">
              <wp:posOffset>19050</wp:posOffset>
            </wp:positionV>
            <wp:extent cx="21088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3"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Jeffrey J. Jones II</w:t>
      </w:r>
    </w:p>
    <w:p>
      <w:pPr>
        <w:ind w:left="7940"/>
        <w:spacing w:after="0" w:line="201"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H&amp;R Block, Inc.</w:t>
      </w:r>
    </w:p>
    <w:p>
      <w:pPr>
        <w:spacing w:after="0" w:line="11"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December 8, 2020</w:t>
      </w:r>
    </w:p>
    <w:p>
      <w:pPr>
        <w:sectPr>
          <w:pgSz w:w="11900" w:h="16838" w:orient="portrait"/>
          <w:cols w:equalWidth="0" w:num="1">
            <w:col w:w="11240"/>
          </w:cols>
          <w:pgMar w:left="320" w:top="116"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6" w:lineRule="exact"/>
        <w:rPr>
          <w:sz w:val="20"/>
          <w:szCs w:val="20"/>
          <w:color w:val="auto"/>
        </w:rPr>
      </w:pPr>
    </w:p>
    <w:p>
      <w:pPr>
        <w:jc w:val="both"/>
        <w:ind w:firstLine="220"/>
        <w:spacing w:after="0" w:line="231" w:lineRule="exact"/>
        <w:rPr>
          <w:sz w:val="20"/>
          <w:szCs w:val="20"/>
          <w:color w:val="auto"/>
        </w:rPr>
      </w:pPr>
      <w:r>
        <w:rPr>
          <w:rFonts w:ascii="Arial" w:cs="Arial" w:eastAsia="Arial" w:hAnsi="Arial"/>
          <w:sz w:val="18"/>
          <w:szCs w:val="18"/>
          <w:color w:val="auto"/>
        </w:rPr>
        <w:t>In connection with the quarterly report of H&amp;R Block, Inc. (the “Company”) on Form 10</w:t>
      </w:r>
      <w:r>
        <w:rPr>
          <w:rFonts w:ascii="MS PGothic" w:cs="MS PGothic" w:eastAsia="MS PGothic" w:hAnsi="MS PGothic"/>
          <w:sz w:val="18"/>
          <w:szCs w:val="18"/>
          <w:color w:val="auto"/>
        </w:rPr>
        <w:t>‑</w:t>
      </w:r>
      <w:r>
        <w:rPr>
          <w:rFonts w:ascii="Arial" w:cs="Arial" w:eastAsia="Arial" w:hAnsi="Arial"/>
          <w:sz w:val="18"/>
          <w:szCs w:val="18"/>
          <w:color w:val="auto"/>
        </w:rPr>
        <w:t xml:space="preserve"> Q for the fiscal quarter ending October 31, 2020 as filed with the Securities and Exchange Commission on the date hereof (the “Report”), I, Tony G. Bowen, Chief Financial Officer of the Company, certify pursuant to 18 U.S.C. § 1350, as adopted pursuant to § 906 of the Sarbanes-Oxley Act of 2002, that:</w:t>
      </w:r>
    </w:p>
    <w:p>
      <w:pPr>
        <w:spacing w:after="0" w:line="217" w:lineRule="exact"/>
        <w:rPr>
          <w:sz w:val="20"/>
          <w:szCs w:val="20"/>
          <w:color w:val="auto"/>
        </w:rPr>
      </w:pPr>
    </w:p>
    <w:p>
      <w:pPr>
        <w:ind w:left="1300" w:hanging="650"/>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48" w:lineRule="exact"/>
        <w:rPr>
          <w:rFonts w:ascii="Arial" w:cs="Arial" w:eastAsia="Arial" w:hAnsi="Arial"/>
          <w:sz w:val="18"/>
          <w:szCs w:val="18"/>
          <w:color w:val="auto"/>
        </w:rPr>
      </w:pPr>
    </w:p>
    <w:p>
      <w:pPr>
        <w:ind w:left="1300" w:hanging="650"/>
        <w:spacing w:after="0" w:line="286" w:lineRule="auto"/>
        <w:tabs>
          <w:tab w:leader="none" w:pos="1317"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24"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/s/ Tony G. Bowen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5029200</wp:posOffset>
            </wp:positionH>
            <wp:positionV relativeFrom="paragraph">
              <wp:posOffset>19050</wp:posOffset>
            </wp:positionV>
            <wp:extent cx="21088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3"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Tony G. Bowen</w:t>
      </w:r>
    </w:p>
    <w:p>
      <w:pPr>
        <w:ind w:left="7940"/>
        <w:spacing w:after="0" w:line="201"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H&amp;R Block, Inc.</w:t>
      </w:r>
    </w:p>
    <w:p>
      <w:pPr>
        <w:spacing w:after="0" w:line="11"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December 8, 2020</w:t>
      </w:r>
    </w:p>
    <w:sectPr>
      <w:pgSz w:w="11900" w:h="16838" w:orient="portrait"/>
      <w:cols w:equalWidth="0" w:num="1">
        <w:col w:w="11240"/>
      </w:cols>
      <w:pgMar w:left="320" w:top="11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2"/>
      <w:numFmt w:val="bullet"/>
      <w:start w:val="1"/>
    </w:lvl>
  </w:abstractNum>
  <w:abstractNum w:abstractNumId="3">
    <w:nsid w:val="436C6125"/>
    <w:multiLevelType w:val="hybridMultilevel"/>
    <w:lvl w:ilvl="0">
      <w:lvlJc w:val="left"/>
      <w:lvlText w:val="(%1)"/>
      <w:numFmt w:val="decimal"/>
      <w:start w:val="1"/>
    </w:lvl>
  </w:abstractNum>
  <w:abstractNum w:abstractNumId="4">
    <w:nsid w:val="628C895D"/>
    <w:multiLevelType w:val="hybridMultilevel"/>
    <w:lvl w:ilvl="0">
      <w:lvlJc w:val="left"/>
      <w:lvlText w:val="4"/>
      <w:numFmt w:val="bullet"/>
      <w:start w:val="1"/>
    </w:lvl>
  </w:abstractNum>
  <w:abstractNum w:abstractNumId="5">
    <w:nsid w:val="333AB105"/>
    <w:multiLevelType w:val="hybridMultilevel"/>
    <w:lvl w:ilvl="0">
      <w:lvlJc w:val="left"/>
      <w:lvlText w:val="(%1)"/>
      <w:numFmt w:val="decimal"/>
      <w:start w:val="1"/>
    </w:lvl>
  </w:abstractNum>
  <w:abstractNum w:abstractNumId="6">
    <w:nsid w:val="721DA317"/>
    <w:multiLevelType w:val="hybridMultilevel"/>
    <w:lvl w:ilvl="0">
      <w:lvlJc w:val="left"/>
      <w:lvlText w:val="6"/>
      <w:numFmt w:val="bullet"/>
      <w:start w:val="1"/>
    </w:lvl>
  </w:abstractNum>
  <w:abstractNum w:abstractNumId="7">
    <w:nsid w:val="2443A858"/>
    <w:multiLevelType w:val="hybridMultilevel"/>
    <w:lvl w:ilvl="0">
      <w:lvlJc w:val="left"/>
      <w:lvlText w:val="8"/>
      <w:numFmt w:val="bullet"/>
      <w:start w:val="1"/>
    </w:lvl>
  </w:abstractNum>
  <w:abstractNum w:abstractNumId="8">
    <w:nsid w:val="2D1D5AE9"/>
    <w:multiLevelType w:val="hybridMultilevel"/>
    <w:lvl w:ilvl="0">
      <w:lvlJc w:val="left"/>
      <w:lvlText w:val="(%1)"/>
      <w:numFmt w:val="decimal"/>
      <w:start w:val="1"/>
    </w:lvl>
  </w:abstractNum>
  <w:abstractNum w:abstractNumId="9">
    <w:nsid w:val="6763845E"/>
    <w:multiLevelType w:val="hybridMultilevel"/>
    <w:lvl w:ilvl="0">
      <w:lvlJc w:val="left"/>
      <w:lvlText w:val="%1"/>
      <w:numFmt w:val="decimal"/>
      <w:start w:val="10"/>
    </w:lvl>
  </w:abstractNum>
  <w:abstractNum w:abstractNumId="10">
    <w:nsid w:val="75A2A8D4"/>
    <w:multiLevelType w:val="hybridMultilevel"/>
    <w:lvl w:ilvl="0">
      <w:lvlJc w:val="left"/>
      <w:lvlText w:val="(%1)"/>
      <w:numFmt w:val="decimal"/>
      <w:start w:val="1"/>
    </w:lvl>
  </w:abstractNum>
  <w:abstractNum w:abstractNumId="11">
    <w:nsid w:val="8EDBDAB"/>
    <w:multiLevelType w:val="hybridMultilevel"/>
    <w:lvl w:ilvl="0">
      <w:lvlJc w:val="left"/>
      <w:lvlText w:val="(%1)"/>
      <w:numFmt w:val="decimal"/>
      <w:start w:val="2"/>
    </w:lvl>
  </w:abstractNum>
  <w:abstractNum w:abstractNumId="12">
    <w:nsid w:val="79838CB2"/>
    <w:multiLevelType w:val="hybridMultilevel"/>
    <w:lvl w:ilvl="0">
      <w:lvlJc w:val="left"/>
      <w:lvlText w:val="%1"/>
      <w:numFmt w:val="decimal"/>
      <w:start w:val="12"/>
    </w:lvl>
  </w:abstractNum>
  <w:abstractNum w:abstractNumId="13">
    <w:nsid w:val="4353D0CD"/>
    <w:multiLevelType w:val="hybridMultilevel"/>
    <w:lvl w:ilvl="0">
      <w:lvlJc w:val="left"/>
      <w:lvlText w:val="%1"/>
      <w:numFmt w:val="decimal"/>
      <w:start w:val="14"/>
    </w:lvl>
  </w:abstractNum>
  <w:abstractNum w:abstractNumId="14">
    <w:nsid w:val="B03E0C6"/>
    <w:multiLevelType w:val="hybridMultilevel"/>
    <w:lvl w:ilvl="0">
      <w:lvlJc w:val="left"/>
      <w:lvlText w:val="%1"/>
      <w:numFmt w:val="decimal"/>
      <w:start w:val="16"/>
    </w:lvl>
  </w:abstractNum>
  <w:abstractNum w:abstractNumId="15">
    <w:nsid w:val="189A769B"/>
    <w:multiLevelType w:val="hybridMultilevel"/>
    <w:lvl w:ilvl="0">
      <w:lvlJc w:val="left"/>
      <w:lvlText w:val="%1"/>
      <w:numFmt w:val="decimal"/>
      <w:start w:val="18"/>
    </w:lvl>
  </w:abstractNum>
  <w:abstractNum w:abstractNumId="16">
    <w:nsid w:val="54E49EB4"/>
    <w:multiLevelType w:val="hybridMultilevel"/>
    <w:lvl w:ilvl="0">
      <w:lvlJc w:val="left"/>
      <w:lvlText w:val="%1"/>
      <w:numFmt w:val="decimal"/>
      <w:start w:val="20"/>
    </w:lvl>
  </w:abstractNum>
  <w:abstractNum w:abstractNumId="17">
    <w:nsid w:val="71F32454"/>
    <w:multiLevelType w:val="hybridMultilevel"/>
    <w:lvl w:ilvl="0">
      <w:lvlJc w:val="left"/>
      <w:lvlText w:val="(%1)"/>
      <w:numFmt w:val="decimal"/>
      <w:start w:val="1"/>
    </w:lvl>
  </w:abstractNum>
  <w:abstractNum w:abstractNumId="18">
    <w:nsid w:val="2CA88611"/>
    <w:multiLevelType w:val="hybridMultilevel"/>
    <w:lvl w:ilvl="0">
      <w:lvlJc w:val="left"/>
      <w:lvlText w:val="(%1)"/>
      <w:numFmt w:val="decimal"/>
      <w:start w:val="1"/>
    </w:lvl>
  </w:abstractNum>
  <w:abstractNum w:abstractNumId="19">
    <w:nsid w:val="836C40E"/>
    <w:multiLevelType w:val="hybridMultilevel"/>
    <w:lvl w:ilvl="0">
      <w:lvlJc w:val="left"/>
      <w:lvlText w:val="%1"/>
      <w:numFmt w:val="decimal"/>
      <w:start w:val="22"/>
    </w:lvl>
  </w:abstractNum>
  <w:abstractNum w:abstractNumId="20">
    <w:nsid w:val="2901D82"/>
    <w:multiLevelType w:val="hybridMultilevel"/>
    <w:lvl w:ilvl="0">
      <w:lvlJc w:val="left"/>
      <w:lvlText w:val="(%1)"/>
      <w:numFmt w:val="decimal"/>
      <w:start w:val="1"/>
    </w:lvl>
  </w:abstractNum>
  <w:abstractNum w:abstractNumId="21">
    <w:nsid w:val="3A95F874"/>
    <w:multiLevelType w:val="hybridMultilevel"/>
    <w:lvl w:ilvl="0">
      <w:lvlJc w:val="left"/>
      <w:lvlText w:val="%1"/>
      <w:numFmt w:val="decimal"/>
      <w:start w:val="24"/>
    </w:lvl>
  </w:abstractNum>
  <w:abstractNum w:abstractNumId="22">
    <w:nsid w:val="8138641"/>
    <w:multiLevelType w:val="hybridMultilevel"/>
    <w:lvl w:ilvl="0">
      <w:lvlJc w:val="left"/>
      <w:lvlText w:val="%1"/>
      <w:numFmt w:val="decimal"/>
      <w:start w:val="26"/>
    </w:lvl>
  </w:abstractNum>
  <w:abstractNum w:abstractNumId="23">
    <w:nsid w:val="1E7FF521"/>
    <w:multiLevelType w:val="hybridMultilevel"/>
    <w:lvl w:ilvl="0">
      <w:lvlJc w:val="left"/>
      <w:lvlText w:val="%1"/>
      <w:numFmt w:val="decimal"/>
      <w:start w:val="28"/>
    </w:lvl>
  </w:abstractNum>
  <w:abstractNum w:abstractNumId="24">
    <w:nsid w:val="7C3DBD3D"/>
    <w:multiLevelType w:val="hybridMultilevel"/>
    <w:lvl w:ilvl="0">
      <w:lvlJc w:val="left"/>
      <w:lvlText w:val="%1"/>
      <w:numFmt w:val="decimal"/>
      <w:start w:val="30"/>
    </w:lvl>
  </w:abstractNum>
  <w:abstractNum w:abstractNumId="25">
    <w:nsid w:val="737B8DDC"/>
    <w:multiLevelType w:val="hybridMultilevel"/>
    <w:lvl w:ilvl="0">
      <w:lvlJc w:val="left"/>
      <w:lvlText w:val="(%1)"/>
      <w:numFmt w:val="decimal"/>
      <w:start w:val="1"/>
    </w:lvl>
  </w:abstractNum>
  <w:abstractNum w:abstractNumId="26">
    <w:nsid w:val="6CEAF087"/>
    <w:multiLevelType w:val="hybridMultilevel"/>
    <w:lvl w:ilvl="0">
      <w:lvlJc w:val="left"/>
      <w:lvlText w:val="%1"/>
      <w:numFmt w:val="decimal"/>
      <w:start w:val="32"/>
    </w:lvl>
  </w:abstractNum>
  <w:abstractNum w:abstractNumId="27">
    <w:nsid w:val="22221A70"/>
    <w:multiLevelType w:val="hybridMultilevel"/>
    <w:lvl w:ilvl="0">
      <w:lvlJc w:val="left"/>
      <w:lvlText w:val="%1."/>
      <w:numFmt w:val="decimal"/>
      <w:start w:val="1"/>
    </w:lvl>
  </w:abstractNum>
  <w:abstractNum w:abstractNumId="28">
    <w:nsid w:val="4516DDE9"/>
    <w:multiLevelType w:val="hybridMultilevel"/>
    <w:lvl w:ilvl="0">
      <w:lvlJc w:val="left"/>
      <w:lvlText w:val="(%1)"/>
      <w:numFmt w:val="lowerLetter"/>
      <w:start w:val="1"/>
    </w:lvl>
  </w:abstractNum>
  <w:abstractNum w:abstractNumId="29">
    <w:nsid w:val="3006C83E"/>
    <w:multiLevelType w:val="hybridMultilevel"/>
    <w:lvl w:ilvl="0">
      <w:lvlJc w:val="left"/>
      <w:lvlText w:val="%1."/>
      <w:numFmt w:val="decimal"/>
      <w:start w:val="5"/>
    </w:lvl>
  </w:abstractNum>
  <w:abstractNum w:abstractNumId="30">
    <w:nsid w:val="614FD4A1"/>
    <w:multiLevelType w:val="hybridMultilevel"/>
    <w:lvl w:ilvl="0">
      <w:lvlJc w:val="left"/>
      <w:lvlText w:val="(%1)"/>
      <w:numFmt w:val="lowerLetter"/>
      <w:start w:val="1"/>
    </w:lvl>
  </w:abstractNum>
  <w:abstractNum w:abstractNumId="31">
    <w:nsid w:val="419AC241"/>
    <w:multiLevelType w:val="hybridMultilevel"/>
    <w:lvl w:ilvl="0">
      <w:lvlJc w:val="left"/>
      <w:lvlText w:val="%1."/>
      <w:numFmt w:val="decimal"/>
      <w:start w:val="1"/>
    </w:lvl>
  </w:abstractNum>
  <w:abstractNum w:abstractNumId="32">
    <w:nsid w:val="5577F8E1"/>
    <w:multiLevelType w:val="hybridMultilevel"/>
    <w:lvl w:ilvl="0">
      <w:lvlJc w:val="left"/>
      <w:lvlText w:val="(%1)"/>
      <w:numFmt w:val="lowerLetter"/>
      <w:start w:val="1"/>
    </w:lvl>
  </w:abstractNum>
  <w:abstractNum w:abstractNumId="33">
    <w:nsid w:val="440BADFC"/>
    <w:multiLevelType w:val="hybridMultilevel"/>
    <w:lvl w:ilvl="0">
      <w:lvlJc w:val="left"/>
      <w:lvlText w:val="%1."/>
      <w:numFmt w:val="decimal"/>
      <w:start w:val="5"/>
    </w:lvl>
  </w:abstractNum>
  <w:abstractNum w:abstractNumId="34">
    <w:nsid w:val="5072367"/>
    <w:multiLevelType w:val="hybridMultilevel"/>
    <w:lvl w:ilvl="0">
      <w:lvlJc w:val="left"/>
      <w:lvlText w:val="(%1)"/>
      <w:numFmt w:val="lowerLetter"/>
      <w:start w:val="1"/>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2020-12-08T16:06:45Z</dcterms:created>
  <dcterms:modified xsi:type="dcterms:W3CDTF">2020-12-08T16:06:45Z</dcterms:modified>
</cp:coreProperties>
</file>