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100" w:hanging="701"/>
        <w:spacing w:after="0"/>
        <w:tabs>
          <w:tab w:leader="none" w:pos="11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ectPr>
          <w:pgSz w:w="11900" w:h="16838" w:orient="portrait"/>
          <w:cols w:equalWidth="0" w:num="1">
            <w:col w:w="11240"/>
          </w:cols>
          <w:pgMar w:left="320" w:top="249" w:right="339" w:bottom="1440" w:gutter="0" w:footer="0" w:header="0"/>
        </w:sectPr>
      </w:pPr>
    </w:p>
    <w:p>
      <w:pPr>
        <w:spacing w:after="0" w:line="41" w:lineRule="exact"/>
        <w:rPr>
          <w:sz w:val="24"/>
          <w:szCs w:val="24"/>
          <w:color w:val="auto"/>
        </w:rPr>
      </w:pPr>
    </w:p>
    <w:p>
      <w:pPr>
        <w:jc w:val="right"/>
        <w:ind w:right="5500"/>
        <w:spacing w:after="0"/>
        <w:tabs>
          <w:tab w:leader="none" w:pos="144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7"/>
          <w:szCs w:val="17"/>
          <w:b w:val="1"/>
          <w:bCs w:val="1"/>
          <w:color w:val="auto"/>
        </w:rPr>
        <w:t>January 31, 2021</w:t>
      </w:r>
    </w:p>
    <w:p>
      <w:pPr>
        <w:spacing w:after="0" w:line="15" w:lineRule="exact"/>
        <w:rPr>
          <w:sz w:val="24"/>
          <w:szCs w:val="24"/>
          <w:color w:val="auto"/>
        </w:rPr>
      </w:pPr>
    </w:p>
    <w:p>
      <w:pPr>
        <w:jc w:val="right"/>
        <w:ind w:right="5480"/>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240"/>
          </w:cols>
          <w:pgMar w:left="320" w:top="249" w:right="339" w:bottom="1440" w:gutter="0" w:footer="0" w:header="0"/>
          <w:type w:val="continuous"/>
        </w:sectPr>
      </w:pPr>
    </w:p>
    <w:p>
      <w:pPr>
        <w:spacing w:after="0" w:line="23" w:lineRule="exact"/>
        <w:rPr>
          <w:sz w:val="24"/>
          <w:szCs w:val="24"/>
          <w:color w:val="auto"/>
        </w:rPr>
      </w:pPr>
    </w:p>
    <w:p>
      <w:pPr>
        <w:ind w:left="1100" w:hanging="694"/>
        <w:spacing w:after="0"/>
        <w:tabs>
          <w:tab w:leader="none" w:pos="1100" w:val="left"/>
        </w:tabs>
        <w:numPr>
          <w:ilvl w:val="0"/>
          <w:numId w:val="2"/>
        </w:numPr>
        <w:rPr>
          <w:rFonts w:ascii="MS PGothic" w:cs="MS PGothic" w:eastAsia="MS PGothic" w:hAnsi="MS PGothic"/>
          <w:sz w:val="15"/>
          <w:szCs w:val="15"/>
          <w:color w:val="auto"/>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240"/>
          </w:cols>
          <w:pgMar w:left="320" w:top="249" w:right="339" w:bottom="1440" w:gutter="0" w:footer="0" w:header="0"/>
          <w:type w:val="continuous"/>
        </w:sectPr>
      </w:pPr>
    </w:p>
    <w:p>
      <w:pPr>
        <w:spacing w:after="0" w:line="21" w:lineRule="exact"/>
        <w:rPr>
          <w:sz w:val="24"/>
          <w:szCs w:val="24"/>
          <w:color w:val="auto"/>
        </w:rPr>
      </w:pPr>
    </w:p>
    <w:p>
      <w:pPr>
        <w:ind w:left="1100"/>
        <w:spacing w:after="0"/>
        <w:tabs>
          <w:tab w:leader="none" w:pos="4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2" w:lineRule="exact"/>
        <w:rPr>
          <w:sz w:val="24"/>
          <w:szCs w:val="24"/>
          <w:color w:val="auto"/>
        </w:rPr>
      </w:pPr>
    </w:p>
    <w:p>
      <w:pPr>
        <w:ind w:left="4220"/>
        <w:spacing w:after="0"/>
        <w:rPr>
          <w:sz w:val="20"/>
          <w:szCs w:val="20"/>
          <w:color w:val="auto"/>
        </w:rPr>
      </w:pPr>
      <w:r>
        <w:rPr>
          <w:rFonts w:ascii="Arial" w:cs="Arial" w:eastAsia="Arial" w:hAnsi="Arial"/>
          <w:sz w:val="17"/>
          <w:szCs w:val="17"/>
          <w:b w:val="1"/>
          <w:bCs w:val="1"/>
          <w:color w:val="auto"/>
        </w:rPr>
        <w:t>Commission file number 1-06089</w:t>
      </w:r>
    </w:p>
    <w:p>
      <w:pPr>
        <w:sectPr>
          <w:pgSz w:w="11900" w:h="16838" w:orient="portrait"/>
          <w:cols w:equalWidth="0" w:num="1">
            <w:col w:w="11240"/>
          </w:cols>
          <w:pgMar w:left="320" w:top="249" w:right="339" w:bottom="1440" w:gutter="0" w:footer="0" w:header="0"/>
          <w:type w:val="continuous"/>
        </w:sect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H&amp;R Block,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49" w:right="339" w:bottom="1440" w:gutter="0" w:footer="0" w:header="0"/>
          <w:type w:val="continuous"/>
        </w:sectPr>
      </w:pPr>
    </w:p>
    <w:p>
      <w:pPr>
        <w:spacing w:after="0" w:line="95"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62" w:lineRule="exact"/>
        <w:rPr>
          <w:sz w:val="24"/>
          <w:szCs w:val="24"/>
          <w:color w:val="auto"/>
        </w:rPr>
      </w:pPr>
    </w:p>
    <w:p>
      <w:pPr>
        <w:sectPr>
          <w:pgSz w:w="11900" w:h="16838" w:orient="portrait"/>
          <w:cols w:equalWidth="0" w:num="2">
            <w:col w:w="7280" w:space="720"/>
            <w:col w:w="3240"/>
          </w:cols>
          <w:pgMar w:left="320" w:top="249" w:right="339" w:bottom="1440" w:gutter="0" w:footer="0" w:header="0"/>
          <w:type w:val="continuous"/>
        </w:sectPr>
      </w:pPr>
    </w:p>
    <w:p>
      <w:pPr>
        <w:ind w:left="1900"/>
        <w:spacing w:after="0"/>
        <w:rPr>
          <w:sz w:val="20"/>
          <w:szCs w:val="20"/>
          <w:color w:val="auto"/>
        </w:rPr>
      </w:pPr>
      <w:r>
        <w:rPr>
          <w:rFonts w:ascii="Arial" w:cs="Arial" w:eastAsia="Arial" w:hAnsi="Arial"/>
          <w:sz w:val="14"/>
          <w:szCs w:val="14"/>
          <w:color w:val="auto"/>
        </w:rPr>
        <w:t>(State or other jurisdiction of</w:t>
      </w:r>
    </w:p>
    <w:p>
      <w:pPr>
        <w:spacing w:after="0" w:line="28"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color w:val="auto"/>
        </w:rPr>
        <w:t>(I.R.S. Employer</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35" w:lineRule="exact"/>
        <w:rPr>
          <w:sz w:val="24"/>
          <w:szCs w:val="24"/>
          <w:color w:val="auto"/>
        </w:rPr>
      </w:pPr>
    </w:p>
    <w:p>
      <w:pPr>
        <w:sectPr>
          <w:pgSz w:w="11900" w:h="16838" w:orient="portrait"/>
          <w:cols w:equalWidth="0" w:num="2">
            <w:col w:w="7200" w:space="720"/>
            <w:col w:w="3320"/>
          </w:cols>
          <w:pgMar w:left="320" w:top="24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H&amp;R Block Way, Kansas City, Missouri 64105</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(816) 854-3000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49" w:right="339" w:bottom="1440" w:gutter="0" w:footer="0" w:header="0"/>
          <w:type w:val="continuous"/>
        </w:sectPr>
      </w:pPr>
    </w:p>
    <w:p>
      <w:pPr>
        <w:spacing w:after="0" w:line="145"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260" w:space="720"/>
            <w:col w:w="1700" w:space="720"/>
            <w:col w:w="3840"/>
          </w:cols>
          <w:pgMar w:left="320" w:top="249" w:right="33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720" w:space="720"/>
            <w:col w:w="1800" w:space="720"/>
            <w:col w:w="3280"/>
          </w:cols>
          <w:pgMar w:left="320" w:top="249" w:right="339" w:bottom="1440" w:gutter="0" w:footer="0" w:header="0"/>
          <w:type w:val="continuous"/>
        </w:sectPr>
      </w:pPr>
    </w:p>
    <w:p>
      <w:pPr>
        <w:spacing w:after="0" w:line="8" w:lineRule="exact"/>
        <w:rPr>
          <w:sz w:val="24"/>
          <w:szCs w:val="24"/>
          <w:color w:val="auto"/>
        </w:rPr>
      </w:pPr>
    </w:p>
    <w:p>
      <w:pPr>
        <w:jc w:val="both"/>
        <w:spacing w:after="0" w:line="24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both"/>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4" w:lineRule="exact"/>
        <w:rPr>
          <w:sz w:val="24"/>
          <w:szCs w:val="24"/>
          <w:color w:val="auto"/>
        </w:rPr>
      </w:pPr>
    </w:p>
    <w:p>
      <w:pPr>
        <w:spacing w:after="0" w:line="196" w:lineRule="exact"/>
        <w:tabs>
          <w:tab w:leader="none" w:pos="1920" w:val="left"/>
          <w:tab w:leader="none" w:pos="3440" w:val="left"/>
          <w:tab w:leader="none" w:pos="5260" w:val="left"/>
          <w:tab w:leader="none" w:pos="72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7"/>
          <w:szCs w:val="17"/>
          <w:color w:val="auto"/>
        </w:rPr>
        <w:t>☐</w:t>
      </w:r>
      <w:r>
        <w:rPr>
          <w:rFonts w:ascii="Arial" w:cs="Arial" w:eastAsia="Arial" w:hAnsi="Arial"/>
          <w:sz w:val="13"/>
          <w:szCs w:val="13"/>
          <w:color w:val="auto"/>
        </w:rPr>
        <w:tab/>
        <w:t xml:space="preserve">Emerging growth company </w:t>
      </w:r>
      <w:r>
        <w:rPr>
          <w:rFonts w:ascii="MS PGothic" w:cs="MS PGothic" w:eastAsia="MS PGothic" w:hAnsi="MS PGothic"/>
          <w:sz w:val="17"/>
          <w:szCs w:val="17"/>
          <w:color w:val="auto"/>
        </w:rPr>
        <w:t>☐</w:t>
      </w:r>
    </w:p>
    <w:p>
      <w:pPr>
        <w:spacing w:after="0" w:line="285" w:lineRule="exact"/>
        <w:rPr>
          <w:sz w:val="24"/>
          <w:szCs w:val="24"/>
          <w:color w:val="auto"/>
        </w:rPr>
      </w:pPr>
    </w:p>
    <w:p>
      <w:pPr>
        <w:jc w:val="both"/>
        <w:ind w:right="2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without par value, at the close of business on February 26, 2021: 181,431,272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824865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Form 10-Q for the Period Ended January 31, 2021</w:t>
      </w:r>
    </w:p>
    <w:p>
      <w:pPr>
        <w:spacing w:after="0" w:line="112"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Table of Contents</w:t>
      </w:r>
    </w:p>
    <w:p>
      <w:pPr>
        <w:spacing w:after="0" w:line="125" w:lineRule="exact"/>
        <w:rPr>
          <w:sz w:val="20"/>
          <w:szCs w:val="20"/>
          <w:color w:val="auto"/>
        </w:rPr>
      </w:pPr>
    </w:p>
    <w:p>
      <w:pPr>
        <w:ind w:left="5120"/>
        <w:spacing w:after="0"/>
        <w:rPr>
          <w:rFonts w:ascii="Arial" w:cs="Arial" w:eastAsia="Arial" w:hAnsi="Arial"/>
          <w:sz w:val="22"/>
          <w:szCs w:val="22"/>
          <w:b w:val="1"/>
          <w:bCs w:val="1"/>
          <w:color w:val="auto"/>
        </w:rPr>
      </w:pPr>
      <w:hyperlink w:anchor="page2">
        <w:r>
          <w:rPr>
            <w:rFonts w:ascii="Arial" w:cs="Arial" w:eastAsia="Arial" w:hAnsi="Arial"/>
            <w:sz w:val="22"/>
            <w:szCs w:val="22"/>
            <w:b w:val="1"/>
            <w:bCs w:val="1"/>
            <w:color w:val="auto"/>
          </w:rPr>
          <w:t>PART I</w:t>
        </w:r>
      </w:hyperlink>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shd w:val="clear" w:color="auto" w:fill="CCEEFF"/>
          </w:tcPr>
          <w:p>
            <w:pPr>
              <w:ind w:left="20"/>
              <w:spacing w:after="0"/>
              <w:rPr>
                <w:rFonts w:ascii="Arial" w:cs="Arial" w:eastAsia="Arial" w:hAnsi="Arial"/>
                <w:sz w:val="22"/>
                <w:szCs w:val="22"/>
                <w:u w:val="single" w:color="auto"/>
                <w:color w:val="0000FF"/>
              </w:rPr>
            </w:pPr>
            <w:hyperlink w:anchor="page3">
              <w:r>
                <w:rPr>
                  <w:rFonts w:ascii="Arial" w:cs="Arial" w:eastAsia="Arial" w:hAnsi="Arial"/>
                  <w:sz w:val="22"/>
                  <w:szCs w:val="22"/>
                  <w:u w:val="single" w:color="auto"/>
                  <w:color w:val="0000FF"/>
                </w:rPr>
                <w:t>Item 1.</w:t>
              </w:r>
            </w:hyperlink>
          </w:p>
        </w:tc>
        <w:tc>
          <w:tcPr>
            <w:tcW w:w="9020" w:type="dxa"/>
            <w:vAlign w:val="bottom"/>
            <w:gridSpan w:val="3"/>
            <w:shd w:val="clear" w:color="auto" w:fill="CCEEFF"/>
          </w:tcPr>
          <w:p>
            <w:pPr>
              <w:ind w:left="160"/>
              <w:spacing w:after="0"/>
              <w:rPr>
                <w:rFonts w:ascii="Arial" w:cs="Arial" w:eastAsia="Arial" w:hAnsi="Arial"/>
                <w:sz w:val="22"/>
                <w:szCs w:val="22"/>
                <w:u w:val="single" w:color="auto"/>
                <w:color w:val="0000FF"/>
              </w:rPr>
            </w:pPr>
            <w:hyperlink w:anchor="page3">
              <w:r>
                <w:rPr>
                  <w:rFonts w:ascii="Arial" w:cs="Arial" w:eastAsia="Arial" w:hAnsi="Arial"/>
                  <w:sz w:val="22"/>
                  <w:szCs w:val="22"/>
                  <w:u w:val="single" w:color="auto"/>
                  <w:color w:val="0000FF"/>
                </w:rPr>
                <w:t>Consolidated Statements of Operations and Comprehensive Loss</w:t>
              </w:r>
            </w:hyperlink>
          </w:p>
        </w:tc>
        <w:tc>
          <w:tcPr>
            <w:tcW w:w="1220" w:type="dxa"/>
            <w:vAlign w:val="bottom"/>
            <w:shd w:val="clear" w:color="auto" w:fill="CCEEFF"/>
          </w:tcPr>
          <w:p>
            <w:pPr>
              <w:jc w:val="center"/>
              <w:ind w:right="112"/>
              <w:spacing w:after="0"/>
              <w:rPr>
                <w:rFonts w:ascii="Arial" w:cs="Arial" w:eastAsia="Arial" w:hAnsi="Arial"/>
                <w:sz w:val="22"/>
                <w:szCs w:val="22"/>
                <w:u w:val="single" w:color="auto"/>
                <w:color w:val="0000FF"/>
                <w:w w:val="97"/>
              </w:rPr>
            </w:pPr>
            <w:hyperlink w:anchor="page3">
              <w:r>
                <w:rPr>
                  <w:rFonts w:ascii="Arial" w:cs="Arial" w:eastAsia="Arial" w:hAnsi="Arial"/>
                  <w:sz w:val="22"/>
                  <w:szCs w:val="22"/>
                  <w:u w:val="single" w:color="auto"/>
                  <w:color w:val="0000FF"/>
                  <w:w w:val="97"/>
                </w:rPr>
                <w:t>1</w:t>
              </w:r>
            </w:hyperlink>
          </w:p>
        </w:tc>
      </w:tr>
      <w:tr>
        <w:trPr>
          <w:trHeight w:val="263"/>
        </w:trPr>
        <w:tc>
          <w:tcPr>
            <w:tcW w:w="1000" w:type="dxa"/>
            <w:vAlign w:val="bottom"/>
            <w:shd w:val="clear" w:color="auto" w:fill="CCEEFF"/>
          </w:tcPr>
          <w:p>
            <w:pPr>
              <w:spacing w:after="0"/>
              <w:rPr>
                <w:sz w:val="22"/>
                <w:szCs w:val="22"/>
                <w:color w:val="auto"/>
              </w:rPr>
            </w:pPr>
          </w:p>
        </w:tc>
        <w:tc>
          <w:tcPr>
            <w:tcW w:w="9020" w:type="dxa"/>
            <w:vAlign w:val="bottom"/>
            <w:gridSpan w:val="3"/>
            <w:shd w:val="clear" w:color="auto" w:fill="CCEEFF"/>
          </w:tcPr>
          <w:p>
            <w:pPr>
              <w:ind w:left="320"/>
              <w:spacing w:after="0"/>
              <w:rPr>
                <w:rFonts w:ascii="Arial" w:cs="Arial" w:eastAsia="Arial" w:hAnsi="Arial"/>
                <w:sz w:val="22"/>
                <w:szCs w:val="22"/>
                <w:u w:val="single" w:color="auto"/>
                <w:color w:val="0000FF"/>
              </w:rPr>
            </w:pPr>
            <w:hyperlink w:anchor="page3">
              <w:r>
                <w:rPr>
                  <w:rFonts w:ascii="Arial" w:cs="Arial" w:eastAsia="Arial" w:hAnsi="Arial"/>
                  <w:sz w:val="22"/>
                  <w:szCs w:val="22"/>
                  <w:u w:val="single" w:color="auto"/>
                  <w:color w:val="0000FF"/>
                </w:rPr>
                <w:t>Three and nine months ended January 31, 2021 and 2020</w:t>
              </w:r>
            </w:hyperlink>
          </w:p>
        </w:tc>
        <w:tc>
          <w:tcPr>
            <w:tcW w:w="1220" w:type="dxa"/>
            <w:vAlign w:val="bottom"/>
            <w:shd w:val="clear" w:color="auto" w:fill="CCEEFF"/>
          </w:tcPr>
          <w:p>
            <w:pPr>
              <w:spacing w:after="0"/>
              <w:rPr>
                <w:sz w:val="22"/>
                <w:szCs w:val="22"/>
                <w:color w:val="auto"/>
              </w:rPr>
            </w:pPr>
          </w:p>
        </w:tc>
      </w:tr>
      <w:tr>
        <w:trPr>
          <w:trHeight w:val="223"/>
        </w:trPr>
        <w:tc>
          <w:tcPr>
            <w:tcW w:w="1000" w:type="dxa"/>
            <w:vAlign w:val="bottom"/>
          </w:tcPr>
          <w:p>
            <w:pPr>
              <w:spacing w:after="0"/>
              <w:rPr>
                <w:sz w:val="19"/>
                <w:szCs w:val="19"/>
                <w:color w:val="auto"/>
              </w:rPr>
            </w:pPr>
          </w:p>
        </w:tc>
        <w:tc>
          <w:tcPr>
            <w:tcW w:w="9020" w:type="dxa"/>
            <w:vAlign w:val="bottom"/>
            <w:gridSpan w:val="3"/>
          </w:tcPr>
          <w:p>
            <w:pPr>
              <w:ind w:left="160"/>
              <w:spacing w:after="0" w:line="223" w:lineRule="exact"/>
              <w:rPr>
                <w:rFonts w:ascii="Arial" w:cs="Arial" w:eastAsia="Arial" w:hAnsi="Arial"/>
                <w:sz w:val="22"/>
                <w:szCs w:val="22"/>
                <w:u w:val="single" w:color="auto"/>
                <w:color w:val="0000FF"/>
              </w:rPr>
            </w:pPr>
            <w:hyperlink w:anchor="page3">
              <w:r>
                <w:rPr>
                  <w:rFonts w:ascii="Arial" w:cs="Arial" w:eastAsia="Arial" w:hAnsi="Arial"/>
                  <w:sz w:val="22"/>
                  <w:szCs w:val="22"/>
                  <w:u w:val="single" w:color="auto"/>
                  <w:color w:val="0000FF"/>
                </w:rPr>
                <w:t>Consolidated Balance Sheets</w:t>
              </w:r>
            </w:hyperlink>
          </w:p>
        </w:tc>
        <w:tc>
          <w:tcPr>
            <w:tcW w:w="1220" w:type="dxa"/>
            <w:vAlign w:val="bottom"/>
          </w:tcPr>
          <w:p>
            <w:pPr>
              <w:jc w:val="center"/>
              <w:ind w:right="112"/>
              <w:spacing w:after="0" w:line="223" w:lineRule="exact"/>
              <w:rPr>
                <w:rFonts w:ascii="Arial" w:cs="Arial" w:eastAsia="Arial" w:hAnsi="Arial"/>
                <w:sz w:val="22"/>
                <w:szCs w:val="22"/>
                <w:u w:val="single" w:color="auto"/>
                <w:color w:val="0000FF"/>
                <w:w w:val="97"/>
              </w:rPr>
            </w:pPr>
            <w:hyperlink w:anchor="page3">
              <w:r>
                <w:rPr>
                  <w:rFonts w:ascii="Arial" w:cs="Arial" w:eastAsia="Arial" w:hAnsi="Arial"/>
                  <w:sz w:val="22"/>
                  <w:szCs w:val="22"/>
                  <w:u w:val="single" w:color="auto"/>
                  <w:color w:val="0000FF"/>
                  <w:w w:val="97"/>
                </w:rPr>
                <w:t>2</w:t>
              </w:r>
            </w:hyperlink>
          </w:p>
        </w:tc>
      </w:tr>
      <w:tr>
        <w:trPr>
          <w:trHeight w:val="261"/>
        </w:trPr>
        <w:tc>
          <w:tcPr>
            <w:tcW w:w="1000" w:type="dxa"/>
            <w:vAlign w:val="bottom"/>
          </w:tcPr>
          <w:p>
            <w:pPr>
              <w:spacing w:after="0"/>
              <w:rPr>
                <w:sz w:val="22"/>
                <w:szCs w:val="22"/>
                <w:color w:val="auto"/>
              </w:rPr>
            </w:pPr>
          </w:p>
        </w:tc>
        <w:tc>
          <w:tcPr>
            <w:tcW w:w="9020" w:type="dxa"/>
            <w:vAlign w:val="bottom"/>
            <w:gridSpan w:val="3"/>
          </w:tcPr>
          <w:p>
            <w:pPr>
              <w:ind w:left="460"/>
              <w:spacing w:after="0"/>
              <w:rPr>
                <w:rFonts w:ascii="Arial" w:cs="Arial" w:eastAsia="Arial" w:hAnsi="Arial"/>
                <w:sz w:val="22"/>
                <w:szCs w:val="22"/>
                <w:u w:val="single" w:color="auto"/>
                <w:color w:val="0000FF"/>
              </w:rPr>
            </w:pPr>
            <w:hyperlink w:anchor="page3">
              <w:r>
                <w:rPr>
                  <w:rFonts w:ascii="Arial" w:cs="Arial" w:eastAsia="Arial" w:hAnsi="Arial"/>
                  <w:sz w:val="22"/>
                  <w:szCs w:val="22"/>
                  <w:u w:val="single" w:color="auto"/>
                  <w:color w:val="0000FF"/>
                </w:rPr>
                <w:t>As of January 31, 2021, January 31, 2020 and April 30, 2020</w:t>
              </w:r>
            </w:hyperlink>
          </w:p>
        </w:tc>
        <w:tc>
          <w:tcPr>
            <w:tcW w:w="1220" w:type="dxa"/>
            <w:vAlign w:val="bottom"/>
          </w:tcPr>
          <w:p>
            <w:pPr>
              <w:spacing w:after="0"/>
              <w:rPr>
                <w:sz w:val="22"/>
                <w:szCs w:val="22"/>
                <w:color w:val="auto"/>
              </w:rPr>
            </w:pPr>
          </w:p>
        </w:tc>
      </w:tr>
      <w:tr>
        <w:trPr>
          <w:trHeight w:val="225"/>
        </w:trPr>
        <w:tc>
          <w:tcPr>
            <w:tcW w:w="1000" w:type="dxa"/>
            <w:vAlign w:val="bottom"/>
            <w:shd w:val="clear" w:color="auto" w:fill="CCEEFF"/>
          </w:tcPr>
          <w:p>
            <w:pPr>
              <w:spacing w:after="0"/>
              <w:rPr>
                <w:sz w:val="19"/>
                <w:szCs w:val="19"/>
                <w:color w:val="auto"/>
              </w:rPr>
            </w:pPr>
          </w:p>
        </w:tc>
        <w:tc>
          <w:tcPr>
            <w:tcW w:w="9020" w:type="dxa"/>
            <w:vAlign w:val="bottom"/>
            <w:gridSpan w:val="3"/>
            <w:shd w:val="clear" w:color="auto" w:fill="CCEEFF"/>
          </w:tcPr>
          <w:p>
            <w:pPr>
              <w:ind w:left="160"/>
              <w:spacing w:after="0" w:line="225" w:lineRule="exact"/>
              <w:rPr>
                <w:rFonts w:ascii="Arial" w:cs="Arial" w:eastAsia="Arial" w:hAnsi="Arial"/>
                <w:sz w:val="22"/>
                <w:szCs w:val="22"/>
                <w:u w:val="single" w:color="auto"/>
                <w:color w:val="0000FF"/>
              </w:rPr>
            </w:pPr>
            <w:hyperlink w:anchor="page4">
              <w:r>
                <w:rPr>
                  <w:rFonts w:ascii="Arial" w:cs="Arial" w:eastAsia="Arial" w:hAnsi="Arial"/>
                  <w:sz w:val="22"/>
                  <w:szCs w:val="22"/>
                  <w:u w:val="single" w:color="auto"/>
                  <w:color w:val="0000FF"/>
                </w:rPr>
                <w:t>Consolidated Statements of Cash Flows</w:t>
              </w:r>
            </w:hyperlink>
          </w:p>
        </w:tc>
        <w:tc>
          <w:tcPr>
            <w:tcW w:w="1220" w:type="dxa"/>
            <w:vAlign w:val="bottom"/>
            <w:shd w:val="clear" w:color="auto" w:fill="CCEEFF"/>
          </w:tcPr>
          <w:p>
            <w:pPr>
              <w:jc w:val="center"/>
              <w:ind w:right="112"/>
              <w:spacing w:after="0" w:line="225" w:lineRule="exact"/>
              <w:rPr>
                <w:rFonts w:ascii="Arial" w:cs="Arial" w:eastAsia="Arial" w:hAnsi="Arial"/>
                <w:sz w:val="22"/>
                <w:szCs w:val="22"/>
                <w:u w:val="single" w:color="auto"/>
                <w:color w:val="0000FF"/>
                <w:w w:val="97"/>
              </w:rPr>
            </w:pPr>
            <w:hyperlink w:anchor="page4">
              <w:r>
                <w:rPr>
                  <w:rFonts w:ascii="Arial" w:cs="Arial" w:eastAsia="Arial" w:hAnsi="Arial"/>
                  <w:sz w:val="22"/>
                  <w:szCs w:val="22"/>
                  <w:u w:val="single" w:color="auto"/>
                  <w:color w:val="0000FF"/>
                  <w:w w:val="97"/>
                </w:rPr>
                <w:t>3</w:t>
              </w:r>
            </w:hyperlink>
          </w:p>
        </w:tc>
      </w:tr>
      <w:tr>
        <w:trPr>
          <w:trHeight w:val="209"/>
        </w:trPr>
        <w:tc>
          <w:tcPr>
            <w:tcW w:w="1000" w:type="dxa"/>
            <w:vAlign w:val="bottom"/>
            <w:shd w:val="clear" w:color="auto" w:fill="CCEEFF"/>
          </w:tcPr>
          <w:p>
            <w:pPr>
              <w:spacing w:after="0"/>
              <w:rPr>
                <w:sz w:val="18"/>
                <w:szCs w:val="18"/>
                <w:color w:val="auto"/>
              </w:rPr>
            </w:pPr>
          </w:p>
        </w:tc>
        <w:tc>
          <w:tcPr>
            <w:tcW w:w="9020" w:type="dxa"/>
            <w:vAlign w:val="bottom"/>
            <w:gridSpan w:val="3"/>
            <w:shd w:val="clear" w:color="auto" w:fill="CCEEFF"/>
          </w:tcPr>
          <w:p>
            <w:pPr>
              <w:ind w:left="400"/>
              <w:spacing w:after="0" w:line="209" w:lineRule="exact"/>
              <w:rPr>
                <w:rFonts w:ascii="Arial" w:cs="Arial" w:eastAsia="Arial" w:hAnsi="Arial"/>
                <w:sz w:val="22"/>
                <w:szCs w:val="22"/>
                <w:color w:val="0000FF"/>
              </w:rPr>
            </w:pPr>
            <w:hyperlink w:anchor="page4">
              <w:r>
                <w:rPr>
                  <w:rFonts w:ascii="Arial" w:cs="Arial" w:eastAsia="Arial" w:hAnsi="Arial"/>
                  <w:sz w:val="22"/>
                  <w:szCs w:val="22"/>
                  <w:u w:val="single" w:color="auto"/>
                  <w:color w:val="0000FF"/>
                </w:rPr>
                <w:t>Nine months ended January 31, 2021 and</w:t>
              </w:r>
              <w:r>
                <w:rPr>
                  <w:rFonts w:ascii="Arial" w:cs="Arial" w:eastAsia="Arial" w:hAnsi="Arial"/>
                  <w:sz w:val="22"/>
                  <w:szCs w:val="22"/>
                  <w:color w:val="0000FF"/>
                </w:rPr>
                <w:t xml:space="preserve"> 2020</w:t>
              </w:r>
            </w:hyperlink>
          </w:p>
        </w:tc>
        <w:tc>
          <w:tcPr>
            <w:tcW w:w="1220" w:type="dxa"/>
            <w:vAlign w:val="bottom"/>
            <w:shd w:val="clear" w:color="auto" w:fill="CCEEFF"/>
          </w:tcPr>
          <w:p>
            <w:pPr>
              <w:spacing w:after="0"/>
              <w:rPr>
                <w:sz w:val="18"/>
                <w:szCs w:val="18"/>
                <w:color w:val="auto"/>
              </w:rPr>
            </w:pPr>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406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r>
      <w:tr>
        <w:trPr>
          <w:trHeight w:val="223"/>
        </w:trPr>
        <w:tc>
          <w:tcPr>
            <w:tcW w:w="1000" w:type="dxa"/>
            <w:vAlign w:val="bottom"/>
          </w:tcPr>
          <w:p>
            <w:pPr>
              <w:spacing w:after="0"/>
              <w:rPr>
                <w:sz w:val="19"/>
                <w:szCs w:val="19"/>
                <w:color w:val="auto"/>
              </w:rPr>
            </w:pPr>
          </w:p>
        </w:tc>
        <w:tc>
          <w:tcPr>
            <w:tcW w:w="9020" w:type="dxa"/>
            <w:vAlign w:val="bottom"/>
            <w:gridSpan w:val="3"/>
          </w:tcPr>
          <w:p>
            <w:pPr>
              <w:ind w:left="160"/>
              <w:spacing w:after="0" w:line="223" w:lineRule="exact"/>
              <w:rPr>
                <w:rFonts w:ascii="Arial" w:cs="Arial" w:eastAsia="Arial" w:hAnsi="Arial"/>
                <w:sz w:val="22"/>
                <w:szCs w:val="22"/>
                <w:u w:val="single" w:color="auto"/>
                <w:color w:val="0000FF"/>
              </w:rPr>
            </w:pPr>
            <w:hyperlink w:anchor="page5">
              <w:r>
                <w:rPr>
                  <w:rFonts w:ascii="Arial" w:cs="Arial" w:eastAsia="Arial" w:hAnsi="Arial"/>
                  <w:sz w:val="22"/>
                  <w:szCs w:val="22"/>
                  <w:u w:val="single" w:color="auto"/>
                  <w:color w:val="0000FF"/>
                </w:rPr>
                <w:t>Consolidated Statements of Stockholders' Equity</w:t>
              </w:r>
            </w:hyperlink>
          </w:p>
        </w:tc>
        <w:tc>
          <w:tcPr>
            <w:tcW w:w="1220" w:type="dxa"/>
            <w:vAlign w:val="bottom"/>
          </w:tcPr>
          <w:p>
            <w:pPr>
              <w:jc w:val="center"/>
              <w:ind w:right="112"/>
              <w:spacing w:after="0" w:line="223" w:lineRule="exact"/>
              <w:rPr>
                <w:rFonts w:ascii="Arial" w:cs="Arial" w:eastAsia="Arial" w:hAnsi="Arial"/>
                <w:sz w:val="22"/>
                <w:szCs w:val="22"/>
                <w:u w:val="single" w:color="auto"/>
                <w:color w:val="0000FF"/>
                <w:w w:val="97"/>
              </w:rPr>
            </w:pPr>
            <w:hyperlink w:anchor="page5">
              <w:r>
                <w:rPr>
                  <w:rFonts w:ascii="Arial" w:cs="Arial" w:eastAsia="Arial" w:hAnsi="Arial"/>
                  <w:sz w:val="22"/>
                  <w:szCs w:val="22"/>
                  <w:u w:val="single" w:color="auto"/>
                  <w:color w:val="0000FF"/>
                  <w:w w:val="97"/>
                </w:rPr>
                <w:t>4</w:t>
              </w:r>
            </w:hyperlink>
          </w:p>
        </w:tc>
      </w:tr>
      <w:tr>
        <w:trPr>
          <w:trHeight w:val="261"/>
        </w:trPr>
        <w:tc>
          <w:tcPr>
            <w:tcW w:w="1000" w:type="dxa"/>
            <w:vAlign w:val="bottom"/>
          </w:tcPr>
          <w:p>
            <w:pPr>
              <w:spacing w:after="0"/>
              <w:rPr>
                <w:sz w:val="22"/>
                <w:szCs w:val="22"/>
                <w:color w:val="auto"/>
              </w:rPr>
            </w:pPr>
          </w:p>
        </w:tc>
        <w:tc>
          <w:tcPr>
            <w:tcW w:w="9020" w:type="dxa"/>
            <w:vAlign w:val="bottom"/>
            <w:gridSpan w:val="3"/>
          </w:tcPr>
          <w:p>
            <w:pPr>
              <w:ind w:left="400"/>
              <w:spacing w:after="0"/>
              <w:rPr>
                <w:rFonts w:ascii="Arial" w:cs="Arial" w:eastAsia="Arial" w:hAnsi="Arial"/>
                <w:sz w:val="22"/>
                <w:szCs w:val="22"/>
                <w:u w:val="single" w:color="auto"/>
                <w:color w:val="0000FF"/>
              </w:rPr>
            </w:pPr>
            <w:hyperlink w:anchor="page5">
              <w:r>
                <w:rPr>
                  <w:rFonts w:ascii="Arial" w:cs="Arial" w:eastAsia="Arial" w:hAnsi="Arial"/>
                  <w:sz w:val="22"/>
                  <w:szCs w:val="22"/>
                  <w:u w:val="single" w:color="auto"/>
                  <w:color w:val="0000FF"/>
                </w:rPr>
                <w:t>Three and nine months ended January 31, 2021 and 2020</w:t>
              </w:r>
            </w:hyperlink>
          </w:p>
        </w:tc>
        <w:tc>
          <w:tcPr>
            <w:tcW w:w="1220" w:type="dxa"/>
            <w:vAlign w:val="bottom"/>
          </w:tcPr>
          <w:p>
            <w:pPr>
              <w:spacing w:after="0"/>
              <w:rPr>
                <w:sz w:val="22"/>
                <w:szCs w:val="22"/>
                <w:color w:val="auto"/>
              </w:rPr>
            </w:pPr>
          </w:p>
        </w:tc>
      </w:tr>
      <w:tr>
        <w:trPr>
          <w:trHeight w:val="272"/>
        </w:trPr>
        <w:tc>
          <w:tcPr>
            <w:tcW w:w="1000" w:type="dxa"/>
            <w:vAlign w:val="bottom"/>
            <w:shd w:val="clear" w:color="auto" w:fill="CCEEFF"/>
          </w:tcPr>
          <w:p>
            <w:pPr>
              <w:spacing w:after="0"/>
              <w:rPr>
                <w:sz w:val="23"/>
                <w:szCs w:val="23"/>
                <w:color w:val="auto"/>
              </w:rPr>
            </w:pPr>
          </w:p>
        </w:tc>
        <w:tc>
          <w:tcPr>
            <w:tcW w:w="9020" w:type="dxa"/>
            <w:vAlign w:val="bottom"/>
            <w:gridSpan w:val="3"/>
            <w:shd w:val="clear" w:color="auto" w:fill="CCEEFF"/>
          </w:tcPr>
          <w:p>
            <w:pPr>
              <w:ind w:left="160"/>
              <w:spacing w:after="0"/>
              <w:rPr>
                <w:rFonts w:ascii="Arial" w:cs="Arial" w:eastAsia="Arial" w:hAnsi="Arial"/>
                <w:sz w:val="22"/>
                <w:szCs w:val="22"/>
                <w:u w:val="single" w:color="auto"/>
                <w:color w:val="0000FF"/>
              </w:rPr>
            </w:pPr>
            <w:hyperlink w:anchor="page7">
              <w:r>
                <w:rPr>
                  <w:rFonts w:ascii="Arial" w:cs="Arial" w:eastAsia="Arial" w:hAnsi="Arial"/>
                  <w:sz w:val="22"/>
                  <w:szCs w:val="22"/>
                  <w:u w:val="single" w:color="auto"/>
                  <w:color w:val="0000FF"/>
                </w:rPr>
                <w:t>Notes to Consolidated Financial Statements</w:t>
              </w:r>
            </w:hyperlink>
          </w:p>
        </w:tc>
        <w:tc>
          <w:tcPr>
            <w:tcW w:w="1220" w:type="dxa"/>
            <w:vAlign w:val="bottom"/>
            <w:shd w:val="clear" w:color="auto" w:fill="CCEEFF"/>
          </w:tcPr>
          <w:p>
            <w:pPr>
              <w:jc w:val="center"/>
              <w:ind w:right="112"/>
              <w:spacing w:after="0"/>
              <w:rPr>
                <w:rFonts w:ascii="Arial" w:cs="Arial" w:eastAsia="Arial" w:hAnsi="Arial"/>
                <w:sz w:val="22"/>
                <w:szCs w:val="22"/>
                <w:u w:val="single" w:color="auto"/>
                <w:color w:val="0000FF"/>
                <w:w w:val="97"/>
              </w:rPr>
            </w:pPr>
            <w:hyperlink w:anchor="page7">
              <w:r>
                <w:rPr>
                  <w:rFonts w:ascii="Arial" w:cs="Arial" w:eastAsia="Arial" w:hAnsi="Arial"/>
                  <w:sz w:val="22"/>
                  <w:szCs w:val="22"/>
                  <w:u w:val="single" w:color="auto"/>
                  <w:color w:val="0000FF"/>
                  <w:w w:val="97"/>
                </w:rPr>
                <w:t>6</w:t>
              </w:r>
            </w:hyperlink>
          </w:p>
        </w:tc>
      </w:tr>
      <w:tr>
        <w:trPr>
          <w:trHeight w:val="268"/>
        </w:trPr>
        <w:tc>
          <w:tcPr>
            <w:tcW w:w="1000" w:type="dxa"/>
            <w:vAlign w:val="bottom"/>
          </w:tcPr>
          <w:p>
            <w:pPr>
              <w:ind w:left="20"/>
              <w:spacing w:after="0"/>
              <w:rPr>
                <w:rFonts w:ascii="Arial" w:cs="Arial" w:eastAsia="Arial" w:hAnsi="Arial"/>
                <w:sz w:val="22"/>
                <w:szCs w:val="22"/>
                <w:u w:val="single" w:color="auto"/>
                <w:color w:val="0000FF"/>
              </w:rPr>
            </w:pPr>
            <w:hyperlink w:anchor="page21">
              <w:r>
                <w:rPr>
                  <w:rFonts w:ascii="Arial" w:cs="Arial" w:eastAsia="Arial" w:hAnsi="Arial"/>
                  <w:sz w:val="22"/>
                  <w:szCs w:val="22"/>
                  <w:u w:val="single" w:color="auto"/>
                  <w:color w:val="0000FF"/>
                </w:rPr>
                <w:t>Item 2.</w:t>
              </w:r>
            </w:hyperlink>
          </w:p>
        </w:tc>
        <w:tc>
          <w:tcPr>
            <w:tcW w:w="9020" w:type="dxa"/>
            <w:vAlign w:val="bottom"/>
            <w:gridSpan w:val="3"/>
          </w:tcPr>
          <w:p>
            <w:pPr>
              <w:ind w:left="160"/>
              <w:spacing w:after="0"/>
              <w:rPr>
                <w:rFonts w:ascii="Arial" w:cs="Arial" w:eastAsia="Arial" w:hAnsi="Arial"/>
                <w:sz w:val="22"/>
                <w:szCs w:val="22"/>
                <w:u w:val="single" w:color="auto"/>
                <w:color w:val="0000FF"/>
              </w:rPr>
            </w:pPr>
            <w:hyperlink w:anchor="page21">
              <w:r>
                <w:rPr>
                  <w:rFonts w:ascii="Arial" w:cs="Arial" w:eastAsia="Arial" w:hAnsi="Arial"/>
                  <w:sz w:val="22"/>
                  <w:szCs w:val="22"/>
                  <w:u w:val="single" w:color="auto"/>
                  <w:color w:val="0000FF"/>
                </w:rPr>
                <w:t>Management's Discussion and Analysis of Financial Condition and Results of Operations</w:t>
              </w:r>
            </w:hyperlink>
          </w:p>
        </w:tc>
        <w:tc>
          <w:tcPr>
            <w:tcW w:w="1220" w:type="dxa"/>
            <w:vAlign w:val="bottom"/>
          </w:tcPr>
          <w:p>
            <w:pPr>
              <w:jc w:val="center"/>
              <w:ind w:right="112"/>
              <w:spacing w:after="0"/>
              <w:rPr>
                <w:rFonts w:ascii="Arial" w:cs="Arial" w:eastAsia="Arial" w:hAnsi="Arial"/>
                <w:sz w:val="22"/>
                <w:szCs w:val="22"/>
                <w:u w:val="single" w:color="auto"/>
                <w:color w:val="0000FF"/>
                <w:w w:val="97"/>
              </w:rPr>
            </w:pPr>
            <w:hyperlink w:anchor="page21">
              <w:r>
                <w:rPr>
                  <w:rFonts w:ascii="Arial" w:cs="Arial" w:eastAsia="Arial" w:hAnsi="Arial"/>
                  <w:sz w:val="22"/>
                  <w:szCs w:val="22"/>
                  <w:u w:val="single" w:color="auto"/>
                  <w:color w:val="0000FF"/>
                  <w:w w:val="97"/>
                </w:rPr>
                <w:t>20</w:t>
              </w:r>
            </w:hyperlink>
          </w:p>
        </w:tc>
      </w:tr>
      <w:tr>
        <w:trPr>
          <w:trHeight w:val="272"/>
        </w:trPr>
        <w:tc>
          <w:tcPr>
            <w:tcW w:w="1000" w:type="dxa"/>
            <w:vAlign w:val="bottom"/>
            <w:shd w:val="clear" w:color="auto" w:fill="CCEEFF"/>
          </w:tcPr>
          <w:p>
            <w:pPr>
              <w:ind w:left="20"/>
              <w:spacing w:after="0"/>
              <w:rPr>
                <w:rFonts w:ascii="Arial" w:cs="Arial" w:eastAsia="Arial" w:hAnsi="Arial"/>
                <w:sz w:val="22"/>
                <w:szCs w:val="22"/>
                <w:u w:val="single" w:color="auto"/>
                <w:color w:val="0000FF"/>
              </w:rPr>
            </w:pPr>
            <w:hyperlink w:anchor="page33">
              <w:r>
                <w:rPr>
                  <w:rFonts w:ascii="Arial" w:cs="Arial" w:eastAsia="Arial" w:hAnsi="Arial"/>
                  <w:sz w:val="22"/>
                  <w:szCs w:val="22"/>
                  <w:u w:val="single" w:color="auto"/>
                  <w:color w:val="0000FF"/>
                </w:rPr>
                <w:t>Item 3.</w:t>
              </w:r>
            </w:hyperlink>
          </w:p>
        </w:tc>
        <w:tc>
          <w:tcPr>
            <w:tcW w:w="9020" w:type="dxa"/>
            <w:vAlign w:val="bottom"/>
            <w:gridSpan w:val="3"/>
            <w:shd w:val="clear" w:color="auto" w:fill="CCEEFF"/>
          </w:tcPr>
          <w:p>
            <w:pPr>
              <w:ind w:left="160"/>
              <w:spacing w:after="0"/>
              <w:rPr>
                <w:rFonts w:ascii="Arial" w:cs="Arial" w:eastAsia="Arial" w:hAnsi="Arial"/>
                <w:sz w:val="22"/>
                <w:szCs w:val="22"/>
                <w:u w:val="single" w:color="auto"/>
                <w:color w:val="0000FF"/>
              </w:rPr>
            </w:pPr>
            <w:hyperlink w:anchor="page33">
              <w:r>
                <w:rPr>
                  <w:rFonts w:ascii="Arial" w:cs="Arial" w:eastAsia="Arial" w:hAnsi="Arial"/>
                  <w:sz w:val="22"/>
                  <w:szCs w:val="22"/>
                  <w:u w:val="single" w:color="auto"/>
                  <w:color w:val="0000FF"/>
                </w:rPr>
                <w:t>Quantitative and Qualitative Disclosures About Market Risk</w:t>
              </w:r>
            </w:hyperlink>
          </w:p>
        </w:tc>
        <w:tc>
          <w:tcPr>
            <w:tcW w:w="1220" w:type="dxa"/>
            <w:vAlign w:val="bottom"/>
            <w:shd w:val="clear" w:color="auto" w:fill="CCEEFF"/>
          </w:tcPr>
          <w:p>
            <w:pPr>
              <w:jc w:val="center"/>
              <w:ind w:right="112"/>
              <w:spacing w:after="0"/>
              <w:rPr>
                <w:rFonts w:ascii="Arial" w:cs="Arial" w:eastAsia="Arial" w:hAnsi="Arial"/>
                <w:sz w:val="22"/>
                <w:szCs w:val="22"/>
                <w:u w:val="single" w:color="auto"/>
                <w:color w:val="0000FF"/>
                <w:w w:val="97"/>
              </w:rPr>
            </w:pPr>
            <w:hyperlink w:anchor="page33">
              <w:r>
                <w:rPr>
                  <w:rFonts w:ascii="Arial" w:cs="Arial" w:eastAsia="Arial" w:hAnsi="Arial"/>
                  <w:sz w:val="22"/>
                  <w:szCs w:val="22"/>
                  <w:u w:val="single" w:color="auto"/>
                  <w:color w:val="0000FF"/>
                  <w:w w:val="97"/>
                </w:rPr>
                <w:t>31</w:t>
              </w:r>
            </w:hyperlink>
          </w:p>
        </w:tc>
      </w:tr>
      <w:tr>
        <w:trPr>
          <w:trHeight w:val="268"/>
        </w:trPr>
        <w:tc>
          <w:tcPr>
            <w:tcW w:w="1000" w:type="dxa"/>
            <w:vAlign w:val="bottom"/>
          </w:tcPr>
          <w:p>
            <w:pPr>
              <w:ind w:left="20"/>
              <w:spacing w:after="0"/>
              <w:rPr>
                <w:rFonts w:ascii="Arial" w:cs="Arial" w:eastAsia="Arial" w:hAnsi="Arial"/>
                <w:sz w:val="22"/>
                <w:szCs w:val="22"/>
                <w:u w:val="single" w:color="auto"/>
                <w:color w:val="0000FF"/>
              </w:rPr>
            </w:pPr>
            <w:hyperlink w:anchor="page33">
              <w:r>
                <w:rPr>
                  <w:rFonts w:ascii="Arial" w:cs="Arial" w:eastAsia="Arial" w:hAnsi="Arial"/>
                  <w:sz w:val="22"/>
                  <w:szCs w:val="22"/>
                  <w:u w:val="single" w:color="auto"/>
                  <w:color w:val="0000FF"/>
                </w:rPr>
                <w:t>Item 4.</w:t>
              </w:r>
            </w:hyperlink>
          </w:p>
        </w:tc>
        <w:tc>
          <w:tcPr>
            <w:tcW w:w="9020" w:type="dxa"/>
            <w:vAlign w:val="bottom"/>
            <w:gridSpan w:val="3"/>
          </w:tcPr>
          <w:p>
            <w:pPr>
              <w:ind w:left="160"/>
              <w:spacing w:after="0"/>
              <w:rPr>
                <w:rFonts w:ascii="Arial" w:cs="Arial" w:eastAsia="Arial" w:hAnsi="Arial"/>
                <w:sz w:val="22"/>
                <w:szCs w:val="22"/>
                <w:u w:val="single" w:color="auto"/>
                <w:color w:val="0000FF"/>
              </w:rPr>
            </w:pPr>
            <w:hyperlink w:anchor="page33">
              <w:r>
                <w:rPr>
                  <w:rFonts w:ascii="Arial" w:cs="Arial" w:eastAsia="Arial" w:hAnsi="Arial"/>
                  <w:sz w:val="22"/>
                  <w:szCs w:val="22"/>
                  <w:u w:val="single" w:color="auto"/>
                  <w:color w:val="0000FF"/>
                </w:rPr>
                <w:t>Controls and Procedures</w:t>
              </w:r>
            </w:hyperlink>
          </w:p>
        </w:tc>
        <w:tc>
          <w:tcPr>
            <w:tcW w:w="1220" w:type="dxa"/>
            <w:vAlign w:val="bottom"/>
          </w:tcPr>
          <w:p>
            <w:pPr>
              <w:jc w:val="center"/>
              <w:ind w:right="112"/>
              <w:spacing w:after="0"/>
              <w:rPr>
                <w:rFonts w:ascii="Arial" w:cs="Arial" w:eastAsia="Arial" w:hAnsi="Arial"/>
                <w:sz w:val="22"/>
                <w:szCs w:val="22"/>
                <w:u w:val="single" w:color="auto"/>
                <w:color w:val="0000FF"/>
                <w:w w:val="97"/>
              </w:rPr>
            </w:pPr>
            <w:hyperlink w:anchor="page33">
              <w:r>
                <w:rPr>
                  <w:rFonts w:ascii="Arial" w:cs="Arial" w:eastAsia="Arial" w:hAnsi="Arial"/>
                  <w:sz w:val="22"/>
                  <w:szCs w:val="22"/>
                  <w:u w:val="single" w:color="auto"/>
                  <w:color w:val="0000FF"/>
                  <w:w w:val="97"/>
                </w:rPr>
                <w:t>31</w:t>
              </w:r>
            </w:hyperlink>
          </w:p>
        </w:tc>
      </w:tr>
      <w:tr>
        <w:trPr>
          <w:trHeight w:val="272"/>
        </w:trPr>
        <w:tc>
          <w:tcPr>
            <w:tcW w:w="1000" w:type="dxa"/>
            <w:vAlign w:val="bottom"/>
            <w:shd w:val="clear" w:color="auto" w:fill="CCEEFF"/>
          </w:tcPr>
          <w:p>
            <w:pPr>
              <w:spacing w:after="0"/>
              <w:rPr>
                <w:sz w:val="23"/>
                <w:szCs w:val="23"/>
                <w:color w:val="auto"/>
              </w:rPr>
            </w:pPr>
          </w:p>
        </w:tc>
        <w:tc>
          <w:tcPr>
            <w:tcW w:w="9020" w:type="dxa"/>
            <w:vAlign w:val="bottom"/>
            <w:gridSpan w:val="3"/>
            <w:shd w:val="clear" w:color="auto" w:fill="CCEEFF"/>
          </w:tcPr>
          <w:p>
            <w:pPr>
              <w:ind w:left="4080"/>
              <w:spacing w:after="0"/>
              <w:rPr>
                <w:rFonts w:ascii="Arial" w:cs="Arial" w:eastAsia="Arial" w:hAnsi="Arial"/>
                <w:sz w:val="22"/>
                <w:szCs w:val="22"/>
                <w:b w:val="1"/>
                <w:bCs w:val="1"/>
                <w:color w:val="auto"/>
              </w:rPr>
            </w:pPr>
            <w:hyperlink w:anchor="page33">
              <w:r>
                <w:rPr>
                  <w:rFonts w:ascii="Arial" w:cs="Arial" w:eastAsia="Arial" w:hAnsi="Arial"/>
                  <w:sz w:val="22"/>
                  <w:szCs w:val="22"/>
                  <w:b w:val="1"/>
                  <w:bCs w:val="1"/>
                  <w:color w:val="auto"/>
                </w:rPr>
                <w:t>PART II</w:t>
              </w:r>
            </w:hyperlink>
          </w:p>
        </w:tc>
        <w:tc>
          <w:tcPr>
            <w:tcW w:w="1220" w:type="dxa"/>
            <w:vAlign w:val="bottom"/>
            <w:shd w:val="clear" w:color="auto" w:fill="CCEEFF"/>
          </w:tcPr>
          <w:p>
            <w:pPr>
              <w:spacing w:after="0"/>
              <w:rPr>
                <w:sz w:val="23"/>
                <w:szCs w:val="23"/>
                <w:color w:val="auto"/>
              </w:rPr>
            </w:pPr>
          </w:p>
        </w:tc>
      </w:tr>
      <w:tr>
        <w:trPr>
          <w:trHeight w:val="268"/>
        </w:trPr>
        <w:tc>
          <w:tcPr>
            <w:tcW w:w="1000" w:type="dxa"/>
            <w:vAlign w:val="bottom"/>
          </w:tcPr>
          <w:p>
            <w:pPr>
              <w:ind w:left="20"/>
              <w:spacing w:after="0"/>
              <w:rPr>
                <w:rFonts w:ascii="Arial" w:cs="Arial" w:eastAsia="Arial" w:hAnsi="Arial"/>
                <w:sz w:val="22"/>
                <w:szCs w:val="22"/>
                <w:u w:val="single" w:color="auto"/>
                <w:color w:val="0000FF"/>
              </w:rPr>
            </w:pPr>
            <w:hyperlink w:anchor="page33">
              <w:r>
                <w:rPr>
                  <w:rFonts w:ascii="Arial" w:cs="Arial" w:eastAsia="Arial" w:hAnsi="Arial"/>
                  <w:sz w:val="22"/>
                  <w:szCs w:val="22"/>
                  <w:u w:val="single" w:color="auto"/>
                  <w:color w:val="0000FF"/>
                </w:rPr>
                <w:t>Item 1.</w:t>
              </w:r>
            </w:hyperlink>
          </w:p>
        </w:tc>
        <w:tc>
          <w:tcPr>
            <w:tcW w:w="9020" w:type="dxa"/>
            <w:vAlign w:val="bottom"/>
            <w:gridSpan w:val="3"/>
          </w:tcPr>
          <w:p>
            <w:pPr>
              <w:ind w:left="160"/>
              <w:spacing w:after="0"/>
              <w:rPr>
                <w:rFonts w:ascii="Arial" w:cs="Arial" w:eastAsia="Arial" w:hAnsi="Arial"/>
                <w:sz w:val="22"/>
                <w:szCs w:val="22"/>
                <w:u w:val="single" w:color="auto"/>
                <w:color w:val="0000FF"/>
              </w:rPr>
            </w:pPr>
            <w:hyperlink w:anchor="page33">
              <w:r>
                <w:rPr>
                  <w:rFonts w:ascii="Arial" w:cs="Arial" w:eastAsia="Arial" w:hAnsi="Arial"/>
                  <w:sz w:val="22"/>
                  <w:szCs w:val="22"/>
                  <w:u w:val="single" w:color="auto"/>
                  <w:color w:val="0000FF"/>
                </w:rPr>
                <w:t>Legal Proceedings</w:t>
              </w:r>
            </w:hyperlink>
          </w:p>
        </w:tc>
        <w:tc>
          <w:tcPr>
            <w:tcW w:w="1220" w:type="dxa"/>
            <w:vAlign w:val="bottom"/>
          </w:tcPr>
          <w:p>
            <w:pPr>
              <w:jc w:val="center"/>
              <w:ind w:right="112"/>
              <w:spacing w:after="0"/>
              <w:rPr>
                <w:rFonts w:ascii="Arial" w:cs="Arial" w:eastAsia="Arial" w:hAnsi="Arial"/>
                <w:sz w:val="22"/>
                <w:szCs w:val="22"/>
                <w:u w:val="single" w:color="auto"/>
                <w:color w:val="0000FF"/>
                <w:w w:val="97"/>
              </w:rPr>
            </w:pPr>
            <w:hyperlink w:anchor="page33">
              <w:r>
                <w:rPr>
                  <w:rFonts w:ascii="Arial" w:cs="Arial" w:eastAsia="Arial" w:hAnsi="Arial"/>
                  <w:sz w:val="22"/>
                  <w:szCs w:val="22"/>
                  <w:u w:val="single" w:color="auto"/>
                  <w:color w:val="0000FF"/>
                  <w:w w:val="97"/>
                </w:rPr>
                <w:t>31</w:t>
              </w:r>
            </w:hyperlink>
          </w:p>
        </w:tc>
      </w:tr>
      <w:tr>
        <w:trPr>
          <w:trHeight w:val="272"/>
        </w:trPr>
        <w:tc>
          <w:tcPr>
            <w:tcW w:w="1000" w:type="dxa"/>
            <w:vAlign w:val="bottom"/>
            <w:shd w:val="clear" w:color="auto" w:fill="CCEEFF"/>
          </w:tcPr>
          <w:p>
            <w:pPr>
              <w:ind w:left="20"/>
              <w:spacing w:after="0"/>
              <w:rPr>
                <w:rFonts w:ascii="Arial" w:cs="Arial" w:eastAsia="Arial" w:hAnsi="Arial"/>
                <w:sz w:val="22"/>
                <w:szCs w:val="22"/>
                <w:u w:val="single" w:color="auto"/>
                <w:color w:val="0000FF"/>
              </w:rPr>
            </w:pPr>
            <w:hyperlink w:anchor="page33">
              <w:r>
                <w:rPr>
                  <w:rFonts w:ascii="Arial" w:cs="Arial" w:eastAsia="Arial" w:hAnsi="Arial"/>
                  <w:sz w:val="22"/>
                  <w:szCs w:val="22"/>
                  <w:u w:val="single" w:color="auto"/>
                  <w:color w:val="0000FF"/>
                </w:rPr>
                <w:t>Item 1A.</w:t>
              </w:r>
            </w:hyperlink>
          </w:p>
        </w:tc>
        <w:tc>
          <w:tcPr>
            <w:tcW w:w="9020" w:type="dxa"/>
            <w:vAlign w:val="bottom"/>
            <w:gridSpan w:val="3"/>
            <w:shd w:val="clear" w:color="auto" w:fill="CCEEFF"/>
          </w:tcPr>
          <w:p>
            <w:pPr>
              <w:ind w:left="160"/>
              <w:spacing w:after="0"/>
              <w:rPr>
                <w:rFonts w:ascii="Arial" w:cs="Arial" w:eastAsia="Arial" w:hAnsi="Arial"/>
                <w:sz w:val="22"/>
                <w:szCs w:val="22"/>
                <w:u w:val="single" w:color="auto"/>
                <w:color w:val="0000FF"/>
              </w:rPr>
            </w:pPr>
            <w:hyperlink w:anchor="page33">
              <w:r>
                <w:rPr>
                  <w:rFonts w:ascii="Arial" w:cs="Arial" w:eastAsia="Arial" w:hAnsi="Arial"/>
                  <w:sz w:val="22"/>
                  <w:szCs w:val="22"/>
                  <w:u w:val="single" w:color="auto"/>
                  <w:color w:val="0000FF"/>
                </w:rPr>
                <w:t>Risk Factors</w:t>
              </w:r>
            </w:hyperlink>
          </w:p>
        </w:tc>
        <w:tc>
          <w:tcPr>
            <w:tcW w:w="1220" w:type="dxa"/>
            <w:vAlign w:val="bottom"/>
            <w:shd w:val="clear" w:color="auto" w:fill="CCEEFF"/>
          </w:tcPr>
          <w:p>
            <w:pPr>
              <w:jc w:val="center"/>
              <w:ind w:right="112"/>
              <w:spacing w:after="0"/>
              <w:rPr>
                <w:rFonts w:ascii="Arial" w:cs="Arial" w:eastAsia="Arial" w:hAnsi="Arial"/>
                <w:sz w:val="22"/>
                <w:szCs w:val="22"/>
                <w:u w:val="single" w:color="auto"/>
                <w:color w:val="0000FF"/>
                <w:w w:val="97"/>
              </w:rPr>
            </w:pPr>
            <w:hyperlink w:anchor="page33">
              <w:r>
                <w:rPr>
                  <w:rFonts w:ascii="Arial" w:cs="Arial" w:eastAsia="Arial" w:hAnsi="Arial"/>
                  <w:sz w:val="22"/>
                  <w:szCs w:val="22"/>
                  <w:u w:val="single" w:color="auto"/>
                  <w:color w:val="0000FF"/>
                  <w:w w:val="97"/>
                </w:rPr>
                <w:t>31</w:t>
              </w:r>
            </w:hyperlink>
          </w:p>
        </w:tc>
      </w:tr>
      <w:tr>
        <w:trPr>
          <w:trHeight w:val="268"/>
        </w:trPr>
        <w:tc>
          <w:tcPr>
            <w:tcW w:w="1000" w:type="dxa"/>
            <w:vAlign w:val="bottom"/>
          </w:tcPr>
          <w:p>
            <w:pPr>
              <w:ind w:left="20"/>
              <w:spacing w:after="0"/>
              <w:rPr>
                <w:rFonts w:ascii="Arial" w:cs="Arial" w:eastAsia="Arial" w:hAnsi="Arial"/>
                <w:sz w:val="22"/>
                <w:szCs w:val="22"/>
                <w:u w:val="single" w:color="auto"/>
                <w:color w:val="0000FF"/>
              </w:rPr>
            </w:pPr>
            <w:hyperlink w:anchor="page33">
              <w:r>
                <w:rPr>
                  <w:rFonts w:ascii="Arial" w:cs="Arial" w:eastAsia="Arial" w:hAnsi="Arial"/>
                  <w:sz w:val="22"/>
                  <w:szCs w:val="22"/>
                  <w:u w:val="single" w:color="auto"/>
                  <w:color w:val="0000FF"/>
                </w:rPr>
                <w:t>Item 2.</w:t>
              </w:r>
            </w:hyperlink>
          </w:p>
        </w:tc>
        <w:tc>
          <w:tcPr>
            <w:tcW w:w="9020" w:type="dxa"/>
            <w:vAlign w:val="bottom"/>
            <w:gridSpan w:val="3"/>
          </w:tcPr>
          <w:p>
            <w:pPr>
              <w:ind w:left="160"/>
              <w:spacing w:after="0"/>
              <w:rPr>
                <w:rFonts w:ascii="Arial" w:cs="Arial" w:eastAsia="Arial" w:hAnsi="Arial"/>
                <w:sz w:val="22"/>
                <w:szCs w:val="22"/>
                <w:u w:val="single" w:color="auto"/>
                <w:color w:val="0000FF"/>
              </w:rPr>
            </w:pPr>
            <w:hyperlink w:anchor="page33">
              <w:r>
                <w:rPr>
                  <w:rFonts w:ascii="Arial" w:cs="Arial" w:eastAsia="Arial" w:hAnsi="Arial"/>
                  <w:sz w:val="22"/>
                  <w:szCs w:val="22"/>
                  <w:u w:val="single" w:color="auto"/>
                  <w:color w:val="0000FF"/>
                </w:rPr>
                <w:t>Unregistered Sales of Equity Securities and Use of Proceeds</w:t>
              </w:r>
            </w:hyperlink>
          </w:p>
        </w:tc>
        <w:tc>
          <w:tcPr>
            <w:tcW w:w="1220" w:type="dxa"/>
            <w:vAlign w:val="bottom"/>
          </w:tcPr>
          <w:p>
            <w:pPr>
              <w:jc w:val="center"/>
              <w:ind w:right="112"/>
              <w:spacing w:after="0"/>
              <w:rPr>
                <w:rFonts w:ascii="Arial" w:cs="Arial" w:eastAsia="Arial" w:hAnsi="Arial"/>
                <w:sz w:val="22"/>
                <w:szCs w:val="22"/>
                <w:u w:val="single" w:color="auto"/>
                <w:color w:val="0000FF"/>
                <w:w w:val="97"/>
              </w:rPr>
            </w:pPr>
            <w:hyperlink w:anchor="page33">
              <w:r>
                <w:rPr>
                  <w:rFonts w:ascii="Arial" w:cs="Arial" w:eastAsia="Arial" w:hAnsi="Arial"/>
                  <w:sz w:val="22"/>
                  <w:szCs w:val="22"/>
                  <w:u w:val="single" w:color="auto"/>
                  <w:color w:val="0000FF"/>
                  <w:w w:val="97"/>
                </w:rPr>
                <w:t>32</w:t>
              </w:r>
            </w:hyperlink>
          </w:p>
        </w:tc>
      </w:tr>
      <w:tr>
        <w:trPr>
          <w:trHeight w:val="272"/>
        </w:trPr>
        <w:tc>
          <w:tcPr>
            <w:tcW w:w="1000" w:type="dxa"/>
            <w:vAlign w:val="bottom"/>
            <w:shd w:val="clear" w:color="auto" w:fill="CCEEFF"/>
          </w:tcPr>
          <w:p>
            <w:pPr>
              <w:ind w:left="20"/>
              <w:spacing w:after="0"/>
              <w:rPr>
                <w:rFonts w:ascii="Arial" w:cs="Arial" w:eastAsia="Arial" w:hAnsi="Arial"/>
                <w:sz w:val="22"/>
                <w:szCs w:val="22"/>
                <w:u w:val="single" w:color="auto"/>
                <w:color w:val="0000FF"/>
              </w:rPr>
            </w:pPr>
            <w:hyperlink w:anchor="page34">
              <w:r>
                <w:rPr>
                  <w:rFonts w:ascii="Arial" w:cs="Arial" w:eastAsia="Arial" w:hAnsi="Arial"/>
                  <w:sz w:val="22"/>
                  <w:szCs w:val="22"/>
                  <w:u w:val="single" w:color="auto"/>
                  <w:color w:val="0000FF"/>
                </w:rPr>
                <w:t>Item 3.</w:t>
              </w:r>
            </w:hyperlink>
          </w:p>
        </w:tc>
        <w:tc>
          <w:tcPr>
            <w:tcW w:w="9020" w:type="dxa"/>
            <w:vAlign w:val="bottom"/>
            <w:gridSpan w:val="3"/>
            <w:shd w:val="clear" w:color="auto" w:fill="CCEEFF"/>
          </w:tcPr>
          <w:p>
            <w:pPr>
              <w:ind w:left="160"/>
              <w:spacing w:after="0"/>
              <w:rPr>
                <w:rFonts w:ascii="Arial" w:cs="Arial" w:eastAsia="Arial" w:hAnsi="Arial"/>
                <w:sz w:val="22"/>
                <w:szCs w:val="22"/>
                <w:u w:val="single" w:color="auto"/>
                <w:color w:val="0000FF"/>
              </w:rPr>
            </w:pPr>
            <w:hyperlink w:anchor="page34">
              <w:r>
                <w:rPr>
                  <w:rFonts w:ascii="Arial" w:cs="Arial" w:eastAsia="Arial" w:hAnsi="Arial"/>
                  <w:sz w:val="22"/>
                  <w:szCs w:val="22"/>
                  <w:u w:val="single" w:color="auto"/>
                  <w:color w:val="0000FF"/>
                </w:rPr>
                <w:t>Defaults Upon Senior Securities</w:t>
              </w:r>
            </w:hyperlink>
          </w:p>
        </w:tc>
        <w:tc>
          <w:tcPr>
            <w:tcW w:w="1220" w:type="dxa"/>
            <w:vAlign w:val="bottom"/>
            <w:shd w:val="clear" w:color="auto" w:fill="CCEEFF"/>
          </w:tcPr>
          <w:p>
            <w:pPr>
              <w:jc w:val="center"/>
              <w:ind w:right="112"/>
              <w:spacing w:after="0"/>
              <w:rPr>
                <w:rFonts w:ascii="Arial" w:cs="Arial" w:eastAsia="Arial" w:hAnsi="Arial"/>
                <w:sz w:val="22"/>
                <w:szCs w:val="22"/>
                <w:u w:val="single" w:color="auto"/>
                <w:color w:val="0000FF"/>
                <w:w w:val="97"/>
              </w:rPr>
            </w:pPr>
            <w:hyperlink w:anchor="page34">
              <w:r>
                <w:rPr>
                  <w:rFonts w:ascii="Arial" w:cs="Arial" w:eastAsia="Arial" w:hAnsi="Arial"/>
                  <w:sz w:val="22"/>
                  <w:szCs w:val="22"/>
                  <w:u w:val="single" w:color="auto"/>
                  <w:color w:val="0000FF"/>
                  <w:w w:val="97"/>
                </w:rPr>
                <w:t>32</w:t>
              </w:r>
            </w:hyperlink>
          </w:p>
        </w:tc>
      </w:tr>
      <w:tr>
        <w:trPr>
          <w:trHeight w:val="268"/>
        </w:trPr>
        <w:tc>
          <w:tcPr>
            <w:tcW w:w="1000" w:type="dxa"/>
            <w:vAlign w:val="bottom"/>
          </w:tcPr>
          <w:p>
            <w:pPr>
              <w:ind w:left="20"/>
              <w:spacing w:after="0"/>
              <w:rPr>
                <w:rFonts w:ascii="Arial" w:cs="Arial" w:eastAsia="Arial" w:hAnsi="Arial"/>
                <w:sz w:val="22"/>
                <w:szCs w:val="22"/>
                <w:u w:val="single" w:color="auto"/>
                <w:color w:val="0000FF"/>
              </w:rPr>
            </w:pPr>
            <w:hyperlink w:anchor="page34">
              <w:r>
                <w:rPr>
                  <w:rFonts w:ascii="Arial" w:cs="Arial" w:eastAsia="Arial" w:hAnsi="Arial"/>
                  <w:sz w:val="22"/>
                  <w:szCs w:val="22"/>
                  <w:u w:val="single" w:color="auto"/>
                  <w:color w:val="0000FF"/>
                </w:rPr>
                <w:t>Item 4.</w:t>
              </w:r>
            </w:hyperlink>
          </w:p>
        </w:tc>
        <w:tc>
          <w:tcPr>
            <w:tcW w:w="9020" w:type="dxa"/>
            <w:vAlign w:val="bottom"/>
            <w:gridSpan w:val="3"/>
          </w:tcPr>
          <w:p>
            <w:pPr>
              <w:ind w:left="160"/>
              <w:spacing w:after="0"/>
              <w:rPr>
                <w:rFonts w:ascii="Arial" w:cs="Arial" w:eastAsia="Arial" w:hAnsi="Arial"/>
                <w:sz w:val="22"/>
                <w:szCs w:val="22"/>
                <w:u w:val="single" w:color="auto"/>
                <w:color w:val="0000FF"/>
              </w:rPr>
            </w:pPr>
            <w:hyperlink w:anchor="page34">
              <w:r>
                <w:rPr>
                  <w:rFonts w:ascii="Arial" w:cs="Arial" w:eastAsia="Arial" w:hAnsi="Arial"/>
                  <w:sz w:val="22"/>
                  <w:szCs w:val="22"/>
                  <w:u w:val="single" w:color="auto"/>
                  <w:color w:val="0000FF"/>
                </w:rPr>
                <w:t>Mine Safety Disclosures</w:t>
              </w:r>
            </w:hyperlink>
          </w:p>
        </w:tc>
        <w:tc>
          <w:tcPr>
            <w:tcW w:w="1220" w:type="dxa"/>
            <w:vAlign w:val="bottom"/>
          </w:tcPr>
          <w:p>
            <w:pPr>
              <w:jc w:val="center"/>
              <w:ind w:right="112"/>
              <w:spacing w:after="0"/>
              <w:rPr>
                <w:rFonts w:ascii="Arial" w:cs="Arial" w:eastAsia="Arial" w:hAnsi="Arial"/>
                <w:sz w:val="22"/>
                <w:szCs w:val="22"/>
                <w:u w:val="single" w:color="auto"/>
                <w:color w:val="0000FF"/>
                <w:w w:val="97"/>
              </w:rPr>
            </w:pPr>
            <w:hyperlink w:anchor="page34">
              <w:r>
                <w:rPr>
                  <w:rFonts w:ascii="Arial" w:cs="Arial" w:eastAsia="Arial" w:hAnsi="Arial"/>
                  <w:sz w:val="22"/>
                  <w:szCs w:val="22"/>
                  <w:u w:val="single" w:color="auto"/>
                  <w:color w:val="0000FF"/>
                  <w:w w:val="97"/>
                </w:rPr>
                <w:t>32</w:t>
              </w:r>
            </w:hyperlink>
          </w:p>
        </w:tc>
      </w:tr>
      <w:tr>
        <w:trPr>
          <w:trHeight w:val="272"/>
        </w:trPr>
        <w:tc>
          <w:tcPr>
            <w:tcW w:w="1000" w:type="dxa"/>
            <w:vAlign w:val="bottom"/>
            <w:shd w:val="clear" w:color="auto" w:fill="CCEEFF"/>
          </w:tcPr>
          <w:p>
            <w:pPr>
              <w:ind w:left="20"/>
              <w:spacing w:after="0"/>
              <w:rPr>
                <w:rFonts w:ascii="Arial" w:cs="Arial" w:eastAsia="Arial" w:hAnsi="Arial"/>
                <w:sz w:val="22"/>
                <w:szCs w:val="22"/>
                <w:u w:val="single" w:color="auto"/>
                <w:color w:val="0000FF"/>
              </w:rPr>
            </w:pPr>
            <w:hyperlink w:anchor="page34">
              <w:r>
                <w:rPr>
                  <w:rFonts w:ascii="Arial" w:cs="Arial" w:eastAsia="Arial" w:hAnsi="Arial"/>
                  <w:sz w:val="22"/>
                  <w:szCs w:val="22"/>
                  <w:u w:val="single" w:color="auto"/>
                  <w:color w:val="0000FF"/>
                </w:rPr>
                <w:t>Item 5.</w:t>
              </w:r>
            </w:hyperlink>
          </w:p>
        </w:tc>
        <w:tc>
          <w:tcPr>
            <w:tcW w:w="9020" w:type="dxa"/>
            <w:vAlign w:val="bottom"/>
            <w:gridSpan w:val="3"/>
            <w:shd w:val="clear" w:color="auto" w:fill="CCEEFF"/>
          </w:tcPr>
          <w:p>
            <w:pPr>
              <w:ind w:left="160"/>
              <w:spacing w:after="0"/>
              <w:rPr>
                <w:rFonts w:ascii="Arial" w:cs="Arial" w:eastAsia="Arial" w:hAnsi="Arial"/>
                <w:sz w:val="22"/>
                <w:szCs w:val="22"/>
                <w:u w:val="single" w:color="auto"/>
                <w:color w:val="0000FF"/>
              </w:rPr>
            </w:pPr>
            <w:hyperlink w:anchor="page34">
              <w:r>
                <w:rPr>
                  <w:rFonts w:ascii="Arial" w:cs="Arial" w:eastAsia="Arial" w:hAnsi="Arial"/>
                  <w:sz w:val="22"/>
                  <w:szCs w:val="22"/>
                  <w:u w:val="single" w:color="auto"/>
                  <w:color w:val="0000FF"/>
                </w:rPr>
                <w:t>Other Information</w:t>
              </w:r>
            </w:hyperlink>
          </w:p>
        </w:tc>
        <w:tc>
          <w:tcPr>
            <w:tcW w:w="1220" w:type="dxa"/>
            <w:vAlign w:val="bottom"/>
            <w:shd w:val="clear" w:color="auto" w:fill="CCEEFF"/>
          </w:tcPr>
          <w:p>
            <w:pPr>
              <w:jc w:val="center"/>
              <w:ind w:right="112"/>
              <w:spacing w:after="0"/>
              <w:rPr>
                <w:rFonts w:ascii="Arial" w:cs="Arial" w:eastAsia="Arial" w:hAnsi="Arial"/>
                <w:sz w:val="22"/>
                <w:szCs w:val="22"/>
                <w:u w:val="single" w:color="auto"/>
                <w:color w:val="0000FF"/>
                <w:w w:val="97"/>
              </w:rPr>
            </w:pPr>
            <w:hyperlink w:anchor="page34">
              <w:r>
                <w:rPr>
                  <w:rFonts w:ascii="Arial" w:cs="Arial" w:eastAsia="Arial" w:hAnsi="Arial"/>
                  <w:sz w:val="22"/>
                  <w:szCs w:val="22"/>
                  <w:u w:val="single" w:color="auto"/>
                  <w:color w:val="0000FF"/>
                  <w:w w:val="97"/>
                </w:rPr>
                <w:t>32</w:t>
              </w:r>
            </w:hyperlink>
          </w:p>
        </w:tc>
      </w:tr>
      <w:tr>
        <w:trPr>
          <w:trHeight w:val="268"/>
        </w:trPr>
        <w:tc>
          <w:tcPr>
            <w:tcW w:w="1000" w:type="dxa"/>
            <w:vAlign w:val="bottom"/>
          </w:tcPr>
          <w:p>
            <w:pPr>
              <w:ind w:left="20"/>
              <w:spacing w:after="0"/>
              <w:rPr>
                <w:rFonts w:ascii="Arial" w:cs="Arial" w:eastAsia="Arial" w:hAnsi="Arial"/>
                <w:sz w:val="22"/>
                <w:szCs w:val="22"/>
                <w:u w:val="single" w:color="auto"/>
                <w:color w:val="0000FF"/>
              </w:rPr>
            </w:pPr>
            <w:hyperlink w:anchor="page34">
              <w:r>
                <w:rPr>
                  <w:rFonts w:ascii="Arial" w:cs="Arial" w:eastAsia="Arial" w:hAnsi="Arial"/>
                  <w:sz w:val="22"/>
                  <w:szCs w:val="22"/>
                  <w:u w:val="single" w:color="auto"/>
                  <w:color w:val="0000FF"/>
                </w:rPr>
                <w:t>Item 6.</w:t>
              </w:r>
            </w:hyperlink>
          </w:p>
        </w:tc>
        <w:tc>
          <w:tcPr>
            <w:tcW w:w="9020" w:type="dxa"/>
            <w:vAlign w:val="bottom"/>
            <w:gridSpan w:val="3"/>
          </w:tcPr>
          <w:p>
            <w:pPr>
              <w:ind w:left="160"/>
              <w:spacing w:after="0"/>
              <w:rPr>
                <w:rFonts w:ascii="Arial" w:cs="Arial" w:eastAsia="Arial" w:hAnsi="Arial"/>
                <w:sz w:val="22"/>
                <w:szCs w:val="22"/>
                <w:u w:val="single" w:color="auto"/>
                <w:color w:val="0000FF"/>
              </w:rPr>
            </w:pPr>
            <w:hyperlink w:anchor="page34">
              <w:r>
                <w:rPr>
                  <w:rFonts w:ascii="Arial" w:cs="Arial" w:eastAsia="Arial" w:hAnsi="Arial"/>
                  <w:sz w:val="22"/>
                  <w:szCs w:val="22"/>
                  <w:u w:val="single" w:color="auto"/>
                  <w:color w:val="0000FF"/>
                </w:rPr>
                <w:t>Exhibits</w:t>
              </w:r>
            </w:hyperlink>
          </w:p>
        </w:tc>
        <w:tc>
          <w:tcPr>
            <w:tcW w:w="1220" w:type="dxa"/>
            <w:vAlign w:val="bottom"/>
          </w:tcPr>
          <w:p>
            <w:pPr>
              <w:jc w:val="center"/>
              <w:ind w:right="112"/>
              <w:spacing w:after="0"/>
              <w:rPr>
                <w:rFonts w:ascii="Arial" w:cs="Arial" w:eastAsia="Arial" w:hAnsi="Arial"/>
                <w:sz w:val="22"/>
                <w:szCs w:val="22"/>
                <w:u w:val="single" w:color="auto"/>
                <w:color w:val="0000FF"/>
                <w:w w:val="97"/>
              </w:rPr>
            </w:pPr>
            <w:hyperlink w:anchor="page34">
              <w:r>
                <w:rPr>
                  <w:rFonts w:ascii="Arial" w:cs="Arial" w:eastAsia="Arial" w:hAnsi="Arial"/>
                  <w:sz w:val="22"/>
                  <w:szCs w:val="22"/>
                  <w:u w:val="single" w:color="auto"/>
                  <w:color w:val="0000FF"/>
                  <w:w w:val="97"/>
                </w:rPr>
                <w:t>32</w:t>
              </w:r>
            </w:hyperlink>
          </w:p>
        </w:tc>
      </w:tr>
      <w:tr>
        <w:trPr>
          <w:trHeight w:val="272"/>
        </w:trPr>
        <w:tc>
          <w:tcPr>
            <w:tcW w:w="1000" w:type="dxa"/>
            <w:vAlign w:val="bottom"/>
            <w:shd w:val="clear" w:color="auto" w:fill="CCEEFF"/>
          </w:tcPr>
          <w:p>
            <w:pPr>
              <w:spacing w:after="0"/>
              <w:rPr>
                <w:sz w:val="23"/>
                <w:szCs w:val="23"/>
                <w:color w:val="auto"/>
              </w:rPr>
            </w:pPr>
          </w:p>
        </w:tc>
        <w:tc>
          <w:tcPr>
            <w:tcW w:w="9020" w:type="dxa"/>
            <w:vAlign w:val="bottom"/>
            <w:gridSpan w:val="3"/>
            <w:shd w:val="clear" w:color="auto" w:fill="CCEEFF"/>
          </w:tcPr>
          <w:p>
            <w:pPr>
              <w:ind w:left="160"/>
              <w:spacing w:after="0"/>
              <w:rPr>
                <w:rFonts w:ascii="Arial" w:cs="Arial" w:eastAsia="Arial" w:hAnsi="Arial"/>
                <w:sz w:val="22"/>
                <w:szCs w:val="22"/>
                <w:u w:val="single" w:color="auto"/>
                <w:color w:val="0000FF"/>
              </w:rPr>
            </w:pPr>
            <w:hyperlink w:anchor="page34">
              <w:r>
                <w:rPr>
                  <w:rFonts w:ascii="Arial" w:cs="Arial" w:eastAsia="Arial" w:hAnsi="Arial"/>
                  <w:sz w:val="22"/>
                  <w:szCs w:val="22"/>
                  <w:u w:val="single" w:color="auto"/>
                  <w:color w:val="0000FF"/>
                </w:rPr>
                <w:t>Signatures</w:t>
              </w:r>
            </w:hyperlink>
          </w:p>
        </w:tc>
        <w:tc>
          <w:tcPr>
            <w:tcW w:w="1220" w:type="dxa"/>
            <w:vAlign w:val="bottom"/>
            <w:shd w:val="clear" w:color="auto" w:fill="CCEEFF"/>
          </w:tcPr>
          <w:p>
            <w:pPr>
              <w:jc w:val="center"/>
              <w:ind w:right="112"/>
              <w:spacing w:after="0"/>
              <w:rPr>
                <w:rFonts w:ascii="Arial" w:cs="Arial" w:eastAsia="Arial" w:hAnsi="Arial"/>
                <w:sz w:val="22"/>
                <w:szCs w:val="22"/>
                <w:u w:val="single" w:color="auto"/>
                <w:color w:val="0000FF"/>
                <w:w w:val="97"/>
              </w:rPr>
            </w:pPr>
            <w:hyperlink w:anchor="page34">
              <w:r>
                <w:rPr>
                  <w:rFonts w:ascii="Arial" w:cs="Arial" w:eastAsia="Arial" w:hAnsi="Arial"/>
                  <w:sz w:val="22"/>
                  <w:szCs w:val="22"/>
                  <w:u w:val="single" w:color="auto"/>
                  <w:color w:val="0000FF"/>
                  <w:w w:val="97"/>
                </w:rPr>
                <w:t>33</w:t>
              </w:r>
            </w:hyperlink>
          </w:p>
        </w:tc>
      </w:tr>
      <w:tr>
        <w:trPr>
          <w:trHeight w:val="1856"/>
        </w:trPr>
        <w:tc>
          <w:tcPr>
            <w:tcW w:w="10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Borders>
              <w:top w:val="single" w:sz="8" w:color="auto"/>
            </w:tcBorders>
            <w:gridSpan w:val="5"/>
          </w:tcPr>
          <w:p>
            <w:pPr>
              <w:ind w:left="20"/>
              <w:spacing w:after="0" w:line="270" w:lineRule="exact"/>
              <w:rPr>
                <w:sz w:val="20"/>
                <w:szCs w:val="20"/>
                <w:color w:val="auto"/>
              </w:rPr>
            </w:pPr>
            <w:r>
              <w:rPr>
                <w:rFonts w:ascii="Arial" w:cs="Arial" w:eastAsia="Arial" w:hAnsi="Arial"/>
                <w:sz w:val="25"/>
                <w:szCs w:val="25"/>
                <w:b w:val="1"/>
                <w:bCs w:val="1"/>
                <w:color w:val="auto"/>
              </w:rPr>
              <w:t>CONSOLIDATED STATEMENTS OF OPERATIONS</w:t>
            </w:r>
          </w:p>
        </w:tc>
        <w:tc>
          <w:tcPr>
            <w:tcW w:w="48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28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35"/>
        </w:trPr>
        <w:tc>
          <w:tcPr>
            <w:tcW w:w="4780" w:type="dxa"/>
            <w:vAlign w:val="bottom"/>
            <w:gridSpan w:val="2"/>
          </w:tcPr>
          <w:p>
            <w:pPr>
              <w:ind w:left="20"/>
              <w:spacing w:after="0" w:line="135" w:lineRule="exact"/>
              <w:rPr>
                <w:sz w:val="20"/>
                <w:szCs w:val="20"/>
                <w:color w:val="auto"/>
              </w:rPr>
            </w:pPr>
            <w:r>
              <w:rPr>
                <w:rFonts w:ascii="Arial" w:cs="Arial" w:eastAsia="Arial" w:hAnsi="Arial"/>
                <w:sz w:val="15"/>
                <w:szCs w:val="15"/>
                <w:b w:val="1"/>
                <w:bCs w:val="1"/>
                <w:color w:val="auto"/>
              </w:rPr>
              <w:t>AND COMPREHENSIVE LOSS</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42"/>
        </w:trPr>
        <w:tc>
          <w:tcPr>
            <w:tcW w:w="4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4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gridSpan w:val="5"/>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5"/>
          </w:tcPr>
          <w:p>
            <w:pPr>
              <w:ind w:left="140"/>
              <w:spacing w:after="0"/>
              <w:rPr>
                <w:sz w:val="20"/>
                <w:szCs w:val="20"/>
                <w:color w:val="auto"/>
              </w:rPr>
            </w:pPr>
            <w:r>
              <w:rPr>
                <w:rFonts w:ascii="Arial" w:cs="Arial" w:eastAsia="Arial" w:hAnsi="Arial"/>
                <w:sz w:val="16"/>
                <w:szCs w:val="16"/>
                <w:color w:val="auto"/>
              </w:rPr>
              <w:t>Three months ended January 31,</w:t>
            </w:r>
          </w:p>
        </w:tc>
        <w:tc>
          <w:tcPr>
            <w:tcW w:w="260" w:type="dxa"/>
            <w:vAlign w:val="bottom"/>
          </w:tcPr>
          <w:p>
            <w:pPr>
              <w:spacing w:after="0"/>
              <w:rPr>
                <w:sz w:val="17"/>
                <w:szCs w:val="17"/>
                <w:color w:val="auto"/>
              </w:rPr>
            </w:pPr>
          </w:p>
        </w:tc>
        <w:tc>
          <w:tcPr>
            <w:tcW w:w="2880" w:type="dxa"/>
            <w:vAlign w:val="bottom"/>
            <w:gridSpan w:val="4"/>
          </w:tcPr>
          <w:p>
            <w:pPr>
              <w:jc w:val="right"/>
              <w:ind w:right="344"/>
              <w:spacing w:after="0"/>
              <w:rPr>
                <w:sz w:val="20"/>
                <w:szCs w:val="20"/>
                <w:color w:val="auto"/>
              </w:rPr>
            </w:pPr>
            <w:r>
              <w:rPr>
                <w:rFonts w:ascii="Arial" w:cs="Arial" w:eastAsia="Arial" w:hAnsi="Arial"/>
                <w:sz w:val="16"/>
                <w:szCs w:val="16"/>
                <w:color w:val="auto"/>
              </w:rPr>
              <w:t>Nine months ended January 31,</w:t>
            </w:r>
          </w:p>
        </w:tc>
        <w:tc>
          <w:tcPr>
            <w:tcW w:w="0" w:type="dxa"/>
            <w:vAlign w:val="bottom"/>
          </w:tcPr>
          <w:p>
            <w:pPr>
              <w:spacing w:after="0"/>
              <w:rPr>
                <w:sz w:val="1"/>
                <w:szCs w:val="1"/>
                <w:color w:val="auto"/>
              </w:rPr>
            </w:pPr>
          </w:p>
        </w:tc>
      </w:tr>
      <w:tr>
        <w:trPr>
          <w:trHeight w:val="212"/>
        </w:trPr>
        <w:tc>
          <w:tcPr>
            <w:tcW w:w="4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35"/>
        </w:trPr>
        <w:tc>
          <w:tcPr>
            <w:tcW w:w="4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Service revenues</w:t>
            </w:r>
          </w:p>
        </w:tc>
        <w:tc>
          <w:tcPr>
            <w:tcW w:w="24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244,692</w:t>
            </w:r>
          </w:p>
        </w:tc>
        <w:tc>
          <w:tcPr>
            <w:tcW w:w="120" w:type="dxa"/>
            <w:vAlign w:val="bottom"/>
          </w:tcPr>
          <w:p>
            <w:pPr>
              <w:spacing w:after="0"/>
              <w:rPr>
                <w:sz w:val="17"/>
                <w:szCs w:val="17"/>
                <w:color w:val="auto"/>
              </w:rPr>
            </w:pPr>
          </w:p>
        </w:tc>
        <w:tc>
          <w:tcPr>
            <w:tcW w:w="48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419,955</w:t>
            </w:r>
          </w:p>
        </w:tc>
        <w:tc>
          <w:tcPr>
            <w:tcW w:w="1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956,605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691,762</w:t>
            </w:r>
          </w:p>
        </w:tc>
        <w:tc>
          <w:tcPr>
            <w:tcW w:w="0" w:type="dxa"/>
            <w:vAlign w:val="bottom"/>
          </w:tcPr>
          <w:p>
            <w:pPr>
              <w:spacing w:after="0"/>
              <w:rPr>
                <w:sz w:val="1"/>
                <w:szCs w:val="1"/>
                <w:color w:val="auto"/>
              </w:rPr>
            </w:pPr>
          </w:p>
        </w:tc>
      </w:tr>
      <w:tr>
        <w:trPr>
          <w:trHeight w:val="202"/>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Royalty, product and other revenues</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63,535</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99,250</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129,202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138,606</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308,227</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519,205</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1,085,807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830,368</w:t>
            </w:r>
          </w:p>
        </w:tc>
        <w:tc>
          <w:tcPr>
            <w:tcW w:w="0" w:type="dxa"/>
            <w:vAlign w:val="bottom"/>
          </w:tcPr>
          <w:p>
            <w:pPr>
              <w:spacing w:after="0"/>
              <w:rPr>
                <w:sz w:val="1"/>
                <w:szCs w:val="1"/>
                <w:color w:val="auto"/>
              </w:rPr>
            </w:pPr>
          </w:p>
        </w:tc>
      </w:tr>
      <w:tr>
        <w:trPr>
          <w:trHeight w:val="18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Costs of revenues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380,273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462,521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940,364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945,119</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191,488</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209,288</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461,368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475,758</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571,761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671,809</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1,401,732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1,420,877</w:t>
            </w: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Other income (expense), net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2,367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1,879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4,759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13,741</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on borrowings</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(22,333)</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(26,305)</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(85,319)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(68,682)</w:t>
            </w:r>
          </w:p>
        </w:tc>
        <w:tc>
          <w:tcPr>
            <w:tcW w:w="0" w:type="dxa"/>
            <w:vAlign w:val="bottom"/>
          </w:tcPr>
          <w:p>
            <w:pPr>
              <w:spacing w:after="0"/>
              <w:rPr>
                <w:sz w:val="1"/>
                <w:szCs w:val="1"/>
                <w:color w:val="auto"/>
              </w:rPr>
            </w:pPr>
          </w:p>
        </w:tc>
      </w:tr>
      <w:tr>
        <w:trPr>
          <w:trHeight w:val="196"/>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Loss from continuing operations before income tax benefit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(283,500)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(177,030)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(396,485)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(645,450)</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(51,669)</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(49,004)</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(35,730)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(188,146)</w:t>
            </w:r>
          </w:p>
        </w:tc>
        <w:tc>
          <w:tcPr>
            <w:tcW w:w="0" w:type="dxa"/>
            <w:vAlign w:val="bottom"/>
          </w:tcPr>
          <w:p>
            <w:pPr>
              <w:spacing w:after="0"/>
              <w:rPr>
                <w:sz w:val="1"/>
                <w:szCs w:val="1"/>
                <w:color w:val="auto"/>
              </w:rPr>
            </w:pPr>
          </w:p>
        </w:tc>
      </w:tr>
      <w:tr>
        <w:trPr>
          <w:trHeight w:val="196"/>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Net loss from continuing operations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(231,831)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(128,026)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(360,755)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(457,304)</w:t>
            </w:r>
          </w:p>
        </w:tc>
        <w:tc>
          <w:tcPr>
            <w:tcW w:w="0" w:type="dxa"/>
            <w:vAlign w:val="bottom"/>
          </w:tcPr>
          <w:p>
            <w:pPr>
              <w:spacing w:after="0"/>
              <w:rPr>
                <w:sz w:val="1"/>
                <w:szCs w:val="1"/>
                <w:color w:val="auto"/>
              </w:rPr>
            </w:pPr>
          </w:p>
        </w:tc>
      </w:tr>
      <w:tr>
        <w:trPr>
          <w:trHeight w:val="159"/>
        </w:trPr>
        <w:tc>
          <w:tcPr>
            <w:tcW w:w="478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5"/>
                <w:szCs w:val="15"/>
                <w:color w:val="auto"/>
              </w:rPr>
              <w:t>Net loss from discontinued operations, net of tax benefits of</w:t>
            </w: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(1,163)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(4,706)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$1,323, $488, $3,371 and $3,173</w:t>
            </w:r>
          </w:p>
        </w:tc>
        <w:tc>
          <w:tcPr>
            <w:tcW w:w="2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(1,657)</w:t>
            </w:r>
          </w:p>
        </w:tc>
        <w:tc>
          <w:tcPr>
            <w:tcW w:w="1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(10,625)</w:t>
            </w:r>
          </w:p>
        </w:tc>
        <w:tc>
          <w:tcPr>
            <w:tcW w:w="0" w:type="dxa"/>
            <w:vAlign w:val="bottom"/>
          </w:tcPr>
          <w:p>
            <w:pPr>
              <w:spacing w:after="0"/>
              <w:rPr>
                <w:sz w:val="1"/>
                <w:szCs w:val="1"/>
                <w:color w:val="auto"/>
              </w:rPr>
            </w:pPr>
          </w:p>
        </w:tc>
      </w:tr>
      <w:tr>
        <w:trPr>
          <w:trHeight w:val="235"/>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rPr>
              <w:t>NET LOSS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(232,994)</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(129,683)</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(365,461)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(467,929)</w:t>
            </w:r>
          </w:p>
        </w:tc>
        <w:tc>
          <w:tcPr>
            <w:tcW w:w="0" w:type="dxa"/>
            <w:vAlign w:val="bottom"/>
          </w:tcPr>
          <w:p>
            <w:pPr>
              <w:spacing w:after="0"/>
              <w:rPr>
                <w:sz w:val="1"/>
                <w:szCs w:val="1"/>
                <w:color w:val="auto"/>
              </w:rPr>
            </w:pPr>
          </w:p>
        </w:tc>
      </w:tr>
      <w:tr>
        <w:trPr>
          <w:trHeight w:val="202"/>
        </w:trPr>
        <w:tc>
          <w:tcPr>
            <w:tcW w:w="4780" w:type="dxa"/>
            <w:vAlign w:val="bottom"/>
            <w:tcBorders>
              <w:top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rPr>
              <w:t>BASIC AND DILUTED LOSS PER SHARE:</w:t>
            </w:r>
          </w:p>
        </w:tc>
        <w:tc>
          <w:tcPr>
            <w:tcW w:w="24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02"/>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Discontinued operations</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(0.01)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(0.02)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Consolidated</w:t>
            </w: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(0.67)</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DIVIDENDS DECLARED PER SHARE</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0.26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0.26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0.78</w:t>
            </w: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LOSS: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Net loss</w:t>
            </w:r>
          </w:p>
        </w:tc>
        <w:tc>
          <w:tcPr>
            <w:tcW w:w="24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(232,994)</w:t>
            </w:r>
          </w:p>
        </w:tc>
        <w:tc>
          <w:tcPr>
            <w:tcW w:w="120" w:type="dxa"/>
            <w:vAlign w:val="bottom"/>
          </w:tcPr>
          <w:p>
            <w:pPr>
              <w:spacing w:after="0"/>
              <w:rPr>
                <w:sz w:val="17"/>
                <w:szCs w:val="17"/>
                <w:color w:val="auto"/>
              </w:rPr>
            </w:pPr>
          </w:p>
        </w:tc>
        <w:tc>
          <w:tcPr>
            <w:tcW w:w="48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(129,683)</w:t>
            </w:r>
          </w:p>
        </w:tc>
        <w:tc>
          <w:tcPr>
            <w:tcW w:w="1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(365,461)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(467,929)</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Change in foreign currency translation adjustments</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20,014</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(3,574)</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39,883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(4,975)</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Other comprehensive income (loss)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20,014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(3,574)</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39,883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(4,975)</w:t>
            </w: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Comprehensive loss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(212,980)</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(133,257)</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(325,578)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(472,904)</w:t>
            </w:r>
          </w:p>
        </w:tc>
        <w:tc>
          <w:tcPr>
            <w:tcW w:w="0" w:type="dxa"/>
            <w:vAlign w:val="bottom"/>
          </w:tcPr>
          <w:p>
            <w:pPr>
              <w:spacing w:after="0"/>
              <w:rPr>
                <w:sz w:val="1"/>
                <w:szCs w:val="1"/>
                <w:color w:val="auto"/>
              </w:rPr>
            </w:pPr>
          </w:p>
        </w:tc>
      </w:tr>
      <w:tr>
        <w:trPr>
          <w:trHeight w:val="34"/>
        </w:trPr>
        <w:tc>
          <w:tcPr>
            <w:tcW w:w="4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648970</wp:posOffset>
            </wp:positionV>
            <wp:extent cx="222885"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2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sz w:val="20"/>
          <w:szCs w:val="20"/>
          <w:color w:val="auto"/>
        </w:rPr>
        <w:tab/>
      </w:r>
      <w:r>
        <w:rPr>
          <w:rFonts w:ascii="Arial" w:cs="Arial" w:eastAsia="Arial" w:hAnsi="Arial"/>
          <w:sz w:val="14"/>
          <w:szCs w:val="14"/>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25"/>
                <w:szCs w:val="25"/>
                <w:b w:val="1"/>
                <w:bCs w:val="1"/>
                <w:color w:val="auto"/>
              </w:rPr>
              <w:t>CONSOLIDATED BALANCE SHEETS</w:t>
            </w:r>
          </w:p>
        </w:tc>
        <w:tc>
          <w:tcPr>
            <w:tcW w:w="3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209"/>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As of</w:t>
            </w:r>
          </w:p>
        </w:tc>
        <w:tc>
          <w:tcPr>
            <w:tcW w:w="30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January 31, 2021</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January 31, 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April 30, 2020</w:t>
            </w:r>
          </w:p>
        </w:tc>
        <w:tc>
          <w:tcPr>
            <w:tcW w:w="0" w:type="dxa"/>
            <w:vAlign w:val="bottom"/>
          </w:tcPr>
          <w:p>
            <w:pPr>
              <w:spacing w:after="0"/>
              <w:rPr>
                <w:sz w:val="1"/>
                <w:szCs w:val="1"/>
                <w:color w:val="auto"/>
              </w:rPr>
            </w:pPr>
          </w:p>
        </w:tc>
      </w:tr>
      <w:tr>
        <w:trPr>
          <w:trHeight w:val="143"/>
        </w:trPr>
        <w:tc>
          <w:tcPr>
            <w:tcW w:w="5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60" w:type="dxa"/>
            <w:vAlign w:val="bottom"/>
            <w:gridSpan w:val="2"/>
          </w:tcPr>
          <w:p>
            <w:pPr>
              <w:ind w:left="2580"/>
              <w:spacing w:after="0"/>
              <w:rPr>
                <w:sz w:val="20"/>
                <w:szCs w:val="20"/>
                <w:color w:val="auto"/>
              </w:rPr>
            </w:pPr>
            <w:r>
              <w:rPr>
                <w:rFonts w:ascii="Arial" w:cs="Arial" w:eastAsia="Arial" w:hAnsi="Arial"/>
                <w:sz w:val="15"/>
                <w:szCs w:val="15"/>
                <w:b w:val="1"/>
                <w:bCs w:val="1"/>
                <w:color w:val="auto"/>
              </w:rPr>
              <w:t>ASSETS</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280,249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192,340</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2,661,914</w:t>
            </w:r>
          </w:p>
        </w:tc>
        <w:tc>
          <w:tcPr>
            <w:tcW w:w="0" w:type="dxa"/>
            <w:vAlign w:val="bottom"/>
          </w:tcPr>
          <w:p>
            <w:pPr>
              <w:spacing w:after="0"/>
              <w:rPr>
                <w:sz w:val="1"/>
                <w:szCs w:val="1"/>
                <w:color w:val="auto"/>
              </w:rPr>
            </w:pPr>
          </w:p>
        </w:tc>
      </w:tr>
      <w:tr>
        <w:trPr>
          <w:trHeight w:val="202"/>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Cash and cash equivalents - restricted</w:t>
            </w:r>
          </w:p>
        </w:tc>
        <w:tc>
          <w:tcPr>
            <w:tcW w:w="30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Arial" w:cs="Arial" w:eastAsia="Arial" w:hAnsi="Arial"/>
                <w:sz w:val="15"/>
                <w:szCs w:val="15"/>
                <w:b w:val="1"/>
                <w:bCs w:val="1"/>
                <w:color w:val="auto"/>
              </w:rPr>
              <w:t>181,159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169,447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211,106</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Receivables, less allowance for credit losses of $34,493, $45,254 and $64,648</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563,089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819,946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133,197</w:t>
            </w: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196,145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120,229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80,519</w:t>
            </w:r>
          </w:p>
        </w:tc>
        <w:tc>
          <w:tcPr>
            <w:tcW w:w="0" w:type="dxa"/>
            <w:vAlign w:val="bottom"/>
          </w:tcPr>
          <w:p>
            <w:pPr>
              <w:spacing w:after="0"/>
              <w:rPr>
                <w:sz w:val="1"/>
                <w:szCs w:val="1"/>
                <w:color w:val="auto"/>
              </w:rPr>
            </w:pPr>
          </w:p>
        </w:tc>
      </w:tr>
      <w:tr>
        <w:trPr>
          <w:trHeight w:val="19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current assets</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1,220,642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1,301,962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3,086,736</w:t>
            </w:r>
          </w:p>
        </w:tc>
        <w:tc>
          <w:tcPr>
            <w:tcW w:w="0" w:type="dxa"/>
            <w:vAlign w:val="bottom"/>
          </w:tcPr>
          <w:p>
            <w:pPr>
              <w:spacing w:after="0"/>
              <w:rPr>
                <w:sz w:val="1"/>
                <w:szCs w:val="1"/>
                <w:color w:val="auto"/>
              </w:rPr>
            </w:pPr>
          </w:p>
        </w:tc>
      </w:tr>
      <w:tr>
        <w:trPr>
          <w:trHeight w:val="159"/>
        </w:trPr>
        <w:tc>
          <w:tcPr>
            <w:tcW w:w="5860" w:type="dxa"/>
            <w:vAlign w:val="bottom"/>
            <w:gridSpan w:val="2"/>
          </w:tcPr>
          <w:p>
            <w:pPr>
              <w:ind w:left="180"/>
              <w:spacing w:after="0" w:line="159" w:lineRule="exact"/>
              <w:rPr>
                <w:sz w:val="20"/>
                <w:szCs w:val="20"/>
                <w:color w:val="auto"/>
              </w:rPr>
            </w:pPr>
            <w:r>
              <w:rPr>
                <w:rFonts w:ascii="Arial" w:cs="Arial" w:eastAsia="Arial" w:hAnsi="Arial"/>
                <w:sz w:val="15"/>
                <w:szCs w:val="15"/>
                <w:color w:val="auto"/>
              </w:rPr>
              <w:t>Property and equipment, at cost, less accumulated depreciation and amortization</w:t>
            </w:r>
          </w:p>
        </w:tc>
        <w:tc>
          <w:tcPr>
            <w:tcW w:w="300" w:type="dxa"/>
            <w:vAlign w:val="bottom"/>
          </w:tcPr>
          <w:p>
            <w:pPr>
              <w:spacing w:after="0"/>
              <w:rPr>
                <w:sz w:val="13"/>
                <w:szCs w:val="13"/>
                <w:color w:val="auto"/>
              </w:rPr>
            </w:pPr>
          </w:p>
        </w:tc>
        <w:tc>
          <w:tcPr>
            <w:tcW w:w="152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162,765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860" w:type="dxa"/>
            <w:vAlign w:val="bottom"/>
            <w:gridSpan w:val="2"/>
          </w:tcPr>
          <w:p>
            <w:pPr>
              <w:ind w:left="360"/>
              <w:spacing w:after="0"/>
              <w:rPr>
                <w:sz w:val="20"/>
                <w:szCs w:val="20"/>
                <w:color w:val="auto"/>
              </w:rPr>
            </w:pPr>
            <w:r>
              <w:rPr>
                <w:rFonts w:ascii="Arial" w:cs="Arial" w:eastAsia="Arial" w:hAnsi="Arial"/>
                <w:sz w:val="15"/>
                <w:szCs w:val="15"/>
                <w:color w:val="auto"/>
              </w:rPr>
              <w:t>of $851,731, $803,272 and $796,192</w:t>
            </w:r>
          </w:p>
        </w:tc>
        <w:tc>
          <w:tcPr>
            <w:tcW w:w="3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197,569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184,367</w:t>
            </w:r>
          </w:p>
        </w:tc>
        <w:tc>
          <w:tcPr>
            <w:tcW w:w="0" w:type="dxa"/>
            <w:vAlign w:val="bottom"/>
          </w:tcPr>
          <w:p>
            <w:pPr>
              <w:spacing w:after="0"/>
              <w:rPr>
                <w:sz w:val="1"/>
                <w:szCs w:val="1"/>
                <w:color w:val="auto"/>
              </w:rPr>
            </w:pPr>
          </w:p>
        </w:tc>
      </w:tr>
      <w:tr>
        <w:trPr>
          <w:trHeight w:val="207"/>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right of use asset</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419,245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463,777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494,788</w:t>
            </w:r>
          </w:p>
        </w:tc>
        <w:tc>
          <w:tcPr>
            <w:tcW w:w="0" w:type="dxa"/>
            <w:vAlign w:val="bottom"/>
          </w:tcPr>
          <w:p>
            <w:pPr>
              <w:spacing w:after="0"/>
              <w:rPr>
                <w:sz w:val="1"/>
                <w:szCs w:val="1"/>
                <w:color w:val="auto"/>
              </w:rPr>
            </w:pPr>
          </w:p>
        </w:tc>
      </w:tr>
      <w:tr>
        <w:trPr>
          <w:trHeight w:val="202"/>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Intangible assets, net</w:t>
            </w:r>
          </w:p>
        </w:tc>
        <w:tc>
          <w:tcPr>
            <w:tcW w:w="30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Arial" w:cs="Arial" w:eastAsia="Arial" w:hAnsi="Arial"/>
                <w:sz w:val="15"/>
                <w:szCs w:val="15"/>
                <w:b w:val="1"/>
                <w:bCs w:val="1"/>
                <w:color w:val="auto"/>
              </w:rPr>
              <w:t>381,264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433,074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414,976</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745,616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838,830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712,138</w:t>
            </w:r>
          </w:p>
        </w:tc>
        <w:tc>
          <w:tcPr>
            <w:tcW w:w="0" w:type="dxa"/>
            <w:vAlign w:val="bottom"/>
          </w:tcPr>
          <w:p>
            <w:pPr>
              <w:spacing w:after="0"/>
              <w:rPr>
                <w:sz w:val="1"/>
                <w:szCs w:val="1"/>
                <w:color w:val="auto"/>
              </w:rPr>
            </w:pPr>
          </w:p>
        </w:tc>
      </w:tr>
      <w:tr>
        <w:trPr>
          <w:trHeight w:val="202"/>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Deferred tax assets and income taxes receivable</w:t>
            </w:r>
          </w:p>
        </w:tc>
        <w:tc>
          <w:tcPr>
            <w:tcW w:w="30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Arial" w:cs="Arial" w:eastAsia="Arial" w:hAnsi="Arial"/>
                <w:sz w:val="15"/>
                <w:szCs w:val="15"/>
                <w:b w:val="1"/>
                <w:bCs w:val="1"/>
                <w:color w:val="auto"/>
              </w:rPr>
              <w:t>179,598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134,901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151,195</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noncurrent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59,233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82,317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67,847</w:t>
            </w:r>
          </w:p>
        </w:tc>
        <w:tc>
          <w:tcPr>
            <w:tcW w:w="0" w:type="dxa"/>
            <w:vAlign w:val="bottom"/>
          </w:tcPr>
          <w:p>
            <w:pPr>
              <w:spacing w:after="0"/>
              <w:rPr>
                <w:sz w:val="1"/>
                <w:szCs w:val="1"/>
                <w:color w:val="auto"/>
              </w:rPr>
            </w:pPr>
          </w:p>
        </w:tc>
      </w:tr>
      <w:tr>
        <w:trPr>
          <w:trHeight w:val="196"/>
        </w:trPr>
        <w:tc>
          <w:tcPr>
            <w:tcW w:w="5860" w:type="dxa"/>
            <w:vAlign w:val="bottom"/>
            <w:gridSpan w:val="2"/>
          </w:tcPr>
          <w:p>
            <w:pPr>
              <w:ind w:left="360"/>
              <w:spacing w:after="0"/>
              <w:rPr>
                <w:sz w:val="20"/>
                <w:szCs w:val="20"/>
                <w:color w:val="auto"/>
              </w:rPr>
            </w:pPr>
            <w:r>
              <w:rPr>
                <w:rFonts w:ascii="Arial" w:cs="Arial" w:eastAsia="Arial" w:hAnsi="Arial"/>
                <w:sz w:val="15"/>
                <w:szCs w:val="15"/>
                <w:color w:val="auto"/>
              </w:rPr>
              <w:t>Total assets</w:t>
            </w:r>
          </w:p>
        </w:tc>
        <w:tc>
          <w:tcPr>
            <w:tcW w:w="30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ind w:right="3"/>
              <w:spacing w:after="0"/>
              <w:rPr>
                <w:sz w:val="20"/>
                <w:szCs w:val="20"/>
                <w:color w:val="auto"/>
              </w:rPr>
            </w:pPr>
            <w:r>
              <w:rPr>
                <w:rFonts w:ascii="Arial" w:cs="Arial" w:eastAsia="Arial" w:hAnsi="Arial"/>
                <w:sz w:val="15"/>
                <w:szCs w:val="15"/>
                <w:b w:val="1"/>
                <w:bCs w:val="1"/>
                <w:color w:val="auto"/>
              </w:rPr>
              <w:t>3,168,363</w:t>
            </w:r>
          </w:p>
        </w:tc>
        <w:tc>
          <w:tcPr>
            <w:tcW w:w="12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3,452,430</w:t>
            </w:r>
          </w:p>
        </w:tc>
        <w:tc>
          <w:tcPr>
            <w:tcW w:w="52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5,112,047</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tcBorders>
            <w:gridSpan w:val="2"/>
            <w:shd w:val="clear" w:color="auto" w:fill="CCEEFF"/>
          </w:tcPr>
          <w:p>
            <w:pPr>
              <w:ind w:left="1260"/>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60" w:type="dxa"/>
            <w:vAlign w:val="bottom"/>
            <w:gridSpan w:val="2"/>
          </w:tcPr>
          <w:p>
            <w:pPr>
              <w:ind w:left="20"/>
              <w:spacing w:after="0"/>
              <w:rPr>
                <w:sz w:val="20"/>
                <w:szCs w:val="20"/>
                <w:color w:val="auto"/>
              </w:rPr>
            </w:pPr>
            <w:r>
              <w:rPr>
                <w:rFonts w:ascii="Arial" w:cs="Arial" w:eastAsia="Arial" w:hAnsi="Arial"/>
                <w:sz w:val="15"/>
                <w:szCs w:val="15"/>
                <w:b w:val="1"/>
                <w:bCs w:val="1"/>
                <w:color w:val="auto"/>
              </w:rPr>
              <w:t>LIABILITIES:</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Accounts payable and accrued expenses</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160,880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156,766</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203,103</w:t>
            </w:r>
          </w:p>
        </w:tc>
        <w:tc>
          <w:tcPr>
            <w:tcW w:w="0" w:type="dxa"/>
            <w:vAlign w:val="bottom"/>
          </w:tcPr>
          <w:p>
            <w:pPr>
              <w:spacing w:after="0"/>
              <w:rPr>
                <w:sz w:val="1"/>
                <w:szCs w:val="1"/>
                <w:color w:val="auto"/>
              </w:rPr>
            </w:pPr>
          </w:p>
        </w:tc>
      </w:tr>
      <w:tr>
        <w:trPr>
          <w:trHeight w:val="202"/>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Accrued salaries, wages and payroll taxes</w:t>
            </w:r>
          </w:p>
        </w:tc>
        <w:tc>
          <w:tcPr>
            <w:tcW w:w="30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Arial" w:cs="Arial" w:eastAsia="Arial" w:hAnsi="Arial"/>
                <w:sz w:val="15"/>
                <w:szCs w:val="15"/>
                <w:b w:val="1"/>
                <w:bCs w:val="1"/>
                <w:color w:val="auto"/>
              </w:rPr>
              <w:t>118,517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117,459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116,375</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Accrued income taxes and reserves for uncertain tax positions</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17,088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36,242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209,816</w:t>
            </w:r>
          </w:p>
        </w:tc>
        <w:tc>
          <w:tcPr>
            <w:tcW w:w="0" w:type="dxa"/>
            <w:vAlign w:val="bottom"/>
          </w:tcPr>
          <w:p>
            <w:pPr>
              <w:spacing w:after="0"/>
              <w:rPr>
                <w:sz w:val="1"/>
                <w:szCs w:val="1"/>
                <w:color w:val="auto"/>
              </w:rPr>
            </w:pPr>
          </w:p>
        </w:tc>
      </w:tr>
      <w:tr>
        <w:trPr>
          <w:trHeight w:val="202"/>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Current portion of long-term debt</w:t>
            </w:r>
          </w:p>
        </w:tc>
        <w:tc>
          <w:tcPr>
            <w:tcW w:w="300" w:type="dxa"/>
            <w:vAlign w:val="bottom"/>
          </w:tcPr>
          <w:p>
            <w:pPr>
              <w:spacing w:after="0"/>
              <w:rPr>
                <w:sz w:val="17"/>
                <w:szCs w:val="17"/>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649,022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649,384</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liabilities</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186,209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187,890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195,537</w:t>
            </w: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Deferred revenue and other current liabilities</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208,789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190,242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201,401</w:t>
            </w:r>
          </w:p>
        </w:tc>
        <w:tc>
          <w:tcPr>
            <w:tcW w:w="0" w:type="dxa"/>
            <w:vAlign w:val="bottom"/>
          </w:tcPr>
          <w:p>
            <w:pPr>
              <w:spacing w:after="0"/>
              <w:rPr>
                <w:sz w:val="1"/>
                <w:szCs w:val="1"/>
                <w:color w:val="auto"/>
              </w:rPr>
            </w:pPr>
          </w:p>
        </w:tc>
      </w:tr>
      <w:tr>
        <w:trPr>
          <w:trHeight w:val="19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current liabilities</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691,483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1,337,621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1,575,616</w:t>
            </w:r>
          </w:p>
        </w:tc>
        <w:tc>
          <w:tcPr>
            <w:tcW w:w="0" w:type="dxa"/>
            <w:vAlign w:val="bottom"/>
          </w:tcPr>
          <w:p>
            <w:pPr>
              <w:spacing w:after="0"/>
              <w:rPr>
                <w:sz w:val="1"/>
                <w:szCs w:val="1"/>
                <w:color w:val="auto"/>
              </w:rPr>
            </w:pPr>
          </w:p>
        </w:tc>
      </w:tr>
      <w:tr>
        <w:trPr>
          <w:trHeight w:val="202"/>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Long-term debt and line of credit borrowings</w:t>
            </w:r>
          </w:p>
        </w:tc>
        <w:tc>
          <w:tcPr>
            <w:tcW w:w="30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Arial" w:cs="Arial" w:eastAsia="Arial" w:hAnsi="Arial"/>
                <w:sz w:val="15"/>
                <w:szCs w:val="15"/>
                <w:b w:val="1"/>
                <w:bCs w:val="1"/>
                <w:color w:val="auto"/>
              </w:rPr>
              <w:t>2,369,574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1,880,589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2,845,873</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302,120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172,954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182,441</w:t>
            </w:r>
          </w:p>
        </w:tc>
        <w:tc>
          <w:tcPr>
            <w:tcW w:w="0" w:type="dxa"/>
            <w:vAlign w:val="bottom"/>
          </w:tcPr>
          <w:p>
            <w:pPr>
              <w:spacing w:after="0"/>
              <w:rPr>
                <w:sz w:val="1"/>
                <w:szCs w:val="1"/>
                <w:color w:val="auto"/>
              </w:rPr>
            </w:pPr>
          </w:p>
        </w:tc>
      </w:tr>
      <w:tr>
        <w:trPr>
          <w:trHeight w:val="202"/>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Operating lease liabilities</w:t>
            </w:r>
          </w:p>
        </w:tc>
        <w:tc>
          <w:tcPr>
            <w:tcW w:w="30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Arial" w:cs="Arial" w:eastAsia="Arial" w:hAnsi="Arial"/>
                <w:sz w:val="15"/>
                <w:szCs w:val="15"/>
                <w:b w:val="1"/>
                <w:bCs w:val="1"/>
                <w:color w:val="auto"/>
              </w:rPr>
              <w:t>245,383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289,299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312,566</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revenue and other noncurrent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94,383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90,346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124,510</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Total liabilities</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3,702,943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3,770,809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5,041,006</w:t>
            </w:r>
          </w:p>
        </w:tc>
        <w:tc>
          <w:tcPr>
            <w:tcW w:w="0" w:type="dxa"/>
            <w:vAlign w:val="bottom"/>
          </w:tcPr>
          <w:p>
            <w:pPr>
              <w:spacing w:after="0"/>
              <w:rPr>
                <w:sz w:val="1"/>
                <w:szCs w:val="1"/>
                <w:color w:val="auto"/>
              </w:rPr>
            </w:pPr>
          </w:p>
        </w:tc>
      </w:tr>
      <w:tr>
        <w:trPr>
          <w:trHeight w:val="18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60" w:type="dxa"/>
            <w:vAlign w:val="bottom"/>
            <w:gridSpan w:val="2"/>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8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5"/>
                <w:szCs w:val="15"/>
                <w:color w:val="auto"/>
              </w:rPr>
              <w:t>Common stock, no par, stated value $0.01 per share, 800,000,000 shares</w:t>
            </w:r>
          </w:p>
        </w:tc>
        <w:tc>
          <w:tcPr>
            <w:tcW w:w="30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2,187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8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authorized, shares issued of 218,719,439, 228,206,684 and 228,206,684</w:t>
            </w:r>
          </w:p>
        </w:tc>
        <w:tc>
          <w:tcPr>
            <w:tcW w:w="3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2,282</w:t>
            </w:r>
          </w:p>
        </w:tc>
        <w:tc>
          <w:tcPr>
            <w:tcW w:w="0" w:type="dxa"/>
            <w:vAlign w:val="bottom"/>
          </w:tcPr>
          <w:p>
            <w:pPr>
              <w:spacing w:after="0"/>
              <w:rPr>
                <w:sz w:val="1"/>
                <w:szCs w:val="1"/>
                <w:color w:val="auto"/>
              </w:rPr>
            </w:pPr>
          </w:p>
        </w:tc>
      </w:tr>
      <w:tr>
        <w:trPr>
          <w:trHeight w:val="202"/>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Additional paid-in capital</w:t>
            </w:r>
          </w:p>
        </w:tc>
        <w:tc>
          <w:tcPr>
            <w:tcW w:w="300" w:type="dxa"/>
            <w:vAlign w:val="bottom"/>
          </w:tcPr>
          <w:p>
            <w:pPr>
              <w:spacing w:after="0"/>
              <w:rPr>
                <w:sz w:val="17"/>
                <w:szCs w:val="17"/>
                <w:color w:val="auto"/>
              </w:rPr>
            </w:pPr>
          </w:p>
        </w:tc>
        <w:tc>
          <w:tcPr>
            <w:tcW w:w="1520" w:type="dxa"/>
            <w:vAlign w:val="bottom"/>
          </w:tcPr>
          <w:p>
            <w:pPr>
              <w:jc w:val="right"/>
              <w:ind w:right="3"/>
              <w:spacing w:after="0"/>
              <w:rPr>
                <w:sz w:val="20"/>
                <w:szCs w:val="20"/>
                <w:color w:val="auto"/>
              </w:rPr>
            </w:pPr>
            <w:r>
              <w:rPr>
                <w:rFonts w:ascii="Arial" w:cs="Arial" w:eastAsia="Arial" w:hAnsi="Arial"/>
                <w:sz w:val="15"/>
                <w:szCs w:val="15"/>
                <w:b w:val="1"/>
                <w:bCs w:val="1"/>
                <w:color w:val="auto"/>
              </w:rPr>
              <w:t>778,495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769,990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775,387</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Accumulated other comprehensive loss</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(11,693)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(25,391)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(51,576)</w:t>
            </w:r>
          </w:p>
        </w:tc>
        <w:tc>
          <w:tcPr>
            <w:tcW w:w="0" w:type="dxa"/>
            <w:vAlign w:val="bottom"/>
          </w:tcPr>
          <w:p>
            <w:pPr>
              <w:spacing w:after="0"/>
              <w:rPr>
                <w:sz w:val="1"/>
                <w:szCs w:val="1"/>
                <w:color w:val="auto"/>
              </w:rPr>
            </w:pPr>
          </w:p>
        </w:tc>
      </w:tr>
      <w:tr>
        <w:trPr>
          <w:trHeight w:val="202"/>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Retained earnings (deficit)</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(616,518)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(367,218)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42,965</w:t>
            </w: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Less treasury shares, at cost, of 35,225,825, 35,732,666 and 35,731,376</w:t>
            </w:r>
          </w:p>
        </w:tc>
        <w:tc>
          <w:tcPr>
            <w:tcW w:w="3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(687,051)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(698,042)</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(698,017)</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Total stockholders' equity (deficiency)</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(534,580)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(318,379)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71,041</w:t>
            </w:r>
          </w:p>
        </w:tc>
        <w:tc>
          <w:tcPr>
            <w:tcW w:w="0" w:type="dxa"/>
            <w:vAlign w:val="bottom"/>
          </w:tcPr>
          <w:p>
            <w:pPr>
              <w:spacing w:after="0"/>
              <w:rPr>
                <w:sz w:val="1"/>
                <w:szCs w:val="1"/>
                <w:color w:val="auto"/>
              </w:rPr>
            </w:pPr>
          </w:p>
        </w:tc>
      </w:tr>
      <w:tr>
        <w:trPr>
          <w:trHeight w:val="196"/>
        </w:trPr>
        <w:tc>
          <w:tcPr>
            <w:tcW w:w="5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Total liabilities and stockholders' equity</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3,168,363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3,452,430</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5,112,047</w:t>
            </w:r>
          </w:p>
        </w:tc>
        <w:tc>
          <w:tcPr>
            <w:tcW w:w="0" w:type="dxa"/>
            <w:vAlign w:val="bottom"/>
          </w:tcPr>
          <w:p>
            <w:pPr>
              <w:spacing w:after="0"/>
              <w:rPr>
                <w:sz w:val="1"/>
                <w:szCs w:val="1"/>
                <w:color w:val="auto"/>
              </w:rPr>
            </w:pPr>
          </w:p>
        </w:tc>
      </w:tr>
      <w:tr>
        <w:trPr>
          <w:trHeight w:val="34"/>
        </w:trPr>
        <w:tc>
          <w:tcPr>
            <w:tcW w:w="5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222885"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hanging="237"/>
        <w:spacing w:after="0"/>
        <w:tabs>
          <w:tab w:leader="none" w:pos="38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77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CONSOLIDATED STATEMENTS OF CASH FLOWS</w:t>
            </w:r>
          </w:p>
        </w:tc>
        <w:tc>
          <w:tcPr>
            <w:tcW w:w="4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(unaudited, in 000s)</w:t>
            </w:r>
          </w:p>
        </w:tc>
      </w:tr>
      <w:tr>
        <w:trPr>
          <w:trHeight w:val="20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Nine months ended January 31,</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210"/>
        </w:trPr>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4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(365,461)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(467,929)</w:t>
            </w:r>
          </w:p>
        </w:tc>
      </w:tr>
      <w:tr>
        <w:trPr>
          <w:trHeight w:val="217"/>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117,163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125,409</w:t>
            </w:r>
          </w:p>
        </w:tc>
      </w:tr>
      <w:tr>
        <w:trPr>
          <w:trHeight w:val="21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Provision</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37,517</w:t>
            </w:r>
          </w:p>
        </w:tc>
      </w:tr>
      <w:tr>
        <w:trPr>
          <w:trHeight w:val="215"/>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Deferred taxes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(39,858)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10,795</w:t>
            </w:r>
          </w:p>
        </w:tc>
      </w:tr>
      <w:tr>
        <w:trPr>
          <w:trHeight w:val="21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22,699</w:t>
            </w:r>
          </w:p>
        </w:tc>
      </w:tr>
      <w:tr>
        <w:trPr>
          <w:trHeight w:val="213"/>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Changes in assets and liabilities, net of acquisitions:</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Receivables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(438,307)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(684,323)</w:t>
            </w:r>
          </w:p>
        </w:tc>
      </w:tr>
      <w:tr>
        <w:trPr>
          <w:trHeight w:val="215"/>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Prepaid expenses, other current and noncurrent assets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(68,222)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(1,990)</w:t>
            </w:r>
          </w:p>
        </w:tc>
      </w:tr>
      <w:tr>
        <w:trPr>
          <w:trHeight w:val="217"/>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Accounts payable, accrued expenses, salaries, wages and payroll taxes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(37,601)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(166,204)</w:t>
            </w:r>
          </w:p>
        </w:tc>
      </w:tr>
      <w:tr>
        <w:trPr>
          <w:trHeight w:val="215"/>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Deferred revenue, other current and noncurrent liabilities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(24,951)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(55,064)</w:t>
            </w:r>
          </w:p>
        </w:tc>
      </w:tr>
      <w:tr>
        <w:trPr>
          <w:trHeight w:val="217"/>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Income tax receivables, accrued income taxes and income tax reserves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(94,922)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(282,488)</w:t>
            </w:r>
          </w:p>
        </w:tc>
      </w:tr>
      <w:tr>
        <w:trPr>
          <w:trHeight w:val="215"/>
        </w:trPr>
        <w:tc>
          <w:tcPr>
            <w:tcW w:w="77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Other, net</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(6,213)</w:t>
            </w:r>
          </w:p>
        </w:tc>
      </w:tr>
      <w:tr>
        <w:trPr>
          <w:trHeight w:val="210"/>
        </w:trPr>
        <w:tc>
          <w:tcPr>
            <w:tcW w:w="77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Net cash used in operating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(908,679)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(1,467,791)</w:t>
            </w:r>
          </w:p>
        </w:tc>
      </w:tr>
      <w:tr>
        <w:trPr>
          <w:trHeight w:val="34"/>
        </w:trPr>
        <w:tc>
          <w:tcPr>
            <w:tcW w:w="7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Capital expenditures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(47,996)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(66,510)</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made for business acquisitions, net of cash acquired</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(450,282)</w:t>
            </w: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Franchise loans funded</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(24,957)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(32,890)</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from franchisees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14,604</w:t>
            </w:r>
          </w:p>
        </w:tc>
      </w:tr>
      <w:tr>
        <w:trPr>
          <w:trHeight w:val="215"/>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45,376</w:t>
            </w:r>
          </w:p>
        </w:tc>
      </w:tr>
      <w:tr>
        <w:trPr>
          <w:trHeight w:val="210"/>
        </w:trPr>
        <w:tc>
          <w:tcPr>
            <w:tcW w:w="7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cash used in investing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(74,112)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(489,702)</w:t>
            </w:r>
          </w:p>
        </w:tc>
      </w:tr>
      <w:tr>
        <w:trPr>
          <w:trHeight w:val="34"/>
        </w:trPr>
        <w:tc>
          <w:tcPr>
            <w:tcW w:w="7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Repayments of line of credit borrowings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(2,320,000)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(285,000)</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line of credit borrowings</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1,320,000</w:t>
            </w: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Repayments of long-term debt</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(650,000)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issuance of long-term debt</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647,965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Dividends paid</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(147,887)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(154,827)</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Repurchase of common stock, including shares surrendered</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(153,158)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(256,199)</w:t>
            </w: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2,139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2,074</w:t>
            </w:r>
          </w:p>
        </w:tc>
      </w:tr>
      <w:tr>
        <w:trPr>
          <w:trHeight w:val="216"/>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(14,136)</w:t>
            </w:r>
          </w:p>
        </w:tc>
      </w:tr>
      <w:tr>
        <w:trPr>
          <w:trHeight w:val="249"/>
        </w:trPr>
        <w:tc>
          <w:tcPr>
            <w:tcW w:w="7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Net cash provided by (used in) financing activities</w:t>
            </w: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(1,442,825)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611,912</w:t>
            </w:r>
          </w:p>
        </w:tc>
      </w:tr>
      <w:tr>
        <w:trPr>
          <w:trHeight w:val="250"/>
        </w:trPr>
        <w:tc>
          <w:tcPr>
            <w:tcW w:w="7720" w:type="dxa"/>
            <w:vAlign w:val="bottom"/>
            <w:tcBorders>
              <w:top w:val="single" w:sz="8" w:color="CCEEFF"/>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Effects of exchange rate changes on cash</w:t>
            </w:r>
          </w:p>
        </w:tc>
        <w:tc>
          <w:tcPr>
            <w:tcW w:w="480" w:type="dxa"/>
            <w:vAlign w:val="bottom"/>
            <w:tcBorders>
              <w:top w:val="single" w:sz="8" w:color="CCEEFF"/>
              <w:bottom w:val="single" w:sz="8" w:color="CCEEFF"/>
            </w:tcBorders>
          </w:tcPr>
          <w:p>
            <w:pPr>
              <w:spacing w:after="0"/>
              <w:rPr>
                <w:sz w:val="21"/>
                <w:szCs w:val="21"/>
                <w:color w:val="auto"/>
              </w:rPr>
            </w:pPr>
          </w:p>
        </w:tc>
        <w:tc>
          <w:tcPr>
            <w:tcW w:w="12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14,004</w:t>
            </w:r>
          </w:p>
        </w:tc>
        <w:tc>
          <w:tcPr>
            <w:tcW w:w="100" w:type="dxa"/>
            <w:vAlign w:val="bottom"/>
            <w:tcBorders>
              <w:top w:val="single" w:sz="8" w:color="CCEEFF"/>
              <w:bottom w:val="single" w:sz="8" w:color="CCEEFF"/>
            </w:tcBorders>
          </w:tcPr>
          <w:p>
            <w:pPr>
              <w:spacing w:after="0"/>
              <w:rPr>
                <w:sz w:val="21"/>
                <w:szCs w:val="21"/>
                <w:color w:val="auto"/>
              </w:rPr>
            </w:pPr>
          </w:p>
        </w:tc>
        <w:tc>
          <w:tcPr>
            <w:tcW w:w="260" w:type="dxa"/>
            <w:vAlign w:val="bottom"/>
            <w:tcBorders>
              <w:top w:val="single" w:sz="8" w:color="CCEEFF"/>
              <w:bottom w:val="single" w:sz="8" w:color="CCEEFF"/>
            </w:tcBorders>
          </w:tcPr>
          <w:p>
            <w:pPr>
              <w:spacing w:after="0"/>
              <w:rPr>
                <w:sz w:val="21"/>
                <w:szCs w:val="21"/>
                <w:color w:val="auto"/>
              </w:rPr>
            </w:pPr>
          </w:p>
        </w:tc>
        <w:tc>
          <w:tcPr>
            <w:tcW w:w="14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rPr>
              <w:t>(359)</w:t>
            </w:r>
          </w:p>
        </w:tc>
      </w:tr>
      <w:tr>
        <w:trPr>
          <w:trHeight w:val="215"/>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Net decrease in cash and cash equivalents, including restricted balances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(2,411,612)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(1,345,940)</w:t>
            </w:r>
          </w:p>
        </w:tc>
      </w:tr>
      <w:tr>
        <w:trPr>
          <w:trHeight w:val="21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2,873,020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1,707,727</w:t>
            </w:r>
          </w:p>
        </w:tc>
      </w:tr>
      <w:tr>
        <w:trPr>
          <w:trHeight w:val="249"/>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461,408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361,787</w:t>
            </w:r>
          </w:p>
        </w:tc>
      </w:tr>
      <w:tr>
        <w:trPr>
          <w:trHeight w:val="215"/>
        </w:trPr>
        <w:tc>
          <w:tcPr>
            <w:tcW w:w="772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SUPPLEMENTARY CASH FLOW DATA:</w:t>
            </w:r>
          </w:p>
        </w:tc>
        <w:tc>
          <w:tcPr>
            <w:tcW w:w="4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taxes paid, net of refunds received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96,965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84,872</w:t>
            </w: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Interest paid on borrowings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78,098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65,972</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additions to property and equipment</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w:t>
            </w:r>
          </w:p>
        </w:tc>
      </w:tr>
      <w:tr>
        <w:trPr>
          <w:trHeight w:val="250"/>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New operating right of use assets and related lease liabilities</w:t>
            </w:r>
          </w:p>
        </w:tc>
        <w:tc>
          <w:tcPr>
            <w:tcW w:w="48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93,381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251,284</w:t>
            </w:r>
          </w:p>
        </w:tc>
      </w:tr>
      <w:tr>
        <w:trPr>
          <w:trHeight w:val="20"/>
        </w:trPr>
        <w:tc>
          <w:tcPr>
            <w:tcW w:w="7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640715</wp:posOffset>
            </wp:positionV>
            <wp:extent cx="22288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22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sz w:val="20"/>
          <w:szCs w:val="20"/>
          <w:color w:val="auto"/>
        </w:rPr>
        <w:tab/>
      </w:r>
      <w:r>
        <w:rPr>
          <w:rFonts w:ascii="Arial" w:cs="Arial" w:eastAsia="Arial" w:hAnsi="Arial"/>
          <w:sz w:val="14"/>
          <w:szCs w:val="14"/>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CONSOLIDATED STATEMENTS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5"/>
        </w:trPr>
        <w:tc>
          <w:tcPr>
            <w:tcW w:w="3180" w:type="dxa"/>
            <w:vAlign w:val="bottom"/>
            <w:gridSpan w:val="2"/>
            <w:vMerge w:val="restart"/>
          </w:tcPr>
          <w:p>
            <w:pPr>
              <w:ind w:left="20"/>
              <w:spacing w:after="0"/>
              <w:rPr>
                <w:sz w:val="20"/>
                <w:szCs w:val="20"/>
                <w:color w:val="auto"/>
              </w:rPr>
            </w:pPr>
            <w:r>
              <w:rPr>
                <w:rFonts w:ascii="Arial" w:cs="Arial" w:eastAsia="Arial" w:hAnsi="Arial"/>
                <w:sz w:val="25"/>
                <w:szCs w:val="25"/>
                <w:b w:val="1"/>
                <w:bCs w:val="1"/>
                <w:color w:val="auto"/>
              </w:rPr>
              <w:t>EQUITY</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jc w:val="right"/>
              <w:spacing w:after="0" w:line="135" w:lineRule="exact"/>
              <w:rPr>
                <w:sz w:val="20"/>
                <w:szCs w:val="20"/>
                <w:color w:val="auto"/>
              </w:rPr>
            </w:pPr>
            <w:r>
              <w:rPr>
                <w:rFonts w:ascii="Arial" w:cs="Arial" w:eastAsia="Arial" w:hAnsi="Arial"/>
                <w:sz w:val="14"/>
                <w:szCs w:val="14"/>
                <w:color w:val="auto"/>
              </w:rPr>
              <w:t>(amounts in 000s, except</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gridSpan w:val="2"/>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4"/>
            <w:vMerge w:val="restart"/>
          </w:tcPr>
          <w:p>
            <w:pPr>
              <w:jc w:val="right"/>
              <w:ind w:right="368"/>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Additional</w:t>
            </w:r>
          </w:p>
        </w:tc>
        <w:tc>
          <w:tcPr>
            <w:tcW w:w="160" w:type="dxa"/>
            <w:vAlign w:val="bottom"/>
          </w:tcPr>
          <w:p>
            <w:pPr>
              <w:spacing w:after="0"/>
              <w:rPr>
                <w:sz w:val="10"/>
                <w:szCs w:val="10"/>
                <w:color w:val="auto"/>
              </w:rPr>
            </w:pPr>
          </w:p>
        </w:tc>
        <w:tc>
          <w:tcPr>
            <w:tcW w:w="1180" w:type="dxa"/>
            <w:vAlign w:val="bottom"/>
            <w:gridSpan w:val="2"/>
          </w:tcPr>
          <w:p>
            <w:pPr>
              <w:ind w:left="680"/>
              <w:spacing w:after="0" w:line="110" w:lineRule="exact"/>
              <w:rPr>
                <w:sz w:val="20"/>
                <w:szCs w:val="20"/>
                <w:color w:val="auto"/>
              </w:rPr>
            </w:pPr>
            <w:r>
              <w:rPr>
                <w:rFonts w:ascii="Arial" w:cs="Arial" w:eastAsia="Arial" w:hAnsi="Arial"/>
                <w:sz w:val="12"/>
                <w:szCs w:val="12"/>
                <w:color w:val="auto"/>
              </w:rPr>
              <w:t>Other</w:t>
            </w:r>
          </w:p>
        </w:tc>
        <w:tc>
          <w:tcPr>
            <w:tcW w:w="180" w:type="dxa"/>
            <w:vAlign w:val="bottom"/>
          </w:tcPr>
          <w:p>
            <w:pPr>
              <w:spacing w:after="0"/>
              <w:rPr>
                <w:sz w:val="10"/>
                <w:szCs w:val="10"/>
                <w:color w:val="auto"/>
              </w:rPr>
            </w:pPr>
          </w:p>
        </w:tc>
        <w:tc>
          <w:tcPr>
            <w:tcW w:w="82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Retained</w:t>
            </w:r>
          </w:p>
        </w:tc>
        <w:tc>
          <w:tcPr>
            <w:tcW w:w="18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spacing w:after="0" w:line="110" w:lineRule="exact"/>
              <w:rPr>
                <w:sz w:val="20"/>
                <w:szCs w:val="20"/>
                <w:color w:val="auto"/>
              </w:rPr>
            </w:pPr>
            <w:r>
              <w:rPr>
                <w:rFonts w:ascii="Arial" w:cs="Arial" w:eastAsia="Arial" w:hAnsi="Arial"/>
                <w:sz w:val="12"/>
                <w:szCs w:val="12"/>
                <w:color w:val="auto"/>
              </w:rPr>
              <w:t>Stockholders’</w:t>
            </w: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00"/>
              <w:spacing w:after="0" w:line="133"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1"/>
                <w:szCs w:val="11"/>
                <w:color w:val="auto"/>
              </w:rPr>
            </w:pPr>
          </w:p>
        </w:tc>
        <w:tc>
          <w:tcPr>
            <w:tcW w:w="1180" w:type="dxa"/>
            <w:vAlign w:val="bottom"/>
            <w:gridSpan w:val="2"/>
          </w:tcPr>
          <w:p>
            <w:pPr>
              <w:jc w:val="right"/>
              <w:ind w:right="100"/>
              <w:spacing w:after="0" w:line="133"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4"/>
                <w:szCs w:val="14"/>
                <w:color w:val="auto"/>
              </w:rPr>
              <w:t>Earnings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Income (Loss)</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(Deficiency)</w:t>
            </w:r>
          </w:p>
        </w:tc>
        <w:tc>
          <w:tcPr>
            <w:tcW w:w="0" w:type="dxa"/>
            <w:vAlign w:val="bottom"/>
          </w:tcPr>
          <w:p>
            <w:pPr>
              <w:spacing w:after="0"/>
              <w:rPr>
                <w:sz w:val="1"/>
                <w:szCs w:val="1"/>
                <w:color w:val="auto"/>
              </w:rPr>
            </w:pPr>
          </w:p>
        </w:tc>
      </w:tr>
      <w:tr>
        <w:trPr>
          <w:trHeight w:val="18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as of May 1, 2020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228,207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775,387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(51,576)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42,965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(698,017)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71,041</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91,259</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91,259</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17,539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17,539</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7,422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7,422</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(1,247)</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973</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(1)</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(2,913)</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(50,044)</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(50,044)</w:t>
            </w:r>
          </w:p>
        </w:tc>
        <w:tc>
          <w:tcPr>
            <w:tcW w:w="0" w:type="dxa"/>
            <w:vAlign w:val="bottom"/>
          </w:tcPr>
          <w:p>
            <w:pPr>
              <w:spacing w:after="0"/>
              <w:rPr>
                <w:sz w:val="1"/>
                <w:szCs w:val="1"/>
                <w:color w:val="auto"/>
              </w:rPr>
            </w:pPr>
          </w:p>
        </w:tc>
      </w:tr>
      <w:tr>
        <w:trPr>
          <w:trHeight w:val="183"/>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Balances as of July 31,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228,207</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2,282</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772,782</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(34,037)</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82,933</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(35,308)</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(688,683)</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135,277</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(223,726)</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(223,726)</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2,330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2,330</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6,768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6,768</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(9,488)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(5,597)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(144,450)</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(150,142)</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(50,154)</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(50,154)</w:t>
            </w:r>
          </w:p>
        </w:tc>
        <w:tc>
          <w:tcPr>
            <w:tcW w:w="0" w:type="dxa"/>
            <w:vAlign w:val="bottom"/>
          </w:tcPr>
          <w:p>
            <w:pPr>
              <w:spacing w:after="0"/>
              <w:rPr>
                <w:sz w:val="1"/>
                <w:szCs w:val="1"/>
                <w:color w:val="auto"/>
              </w:rPr>
            </w:pPr>
          </w:p>
        </w:tc>
      </w:tr>
      <w:tr>
        <w:trPr>
          <w:trHeight w:val="183"/>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Balances as of October 31,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218,719</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2,187</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773,691</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(31,707)</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(335,617)</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(35,301)</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(688,520)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(279,966)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(232,994)</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(232,994)</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20,014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20,014</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5,265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5,265</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(218)</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794</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(47,689)</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(47,689)</w:t>
            </w:r>
          </w:p>
        </w:tc>
        <w:tc>
          <w:tcPr>
            <w:tcW w:w="0" w:type="dxa"/>
            <w:vAlign w:val="bottom"/>
          </w:tcPr>
          <w:p>
            <w:pPr>
              <w:spacing w:after="0"/>
              <w:rPr>
                <w:sz w:val="1"/>
                <w:szCs w:val="1"/>
                <w:color w:val="auto"/>
              </w:rPr>
            </w:pPr>
          </w:p>
        </w:tc>
      </w:tr>
      <w:tr>
        <w:trPr>
          <w:trHeight w:val="183"/>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as of January 31,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218,719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778,495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(11,693)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(616,518)</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(35,226)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(687,051)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(534,580)</w:t>
            </w:r>
          </w:p>
        </w:tc>
        <w:tc>
          <w:tcPr>
            <w:tcW w:w="0" w:type="dxa"/>
            <w:vAlign w:val="bottom"/>
          </w:tcPr>
          <w:p>
            <w:pPr>
              <w:spacing w:after="0"/>
              <w:rPr>
                <w:sz w:val="1"/>
                <w:szCs w:val="1"/>
                <w:color w:val="auto"/>
              </w:rPr>
            </w:pPr>
          </w:p>
        </w:tc>
      </w:tr>
      <w:tr>
        <w:trPr>
          <w:trHeight w:val="34"/>
        </w:trPr>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shares swapped or surrendered to us in connection with the vesting or exercise of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6256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560" cy="20574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w:t>
      </w:r>
    </w:p>
    <w:p>
      <w:pPr>
        <w:ind w:left="280" w:hanging="184"/>
        <w:spacing w:after="0"/>
        <w:tabs>
          <w:tab w:leader="none" w:pos="280" w:val="left"/>
        </w:tabs>
        <w:numPr>
          <w:ilvl w:val="0"/>
          <w:numId w:val="5"/>
        </w:numPr>
        <w:rPr>
          <w:rFonts w:ascii="Arial" w:cs="Arial" w:eastAsia="Arial" w:hAnsi="Arial"/>
          <w:sz w:val="14"/>
          <w:szCs w:val="14"/>
          <w:color w:val="FFFFFF"/>
          <w:highlight w:val="black"/>
        </w:rPr>
      </w:pPr>
      <w:r>
        <w:rPr>
          <w:rFonts w:ascii="Arial" w:cs="Arial" w:eastAsia="Arial" w:hAnsi="Arial"/>
          <w:sz w:val="14"/>
          <w:szCs w:val="14"/>
          <w:b w:val="1"/>
          <w:bCs w:val="1"/>
          <w:color w:val="auto"/>
        </w:rPr>
        <w:t>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CONSOLIDATED STATEMENTS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5"/>
        </w:trPr>
        <w:tc>
          <w:tcPr>
            <w:tcW w:w="3180" w:type="dxa"/>
            <w:vAlign w:val="bottom"/>
            <w:gridSpan w:val="2"/>
            <w:vMerge w:val="restart"/>
          </w:tcPr>
          <w:p>
            <w:pPr>
              <w:ind w:left="20"/>
              <w:spacing w:after="0"/>
              <w:rPr>
                <w:sz w:val="20"/>
                <w:szCs w:val="20"/>
                <w:color w:val="auto"/>
              </w:rPr>
            </w:pPr>
            <w:r>
              <w:rPr>
                <w:rFonts w:ascii="Arial" w:cs="Arial" w:eastAsia="Arial" w:hAnsi="Arial"/>
                <w:sz w:val="25"/>
                <w:szCs w:val="25"/>
                <w:b w:val="1"/>
                <w:bCs w:val="1"/>
                <w:color w:val="auto"/>
              </w:rPr>
              <w:t>EQUITY</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jc w:val="right"/>
              <w:spacing w:after="0" w:line="135" w:lineRule="exact"/>
              <w:rPr>
                <w:sz w:val="20"/>
                <w:szCs w:val="20"/>
                <w:color w:val="auto"/>
              </w:rPr>
            </w:pPr>
            <w:r>
              <w:rPr>
                <w:rFonts w:ascii="Arial" w:cs="Arial" w:eastAsia="Arial" w:hAnsi="Arial"/>
                <w:sz w:val="14"/>
                <w:szCs w:val="14"/>
                <w:color w:val="auto"/>
              </w:rPr>
              <w:t>(amounts in 000s, except</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gridSpan w:val="2"/>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4"/>
            <w:vMerge w:val="restart"/>
          </w:tcPr>
          <w:p>
            <w:pPr>
              <w:jc w:val="right"/>
              <w:ind w:right="368"/>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Additional</w:t>
            </w:r>
          </w:p>
        </w:tc>
        <w:tc>
          <w:tcPr>
            <w:tcW w:w="160" w:type="dxa"/>
            <w:vAlign w:val="bottom"/>
          </w:tcPr>
          <w:p>
            <w:pPr>
              <w:spacing w:after="0"/>
              <w:rPr>
                <w:sz w:val="10"/>
                <w:szCs w:val="10"/>
                <w:color w:val="auto"/>
              </w:rPr>
            </w:pPr>
          </w:p>
        </w:tc>
        <w:tc>
          <w:tcPr>
            <w:tcW w:w="1180" w:type="dxa"/>
            <w:vAlign w:val="bottom"/>
            <w:gridSpan w:val="2"/>
          </w:tcPr>
          <w:p>
            <w:pPr>
              <w:ind w:left="680"/>
              <w:spacing w:after="0" w:line="110" w:lineRule="exact"/>
              <w:rPr>
                <w:sz w:val="20"/>
                <w:szCs w:val="20"/>
                <w:color w:val="auto"/>
              </w:rPr>
            </w:pPr>
            <w:r>
              <w:rPr>
                <w:rFonts w:ascii="Arial" w:cs="Arial" w:eastAsia="Arial" w:hAnsi="Arial"/>
                <w:sz w:val="12"/>
                <w:szCs w:val="12"/>
                <w:color w:val="auto"/>
              </w:rPr>
              <w:t>Other</w:t>
            </w:r>
          </w:p>
        </w:tc>
        <w:tc>
          <w:tcPr>
            <w:tcW w:w="180" w:type="dxa"/>
            <w:vAlign w:val="bottom"/>
          </w:tcPr>
          <w:p>
            <w:pPr>
              <w:spacing w:after="0"/>
              <w:rPr>
                <w:sz w:val="10"/>
                <w:szCs w:val="10"/>
                <w:color w:val="auto"/>
              </w:rPr>
            </w:pPr>
          </w:p>
        </w:tc>
        <w:tc>
          <w:tcPr>
            <w:tcW w:w="82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Retained</w:t>
            </w:r>
          </w:p>
        </w:tc>
        <w:tc>
          <w:tcPr>
            <w:tcW w:w="18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spacing w:after="0" w:line="110" w:lineRule="exact"/>
              <w:rPr>
                <w:sz w:val="20"/>
                <w:szCs w:val="20"/>
                <w:color w:val="auto"/>
              </w:rPr>
            </w:pPr>
            <w:r>
              <w:rPr>
                <w:rFonts w:ascii="Arial" w:cs="Arial" w:eastAsia="Arial" w:hAnsi="Arial"/>
                <w:sz w:val="12"/>
                <w:szCs w:val="12"/>
                <w:color w:val="auto"/>
              </w:rPr>
              <w:t>Stockholders’</w:t>
            </w: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00"/>
              <w:spacing w:after="0" w:line="133"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1"/>
                <w:szCs w:val="11"/>
                <w:color w:val="auto"/>
              </w:rPr>
            </w:pPr>
          </w:p>
        </w:tc>
        <w:tc>
          <w:tcPr>
            <w:tcW w:w="1180" w:type="dxa"/>
            <w:vAlign w:val="bottom"/>
            <w:gridSpan w:val="2"/>
          </w:tcPr>
          <w:p>
            <w:pPr>
              <w:jc w:val="right"/>
              <w:ind w:right="100"/>
              <w:spacing w:after="0" w:line="133"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4"/>
                <w:szCs w:val="14"/>
                <w:color w:val="auto"/>
              </w:rPr>
              <w:t>Earnings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Income (Loss)</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(Deficiency)</w:t>
            </w:r>
          </w:p>
        </w:tc>
        <w:tc>
          <w:tcPr>
            <w:tcW w:w="0" w:type="dxa"/>
            <w:vAlign w:val="bottom"/>
          </w:tcPr>
          <w:p>
            <w:pPr>
              <w:spacing w:after="0"/>
              <w:rPr>
                <w:sz w:val="1"/>
                <w:szCs w:val="1"/>
                <w:color w:val="auto"/>
              </w:rPr>
            </w:pPr>
          </w:p>
        </w:tc>
      </w:tr>
      <w:tr>
        <w:trPr>
          <w:trHeight w:val="18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as of May 1, 2019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767,636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499,386</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(707,462)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541,527</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(150,247)</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(150,247)</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6,557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6,557</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(1)</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(9,185)</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(43,101)</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(44,072)</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(52,512)</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(52,512)</w:t>
            </w:r>
          </w:p>
        </w:tc>
        <w:tc>
          <w:tcPr>
            <w:tcW w:w="0" w:type="dxa"/>
            <w:vAlign w:val="bottom"/>
          </w:tcPr>
          <w:p>
            <w:pPr>
              <w:spacing w:after="0"/>
              <w:rPr>
                <w:sz w:val="1"/>
                <w:szCs w:val="1"/>
                <w:color w:val="auto"/>
              </w:rPr>
            </w:pPr>
          </w:p>
        </w:tc>
      </w:tr>
      <w:tr>
        <w:trPr>
          <w:trHeight w:val="183"/>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as of July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236,744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759,449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(22,736)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250,740</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(35,785)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(699,016)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290,804</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(187,999)</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(187,999)</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9,331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9,331</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(1)</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(133,449)</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(136,939)</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(51,551)</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(51,551)</w:t>
            </w:r>
          </w:p>
        </w:tc>
        <w:tc>
          <w:tcPr>
            <w:tcW w:w="0" w:type="dxa"/>
            <w:vAlign w:val="bottom"/>
          </w:tcPr>
          <w:p>
            <w:pPr>
              <w:spacing w:after="0"/>
              <w:rPr>
                <w:sz w:val="1"/>
                <w:szCs w:val="1"/>
                <w:color w:val="auto"/>
              </w:rPr>
            </w:pPr>
          </w:p>
        </w:tc>
      </w:tr>
      <w:tr>
        <w:trPr>
          <w:trHeight w:val="183"/>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as of October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231,024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765,220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(21,817)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(122,535)</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(35,778)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(698,925)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(75,747)</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(129,683)</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(129,683)</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(3,574)</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6,529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6,529</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(1)</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(64,056)</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(65,774)</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(50,764)</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(50,764)</w:t>
            </w:r>
          </w:p>
        </w:tc>
        <w:tc>
          <w:tcPr>
            <w:tcW w:w="0" w:type="dxa"/>
            <w:vAlign w:val="bottom"/>
          </w:tcPr>
          <w:p>
            <w:pPr>
              <w:spacing w:after="0"/>
              <w:rPr>
                <w:sz w:val="1"/>
                <w:szCs w:val="1"/>
                <w:color w:val="auto"/>
              </w:rPr>
            </w:pPr>
          </w:p>
        </w:tc>
      </w:tr>
      <w:tr>
        <w:trPr>
          <w:trHeight w:val="183"/>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as of January 31,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228,207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769,990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(25,391)</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(367,218)</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(35,733)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(698,042)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(318,379)</w:t>
            </w:r>
          </w:p>
        </w:tc>
        <w:tc>
          <w:tcPr>
            <w:tcW w:w="0" w:type="dxa"/>
            <w:vAlign w:val="bottom"/>
          </w:tcPr>
          <w:p>
            <w:pPr>
              <w:spacing w:after="0"/>
              <w:rPr>
                <w:sz w:val="1"/>
                <w:szCs w:val="1"/>
                <w:color w:val="auto"/>
              </w:rPr>
            </w:pPr>
          </w:p>
        </w:tc>
      </w:tr>
      <w:tr>
        <w:trPr>
          <w:trHeight w:val="34"/>
        </w:trPr>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0" w:hanging="272"/>
        <w:spacing w:after="0"/>
        <w:tabs>
          <w:tab w:leader="none" w:pos="28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shares swapped or surrendered to us in connection with the vesting or exercise of stock-based awards.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563245</wp:posOffset>
            </wp:positionV>
            <wp:extent cx="17145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w:t>
      </w:r>
    </w:p>
    <w:p>
      <w:pPr>
        <w:ind w:left="10260"/>
        <w:spacing w:after="0"/>
        <w:rPr>
          <w:sz w:val="20"/>
          <w:szCs w:val="20"/>
          <w:color w:val="auto"/>
        </w:rPr>
      </w:pPr>
      <w:r>
        <w:rPr>
          <w:rFonts w:ascii="Arial" w:cs="Arial" w:eastAsia="Arial" w:hAnsi="Arial"/>
          <w:sz w:val="14"/>
          <w:szCs w:val="14"/>
          <w:color w:val="auto"/>
        </w:rPr>
        <w:t xml:space="preserve">Form 10-Q  </w:t>
      </w:r>
      <w:r>
        <w:rPr>
          <w:rFonts w:ascii="Arial" w:cs="Arial" w:eastAsia="Arial" w:hAnsi="Arial"/>
          <w:sz w:val="14"/>
          <w:szCs w:val="14"/>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6600" w:val="left"/>
        </w:tabs>
        <w:rPr>
          <w:sz w:val="20"/>
          <w:szCs w:val="20"/>
          <w:color w:val="auto"/>
        </w:rPr>
      </w:pPr>
      <w:r>
        <w:rPr>
          <w:rFonts w:ascii="Arial" w:cs="Arial" w:eastAsia="Arial" w:hAnsi="Arial"/>
          <w:sz w:val="22"/>
          <w:szCs w:val="22"/>
          <w:b w:val="1"/>
          <w:bCs w:val="1"/>
          <w:color w:val="auto"/>
        </w:rPr>
        <w:t>NOTES TO CONSOLIDATED FINANCIAL STATEMENTS</w:t>
      </w:r>
      <w:r>
        <w:rPr>
          <w:sz w:val="20"/>
          <w:szCs w:val="20"/>
          <w:color w:val="auto"/>
        </w:rPr>
        <w:tab/>
      </w:r>
      <w:r>
        <w:rPr>
          <w:rFonts w:ascii="Arial" w:cs="Arial" w:eastAsia="Arial" w:hAnsi="Arial"/>
          <w:sz w:val="21"/>
          <w:szCs w:val="21"/>
          <w:color w:val="auto"/>
        </w:rPr>
        <w:t>(unaudited)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balance sheets as of January 31, 2021 and 2020, the consolidated statements of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comprehensive loss for the three and nine months ended January 31, 2021 and 2020, the consolidated statements of cash flows for the nine months ended January 31, 2021 and 2020, and the consolidated statements of stockholders' equity for the three and nine months ended January 31, 2021 and 2020 have been prepared by the Company, without audit. In the opinion of management, all adjustments, which include only normal recurring adjustments, necessary to present fairly the financial position, results of operations, and cash flows as of January 31, 2021 and 2020 and for all periods presented, have been made.</w:t>
      </w:r>
    </w:p>
    <w:p>
      <w:pPr>
        <w:spacing w:after="0" w:line="96"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"H&amp;R Block," "the Company," "we," "our," and "us" are used interchangeably to refer to H&amp;R Block, Inc. or to H&amp;R Block, Inc. and its subsidiaries, as appropriate to the context.</w:t>
      </w:r>
    </w:p>
    <w:p>
      <w:pPr>
        <w:spacing w:after="0" w:line="9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April 30, 2020 Annual Report to Shareholders on Form 10-K. All amounts presented herein as of April 30, 2020 or for the year then ended are derived from our Annual Report on Form 10-K.</w:t>
      </w:r>
    </w:p>
    <w:p>
      <w:pPr>
        <w:spacing w:after="0" w:line="74"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fair value of reporting units, and related matters. Estimates have been prepared based on the best information available as of each balance sheet date. As such, actual results could differ materially from those estimates.</w:t>
      </w:r>
    </w:p>
    <w:p>
      <w:pPr>
        <w:spacing w:after="0" w:line="75"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b w:val="1"/>
          <w:bCs w:val="1"/>
          <w:color w:val="auto"/>
        </w:rPr>
        <w:t xml:space="preserve">SEASONALITY OF BUSINESS </w:t>
      </w:r>
      <w:r>
        <w:rPr>
          <w:rFonts w:ascii="Arial" w:cs="Arial" w:eastAsia="Arial" w:hAnsi="Arial"/>
          <w:sz w:val="18"/>
          <w:szCs w:val="18"/>
          <w:color w:val="auto"/>
        </w:rPr>
        <w:t>– Our operating revenues are seasonal in nature with peak revenues typically occurring in the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through April. Therefore, results for interim periods are not indicative of results to be expected for the full year.</w:t>
      </w:r>
    </w:p>
    <w:p>
      <w:pPr>
        <w:spacing w:after="0" w:line="45"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b w:val="1"/>
          <w:bCs w:val="1"/>
          <w:color w:val="auto"/>
        </w:rPr>
        <w:t xml:space="preserve">IMPACTS OF THE COVID-19 PANDEMIC - </w:t>
      </w:r>
      <w:r>
        <w:rPr>
          <w:rFonts w:ascii="Arial" w:cs="Arial" w:eastAsia="Arial" w:hAnsi="Arial"/>
          <w:sz w:val="18"/>
          <w:szCs w:val="18"/>
          <w:color w:val="auto"/>
        </w:rPr>
        <w:t>During March 2020, the World Health Organization declared the coronavirus (COVID-19)</w:t>
      </w:r>
      <w:r>
        <w:rPr>
          <w:rFonts w:ascii="Arial" w:cs="Arial" w:eastAsia="Arial" w:hAnsi="Arial"/>
          <w:sz w:val="18"/>
          <w:szCs w:val="18"/>
          <w:b w:val="1"/>
          <w:bCs w:val="1"/>
          <w:color w:val="auto"/>
        </w:rPr>
        <w:t xml:space="preserve"> </w:t>
      </w:r>
      <w:r>
        <w:rPr>
          <w:rFonts w:ascii="Arial" w:cs="Arial" w:eastAsia="Arial" w:hAnsi="Arial"/>
          <w:sz w:val="18"/>
          <w:szCs w:val="18"/>
          <w:color w:val="auto"/>
        </w:rPr>
        <w:t>outbreak to be a global pandemic. As a result of the COVID-19 pandemic, on March 21, 2020, the federal tax filing deadline in the United States (U.S.) for individual 2019 tax returns was extended from April 15, 2020 to July 15, 2020. Substantially all U.S. states with an April 15 individual state income tax filing requirement extended their respective deadlines. In Canada, the deadline for individuals to file was extended to June 1, 2020. These extensions impacted the typical seasonality of our business and the comparability of our financial results. Consequently, a portion of revenues and expenses that would have normally been recognized in our fourth quarter of fiscal year 2020 shifted to the first two quarters of fiscal year 2021.</w:t>
      </w:r>
    </w:p>
    <w:p>
      <w:pPr>
        <w:spacing w:after="0" w:line="97" w:lineRule="exact"/>
        <w:rPr>
          <w:sz w:val="20"/>
          <w:szCs w:val="20"/>
          <w:color w:val="auto"/>
        </w:rPr>
      </w:pPr>
    </w:p>
    <w:p>
      <w:pPr>
        <w:jc w:val="both"/>
        <w:ind w:firstLine="202"/>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On January 15, 2021, the Internal Revenue Service (IRS) announced that it would begin accepting and processing 2020 individual income tax returns on February 12, 2021. Historically, the IRS has begun accepting and processing returns during our third fiscal quarter. This delay has impacted the timing of recognizing a portion of revenue for the returns that we prepared during the quarter but were not able to electronically file with the IRS. See </w:t>
      </w:r>
      <w:hyperlink w:anchor="page9">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74" w:lineRule="exact"/>
        <w:rPr>
          <w:sz w:val="20"/>
          <w:szCs w:val="20"/>
          <w:color w:val="auto"/>
        </w:rPr>
      </w:pPr>
    </w:p>
    <w:p>
      <w:pPr>
        <w:jc w:val="both"/>
        <w:ind w:firstLine="202"/>
        <w:spacing w:after="0" w:line="268" w:lineRule="auto"/>
        <w:rPr>
          <w:rFonts w:ascii="Arial" w:cs="Arial" w:eastAsia="Arial" w:hAnsi="Arial"/>
          <w:sz w:val="18"/>
          <w:szCs w:val="18"/>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known as Option One Mortgage Corporation (including its subsidiaries, collectively, SCC), which exited its mortgage business in fiscal year 2008. See </w:t>
      </w:r>
      <w:hyperlink w:anchor="page17">
        <w:r>
          <w:rPr>
            <w:rFonts w:ascii="Arial" w:cs="Arial" w:eastAsia="Arial" w:hAnsi="Arial"/>
            <w:sz w:val="18"/>
            <w:szCs w:val="18"/>
            <w:u w:val="single" w:color="auto"/>
            <w:color w:val="0000FF"/>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on litigation, claims, and other loss contingencies related to our discontinued operations.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NEW ACCOUNTING PRONOUNCEMENTS </w:t>
      </w:r>
      <w:r>
        <w:rPr>
          <w:rFonts w:ascii="Arial" w:cs="Arial" w:eastAsia="Arial" w:hAnsi="Arial"/>
          <w:sz w:val="18"/>
          <w:szCs w:val="18"/>
          <w:color w:val="auto"/>
        </w:rPr>
        <w:t>–</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Current Expected Credit Losses. </w:t>
      </w:r>
      <w:r>
        <w:rPr>
          <w:rFonts w:ascii="Arial" w:cs="Arial" w:eastAsia="Arial" w:hAnsi="Arial"/>
          <w:sz w:val="18"/>
          <w:szCs w:val="18"/>
          <w:color w:val="auto"/>
        </w:rPr>
        <w:t>In June 2016, the Financial Accounting Standards Board issued Accounting Standards Update No.</w:t>
      </w:r>
      <w:r>
        <w:rPr>
          <w:rFonts w:ascii="Arial" w:cs="Arial" w:eastAsia="Arial" w:hAnsi="Arial"/>
          <w:sz w:val="18"/>
          <w:szCs w:val="18"/>
          <w:b w:val="1"/>
          <w:bCs w:val="1"/>
          <w:color w:val="auto"/>
        </w:rPr>
        <w:t xml:space="preserve"> </w:t>
      </w:r>
      <w:r>
        <w:rPr>
          <w:rFonts w:ascii="Arial" w:cs="Arial" w:eastAsia="Arial" w:hAnsi="Arial"/>
          <w:sz w:val="18"/>
          <w:szCs w:val="18"/>
          <w:color w:val="auto"/>
        </w:rPr>
        <w:t>2016-13 (ASU 2016-13), "Measurement of Credit Losses on Financial Instruments,"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21463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0" w:hanging="223"/>
        <w:spacing w:after="0"/>
        <w:tabs>
          <w:tab w:leader="none" w:pos="360" w:val="left"/>
        </w:tabs>
        <w:numPr>
          <w:ilvl w:val="0"/>
          <w:numId w:val="7"/>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replaces the existing incurred credit loss model for an expected credit loss model. We adopted ASU 2016-13 as of May 1, 2020, which did not have a material impact on our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majority of our revenues are from our U.S. Tax Services business. The following table disaggregates our U.S. Tax Services revenues by major service line, with revenues from our international tax services businesses and from Wave included as separate lines: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40" w:type="dxa"/>
            <w:vAlign w:val="bottom"/>
            <w:gridSpan w:val="5"/>
          </w:tcPr>
          <w:p>
            <w:pPr>
              <w:ind w:left="240"/>
              <w:spacing w:after="0"/>
              <w:rPr>
                <w:sz w:val="20"/>
                <w:szCs w:val="20"/>
                <w:color w:val="auto"/>
              </w:rPr>
            </w:pPr>
            <w:r>
              <w:rPr>
                <w:rFonts w:ascii="Arial" w:cs="Arial" w:eastAsia="Arial" w:hAnsi="Arial"/>
                <w:sz w:val="16"/>
                <w:szCs w:val="16"/>
                <w:color w:val="auto"/>
              </w:rPr>
              <w:t>Three months ended January 31,</w:t>
            </w:r>
          </w:p>
        </w:tc>
        <w:tc>
          <w:tcPr>
            <w:tcW w:w="280" w:type="dxa"/>
            <w:vAlign w:val="bottom"/>
          </w:tcPr>
          <w:p>
            <w:pPr>
              <w:spacing w:after="0"/>
              <w:rPr>
                <w:sz w:val="17"/>
                <w:szCs w:val="17"/>
                <w:color w:val="auto"/>
              </w:rPr>
            </w:pPr>
          </w:p>
        </w:tc>
        <w:tc>
          <w:tcPr>
            <w:tcW w:w="2880" w:type="dxa"/>
            <w:vAlign w:val="bottom"/>
            <w:gridSpan w:val="4"/>
          </w:tcPr>
          <w:p>
            <w:pPr>
              <w:jc w:val="right"/>
              <w:ind w:right="360"/>
              <w:spacing w:after="0"/>
              <w:rPr>
                <w:sz w:val="20"/>
                <w:szCs w:val="20"/>
                <w:color w:val="auto"/>
              </w:rPr>
            </w:pPr>
            <w:r>
              <w:rPr>
                <w:rFonts w:ascii="Arial" w:cs="Arial" w:eastAsia="Arial" w:hAnsi="Arial"/>
                <w:sz w:val="16"/>
                <w:szCs w:val="16"/>
                <w:color w:val="auto"/>
              </w:rPr>
              <w:t>Nine months ended January 31,</w:t>
            </w:r>
          </w:p>
        </w:tc>
      </w:tr>
      <w:tr>
        <w:trPr>
          <w:trHeight w:val="212"/>
        </w:trPr>
        <w:tc>
          <w:tcPr>
            <w:tcW w:w="4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1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4380" w:type="dxa"/>
            <w:vAlign w:val="bottom"/>
            <w:gridSpan w:val="2"/>
          </w:tcPr>
          <w:p>
            <w:pPr>
              <w:ind w:left="140"/>
              <w:spacing w:after="0"/>
              <w:rPr>
                <w:sz w:val="20"/>
                <w:szCs w:val="20"/>
                <w:color w:val="auto"/>
              </w:rPr>
            </w:pPr>
            <w:r>
              <w:rPr>
                <w:rFonts w:ascii="Arial" w:cs="Arial" w:eastAsia="Arial" w:hAnsi="Arial"/>
                <w:sz w:val="16"/>
                <w:szCs w:val="16"/>
                <w:color w:val="auto"/>
              </w:rPr>
              <w:t>U.S. assisted tax preparation</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154,489</w:t>
            </w:r>
          </w:p>
        </w:tc>
        <w:tc>
          <w:tcPr>
            <w:tcW w:w="54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283,956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541,139</w:t>
            </w:r>
          </w:p>
        </w:tc>
        <w:tc>
          <w:tcPr>
            <w:tcW w:w="12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358,174</w:t>
            </w:r>
          </w:p>
        </w:tc>
      </w:tr>
      <w:tr>
        <w:trPr>
          <w:trHeight w:val="217"/>
        </w:trPr>
        <w:tc>
          <w:tcPr>
            <w:tcW w:w="4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royalties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23,902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67,427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59,644</w:t>
            </w:r>
          </w:p>
        </w:tc>
      </w:tr>
      <w:tr>
        <w:trPr>
          <w:trHeight w:val="215"/>
        </w:trPr>
        <w:tc>
          <w:tcPr>
            <w:tcW w:w="4380" w:type="dxa"/>
            <w:vAlign w:val="bottom"/>
            <w:gridSpan w:val="2"/>
          </w:tcPr>
          <w:p>
            <w:pPr>
              <w:ind w:left="140"/>
              <w:spacing w:after="0"/>
              <w:rPr>
                <w:sz w:val="20"/>
                <w:szCs w:val="20"/>
                <w:color w:val="auto"/>
              </w:rPr>
            </w:pPr>
            <w:r>
              <w:rPr>
                <w:rFonts w:ascii="Arial" w:cs="Arial" w:eastAsia="Arial" w:hAnsi="Arial"/>
                <w:sz w:val="16"/>
                <w:szCs w:val="16"/>
                <w:color w:val="auto"/>
              </w:rPr>
              <w:t>U.S. DIY tax preparation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21,681</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34,089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94,331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42,040</w:t>
            </w:r>
          </w:p>
        </w:tc>
      </w:tr>
      <w:tr>
        <w:trPr>
          <w:trHeight w:val="217"/>
        </w:trPr>
        <w:tc>
          <w:tcPr>
            <w:tcW w:w="4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15,671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132,347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97,311</w:t>
            </w:r>
          </w:p>
        </w:tc>
      </w:tr>
      <w:tr>
        <w:trPr>
          <w:trHeight w:val="215"/>
        </w:trPr>
        <w:tc>
          <w:tcPr>
            <w:tcW w:w="4380" w:type="dxa"/>
            <w:vAlign w:val="bottom"/>
            <w:gridSpan w:val="2"/>
          </w:tcPr>
          <w:p>
            <w:pPr>
              <w:ind w:left="140"/>
              <w:spacing w:after="0"/>
              <w:rPr>
                <w:sz w:val="20"/>
                <w:szCs w:val="20"/>
                <w:color w:val="auto"/>
              </w:rPr>
            </w:pPr>
            <w:r>
              <w:rPr>
                <w:rFonts w:ascii="Arial" w:cs="Arial" w:eastAsia="Arial" w:hAnsi="Arial"/>
                <w:sz w:val="16"/>
                <w:szCs w:val="16"/>
                <w:color w:val="auto"/>
              </w:rPr>
              <w:t>Refund Transfers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50,494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11,752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52,794</w:t>
            </w:r>
          </w:p>
        </w:tc>
      </w:tr>
      <w:tr>
        <w:trPr>
          <w:trHeight w:val="217"/>
        </w:trPr>
        <w:tc>
          <w:tcPr>
            <w:tcW w:w="4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Emerald Card®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21,951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48,801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39,128</w:t>
            </w:r>
          </w:p>
        </w:tc>
      </w:tr>
      <w:tr>
        <w:trPr>
          <w:trHeight w:val="215"/>
        </w:trPr>
        <w:tc>
          <w:tcPr>
            <w:tcW w:w="4380" w:type="dxa"/>
            <w:vAlign w:val="bottom"/>
            <w:gridSpan w:val="2"/>
          </w:tcPr>
          <w:p>
            <w:pPr>
              <w:ind w:left="140"/>
              <w:spacing w:after="0"/>
              <w:rPr>
                <w:sz w:val="20"/>
                <w:szCs w:val="20"/>
                <w:color w:val="auto"/>
              </w:rPr>
            </w:pPr>
            <w:r>
              <w:rPr>
                <w:rFonts w:ascii="Arial" w:cs="Arial" w:eastAsia="Arial" w:hAnsi="Arial"/>
                <w:sz w:val="16"/>
                <w:szCs w:val="16"/>
                <w:color w:val="auto"/>
              </w:rPr>
              <w:t>Peace of Mind® Extended Service Plan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16,101</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72,871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75,451</w:t>
            </w:r>
          </w:p>
        </w:tc>
      </w:tr>
      <w:tr>
        <w:trPr>
          <w:trHeight w:val="217"/>
        </w:trPr>
        <w:tc>
          <w:tcPr>
            <w:tcW w:w="4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Identity Shield®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4,927</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19,129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17,308</w:t>
            </w:r>
          </w:p>
        </w:tc>
      </w:tr>
      <w:tr>
        <w:trPr>
          <w:trHeight w:val="216"/>
        </w:trPr>
        <w:tc>
          <w:tcPr>
            <w:tcW w:w="43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1"/>
                <w:szCs w:val="21"/>
                <w:color w:val="auto"/>
                <w:vertAlign w:val="superscript"/>
              </w:rPr>
              <w:t>SM</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27,590</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32,741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28,754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33,780</w:t>
            </w:r>
          </w:p>
        </w:tc>
      </w:tr>
      <w:tr>
        <w:trPr>
          <w:trHeight w:val="216"/>
        </w:trPr>
        <w:tc>
          <w:tcPr>
            <w:tcW w:w="43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Wave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14,803</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41,197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25,740</w:t>
            </w:r>
          </w:p>
        </w:tc>
      </w:tr>
      <w:tr>
        <w:trPr>
          <w:trHeight w:val="215"/>
        </w:trPr>
        <w:tc>
          <w:tcPr>
            <w:tcW w:w="4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7,105</w:t>
            </w:r>
          </w:p>
        </w:tc>
        <w:tc>
          <w:tcPr>
            <w:tcW w:w="5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28,059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28,998</w:t>
            </w:r>
          </w:p>
        </w:tc>
      </w:tr>
      <w:tr>
        <w:trPr>
          <w:trHeight w:val="210"/>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308,227</w:t>
            </w:r>
          </w:p>
        </w:tc>
        <w:tc>
          <w:tcPr>
            <w:tcW w:w="5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519,205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1,085,807</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830,368</w:t>
            </w:r>
          </w:p>
        </w:tc>
      </w:tr>
      <w:tr>
        <w:trPr>
          <w:trHeight w:val="34"/>
        </w:trPr>
        <w:tc>
          <w:tcPr>
            <w:tcW w:w="4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Revenue is recognized upon satisfaction of performance obligations by the transfer of a product or service to the customer. The majority of our services and products have multiple performance obligations. For our tax preparation services, the various performance obligations are generally provided simultaneously at a point in time, and revenue is recognized at that time. We allocate the transaction price to the various performance obligations based on relative standalone selling prices. The value of point-of-sale discounts and coupons are recorded as a reduction of revenue.</w:t>
      </w:r>
    </w:p>
    <w:p>
      <w:pPr>
        <w:spacing w:after="0" w:line="9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U.S. Assisted tax preparation services include tax preparation and electronic filing or printing of the completed tax return. Revenues from tax preparation services, including printing for clients that choose to print and mail their returns, are recognized when a completed return is accepted by the customer, and revenues for electronic filing a completed return are recognized when the return is electronically filed.</w:t>
      </w:r>
    </w:p>
    <w:p>
      <w:pPr>
        <w:spacing w:after="0" w:line="9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Royalties are based on contractual percentages of franchise gross receipts and are generally recognized in the period in which the services are provided by the franchisee to the customer.</w:t>
      </w:r>
    </w:p>
    <w:p>
      <w:pPr>
        <w:spacing w:after="0" w:line="9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U.S. DIY tax preparation includes fees for online and desktop tax preparation software and for electronic filing or printing. Revenues for online software, including printing for clients that choose to print and mail their returns, are recognized when the customer uses the software to complete a return and revenues for desktop software are recognized when the software is sold to the end user. Revenues for electronic filing are recognized when the return is electronically filed.</w:t>
      </w:r>
    </w:p>
    <w:p>
      <w:pPr>
        <w:spacing w:after="0" w:line="96"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Refund Transfer revenues are recognized when the IRS filing acknowledgment is received and the bank account is established at our banking partner.</w:t>
      </w:r>
    </w:p>
    <w:p>
      <w:pPr>
        <w:spacing w:after="0" w:line="90"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Revenues for electronic filing of U.S. returns totaling $18.7 million were deferred as of January 31, 2021 and will be recognized in February 2021 when the associated tax returns are electronically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640715</wp:posOffset>
            </wp:positionV>
            <wp:extent cx="22288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22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sz w:val="20"/>
          <w:szCs w:val="20"/>
          <w:color w:val="auto"/>
        </w:rPr>
        <w:tab/>
      </w:r>
      <w:r>
        <w:rPr>
          <w:rFonts w:ascii="Arial" w:cs="Arial" w:eastAsia="Arial" w:hAnsi="Arial"/>
          <w:sz w:val="14"/>
          <w:szCs w:val="14"/>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Changes in the balances of deferred revenue and wages for our Peace of Mind® Extended Service Plan (POM)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POM</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Deferred Revenue</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Deferred Wages</w:t>
            </w:r>
          </w:p>
        </w:tc>
        <w:tc>
          <w:tcPr>
            <w:tcW w:w="780" w:type="dxa"/>
            <w:vAlign w:val="bottom"/>
            <w:tcBorders>
              <w:bottom w:val="single" w:sz="8" w:color="auto"/>
            </w:tcBorders>
          </w:tcPr>
          <w:p>
            <w:pPr>
              <w:spacing w:after="0"/>
              <w:rPr>
                <w:sz w:val="18"/>
                <w:szCs w:val="18"/>
                <w:color w:val="auto"/>
              </w:rPr>
            </w:pPr>
          </w:p>
        </w:tc>
      </w:tr>
      <w:tr>
        <w:trPr>
          <w:trHeight w:val="20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January 31,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1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beginning of the period</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183,685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212,511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21,618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27,306</w:t>
            </w:r>
          </w:p>
        </w:tc>
      </w:tr>
      <w:tr>
        <w:trPr>
          <w:trHeight w:val="215"/>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Amounts deferred</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35,977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28,686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1,118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1,827</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recognized on previous deferrals</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(84,573)</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(87,850)</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(9,652)</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(12,134)</w:t>
            </w:r>
          </w:p>
        </w:tc>
      </w:tr>
      <w:tr>
        <w:trPr>
          <w:trHeight w:val="249"/>
        </w:trPr>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 end of the period</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135,089</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153,347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13,084</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16,999</w:t>
            </w:r>
          </w:p>
        </w:tc>
      </w:tr>
      <w:tr>
        <w:trPr>
          <w:trHeight w:val="20"/>
        </w:trPr>
        <w:tc>
          <w:tcPr>
            <w:tcW w:w="50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As of January 31, 2021, deferred revenue related to POM was $135.1 million. We expect that $94.2 million will be recognized over the next twelve months, while the remaining balance will be recognized over the following sixty months.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January 31, 2021 and 2020, Tax Identity Shield® (TIS) deferred revenue was $20.4 million and $21.2 million, respectively. Deferred revenue related to TIS was $30.8 million and $29.7 million as of April 30, 2020 and 2019, respectively. All deferred revenue related to TIS will be recognized within the next fifteen months.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AND STOCKHOLDERS' EQUITY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Basic and diluted earnings (loss) per share is computed using the two-class method. The two-class method is an</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allocation formula that determines net income per share for each class of common stock and participating security according to dividends declared and participation rights in undistributed earnings. Per share amounts are computed by dividing net income or loss from continuing operations attributable to common shareholders by the weighted average shares outstanding during each period. The dilutive effect of potential common shares is included in diluted earnings per share except in those periods with a loss from continuing operations. Diluted earnings per share excludes the impact of shares of common stock issuable upon the lapse of certain restrictions or the exercise of options to purchase 5.4 million shares for the three and nine months ended January 31, 2021 and 3.7 million shares for the three and nine months ended January 31, 2020, as the effect would be antidilutive due to the net loss from continuing operations during those periods.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basic and diluted loss per share from continuing operations are as follows:</w:t>
      </w:r>
    </w:p>
    <w:p>
      <w:pPr>
        <w:spacing w:after="0" w:line="150"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(in 000s, except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gridSpan w:val="5"/>
          </w:tcPr>
          <w:p>
            <w:pPr>
              <w:ind w:left="160"/>
              <w:spacing w:after="0"/>
              <w:rPr>
                <w:sz w:val="20"/>
                <w:szCs w:val="20"/>
                <w:color w:val="auto"/>
              </w:rPr>
            </w:pPr>
            <w:r>
              <w:rPr>
                <w:rFonts w:ascii="Arial" w:cs="Arial" w:eastAsia="Arial" w:hAnsi="Arial"/>
                <w:sz w:val="16"/>
                <w:szCs w:val="16"/>
                <w:color w:val="auto"/>
              </w:rPr>
              <w:t>Three months ended January 31,</w:t>
            </w:r>
          </w:p>
        </w:tc>
        <w:tc>
          <w:tcPr>
            <w:tcW w:w="28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4"/>
          </w:tcPr>
          <w:p>
            <w:pPr>
              <w:jc w:val="right"/>
              <w:ind w:right="399"/>
              <w:spacing w:after="0"/>
              <w:rPr>
                <w:sz w:val="20"/>
                <w:szCs w:val="20"/>
                <w:color w:val="auto"/>
              </w:rPr>
            </w:pPr>
            <w:r>
              <w:rPr>
                <w:rFonts w:ascii="Arial" w:cs="Arial" w:eastAsia="Arial" w:hAnsi="Arial"/>
                <w:sz w:val="16"/>
                <w:szCs w:val="16"/>
                <w:color w:val="auto"/>
              </w:rPr>
              <w:t>Nine months ended January 31,</w:t>
            </w:r>
          </w:p>
        </w:tc>
        <w:tc>
          <w:tcPr>
            <w:tcW w:w="0" w:type="dxa"/>
            <w:vAlign w:val="bottom"/>
          </w:tcPr>
          <w:p>
            <w:pPr>
              <w:spacing w:after="0"/>
              <w:rPr>
                <w:sz w:val="1"/>
                <w:szCs w:val="1"/>
                <w:color w:val="auto"/>
              </w:rPr>
            </w:pPr>
          </w:p>
        </w:tc>
      </w:tr>
      <w:tr>
        <w:trPr>
          <w:trHeight w:val="212"/>
        </w:trPr>
        <w:tc>
          <w:tcPr>
            <w:tcW w:w="4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72"/>
        </w:trPr>
        <w:tc>
          <w:tcPr>
            <w:tcW w:w="46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6"/>
                <w:szCs w:val="16"/>
                <w:color w:val="auto"/>
              </w:rPr>
              <w:t>Net loss from continuing operations attributable to</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(231,831)</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(360,755)</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shareholders</w:t>
            </w:r>
          </w:p>
        </w:tc>
        <w:tc>
          <w:tcPr>
            <w:tcW w:w="26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(128,026)</w:t>
            </w:r>
          </w:p>
        </w:tc>
        <w:tc>
          <w:tcPr>
            <w:tcW w:w="1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(457,304)</w:t>
            </w:r>
          </w:p>
        </w:tc>
        <w:tc>
          <w:tcPr>
            <w:tcW w:w="0" w:type="dxa"/>
            <w:vAlign w:val="bottom"/>
          </w:tcPr>
          <w:p>
            <w:pPr>
              <w:spacing w:after="0"/>
              <w:rPr>
                <w:sz w:val="1"/>
                <w:szCs w:val="1"/>
                <w:color w:val="auto"/>
              </w:rPr>
            </w:pPr>
          </w:p>
        </w:tc>
      </w:tr>
      <w:tr>
        <w:trPr>
          <w:trHeight w:val="215"/>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Amounts allocated to participating securities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158"/>
        </w:trPr>
        <w:tc>
          <w:tcPr>
            <w:tcW w:w="460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Net loss from continuing operations attributable to common</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(232,041)</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(361,347)</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shareholders</w:t>
            </w: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(128,195)</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(457,772)</w:t>
            </w:r>
          </w:p>
        </w:tc>
        <w:tc>
          <w:tcPr>
            <w:tcW w:w="0" w:type="dxa"/>
            <w:vAlign w:val="bottom"/>
          </w:tcPr>
          <w:p>
            <w:pPr>
              <w:spacing w:after="0"/>
              <w:rPr>
                <w:sz w:val="1"/>
                <w:szCs w:val="1"/>
                <w:color w:val="auto"/>
              </w:rPr>
            </w:pPr>
          </w:p>
        </w:tc>
      </w:tr>
      <w:tr>
        <w:trPr>
          <w:trHeight w:val="34"/>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183,438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194,077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188,548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198,064</w:t>
            </w:r>
          </w:p>
        </w:tc>
        <w:tc>
          <w:tcPr>
            <w:tcW w:w="0" w:type="dxa"/>
            <w:vAlign w:val="bottom"/>
          </w:tcPr>
          <w:p>
            <w:pPr>
              <w:spacing w:after="0"/>
              <w:rPr>
                <w:sz w:val="1"/>
                <w:szCs w:val="1"/>
                <w:color w:val="auto"/>
              </w:rPr>
            </w:pPr>
          </w:p>
        </w:tc>
      </w:tr>
      <w:tr>
        <w:trPr>
          <w:trHeight w:val="215"/>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Potential dilutive shares</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Dilutive weighted average common shares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183,438</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194,077</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188,548</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198,064</w:t>
            </w:r>
          </w:p>
        </w:tc>
        <w:tc>
          <w:tcPr>
            <w:tcW w:w="0" w:type="dxa"/>
            <w:vAlign w:val="bottom"/>
          </w:tcPr>
          <w:p>
            <w:pPr>
              <w:spacing w:after="0"/>
              <w:rPr>
                <w:sz w:val="1"/>
                <w:szCs w:val="1"/>
                <w:color w:val="auto"/>
              </w:rPr>
            </w:pPr>
          </w:p>
        </w:tc>
      </w:tr>
      <w:tr>
        <w:trPr>
          <w:trHeight w:val="34"/>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Loss per share from continuing operations attributable to common shareholders:</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0" w:type="dxa"/>
            <w:vAlign w:val="bottom"/>
            <w:gridSpan w:val="2"/>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(0.66)</w:t>
            </w:r>
          </w:p>
        </w:tc>
        <w:tc>
          <w:tcPr>
            <w:tcW w:w="1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54"/>
        </w:trPr>
        <w:tc>
          <w:tcPr>
            <w:tcW w:w="4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decrease in the weighted average shares outstanding for both the three and nine month periods is due to share repurchases completed in the current and prior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222885"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 w:hanging="237"/>
        <w:spacing w:after="0"/>
        <w:tabs>
          <w:tab w:leader="none" w:pos="380" w:val="left"/>
        </w:tabs>
        <w:numPr>
          <w:ilvl w:val="0"/>
          <w:numId w:val="8"/>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During the nine months ended January 31, 2021, we granted awards of 2.5 million shares under our</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plans, consisting primarily of nonvested units. Stock-based compensation expense of our continuing operations totaled $5.8 million and $20.7 million for the three and nine months ended January 31, 2021, respectively, and $6.6 million and $22.7 million for the three and nine months ended January 31, 2020, respectively. As of January 31, 2021, unrecognized compensation cost for stock options totaled $0.8 million, and for nonvested shares and units totaled $40.9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0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January 31, 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color w:val="auto"/>
              </w:rPr>
              <w:t>January 31, 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6"/>
                <w:szCs w:val="16"/>
                <w:color w:val="auto"/>
              </w:rPr>
              <w:t>April 30, 2020</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color w:val="auto"/>
              </w:rPr>
              <w:t>Short-term</w:t>
            </w: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Long-term</w:t>
            </w: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color w:val="auto"/>
              </w:rPr>
              <w:t>Long-term</w:t>
            </w: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160" w:type="dxa"/>
            <w:vAlign w:val="bottom"/>
          </w:tcPr>
          <w:p>
            <w:pPr>
              <w:spacing w:after="0"/>
              <w:rPr>
                <w:sz w:val="18"/>
                <w:szCs w:val="18"/>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213"/>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Loans to franchisees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24,558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39,106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36,372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42,079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31,329</w:t>
            </w:r>
          </w:p>
        </w:tc>
        <w:tc>
          <w:tcPr>
            <w:tcW w:w="0" w:type="dxa"/>
            <w:vAlign w:val="bottom"/>
          </w:tcPr>
          <w:p>
            <w:pPr>
              <w:spacing w:after="0"/>
              <w:rPr>
                <w:sz w:val="1"/>
                <w:szCs w:val="1"/>
                <w:color w:val="auto"/>
              </w:rPr>
            </w:pPr>
          </w:p>
        </w:tc>
      </w:tr>
      <w:tr>
        <w:trPr>
          <w:trHeight w:val="177"/>
        </w:trPr>
        <w:tc>
          <w:tcPr>
            <w:tcW w:w="340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Receivables for U.S. assisted and DIY tax</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168,905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00" w:type="dxa"/>
            <w:vAlign w:val="bottom"/>
            <w:gridSpan w:val="2"/>
          </w:tcPr>
          <w:p>
            <w:pPr>
              <w:ind w:left="180"/>
              <w:spacing w:after="0"/>
              <w:rPr>
                <w:sz w:val="20"/>
                <w:szCs w:val="20"/>
                <w:color w:val="auto"/>
              </w:rPr>
            </w:pPr>
            <w:r>
              <w:rPr>
                <w:rFonts w:ascii="Arial" w:cs="Arial" w:eastAsia="Arial" w:hAnsi="Arial"/>
                <w:sz w:val="16"/>
                <w:szCs w:val="16"/>
                <w:color w:val="auto"/>
              </w:rPr>
              <w:t>preparation and related fees</w:t>
            </w: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316,987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47,030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H&amp;R Block Instant Refund</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receivables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15"/>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H&amp;R Block Emerald Advance® lines of credit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314,015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4,937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373,271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14,081</w:t>
            </w:r>
          </w:p>
        </w:tc>
        <w:tc>
          <w:tcPr>
            <w:tcW w:w="0" w:type="dxa"/>
            <w:vAlign w:val="bottom"/>
          </w:tcPr>
          <w:p>
            <w:pPr>
              <w:spacing w:after="0"/>
              <w:rPr>
                <w:sz w:val="1"/>
                <w:szCs w:val="1"/>
                <w:color w:val="auto"/>
              </w:rPr>
            </w:pPr>
          </w:p>
        </w:tc>
      </w:tr>
      <w:tr>
        <w:trPr>
          <w:trHeight w:val="21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Software receivables from retailers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40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Royalties and other receivables from</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31,346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00" w:type="dxa"/>
            <w:vAlign w:val="bottom"/>
            <w:gridSpan w:val="2"/>
          </w:tcPr>
          <w:p>
            <w:pPr>
              <w:ind w:left="180"/>
              <w:spacing w:after="0"/>
              <w:rPr>
                <w:sz w:val="20"/>
                <w:szCs w:val="20"/>
                <w:color w:val="auto"/>
              </w:rPr>
            </w:pPr>
            <w:r>
              <w:rPr>
                <w:rFonts w:ascii="Arial" w:cs="Arial" w:eastAsia="Arial" w:hAnsi="Arial"/>
                <w:sz w:val="16"/>
                <w:szCs w:val="16"/>
                <w:color w:val="auto"/>
              </w:rPr>
              <w:t>franchisees</w:t>
            </w: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55,645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Wave payment processing receivables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563,089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49,130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819,946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133,197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51,717</w:t>
            </w:r>
          </w:p>
        </w:tc>
        <w:tc>
          <w:tcPr>
            <w:tcW w:w="0" w:type="dxa"/>
            <w:vAlign w:val="bottom"/>
          </w:tcPr>
          <w:p>
            <w:pPr>
              <w:spacing w:after="0"/>
              <w:rPr>
                <w:sz w:val="1"/>
                <w:szCs w:val="1"/>
                <w:color w:val="auto"/>
              </w:rPr>
            </w:pPr>
          </w:p>
        </w:tc>
      </w:tr>
      <w:tr>
        <w:trPr>
          <w:trHeight w:val="34"/>
        </w:trPr>
        <w:tc>
          <w:tcPr>
            <w:tcW w:w="3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6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 Franchisee loan balances consist of term loans made primarily to finance the purchase of franchises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lines of credit primarily for the purpose of funding working capital needs. As of January 31, 2021 and 2020 loans with a principal balance of $0.5 million and $0.4 million, respectively, were more than 90 days past due. We had no loans to franchisees on non-accrual status.</w:t>
      </w:r>
    </w:p>
    <w:p>
      <w:pPr>
        <w:spacing w:after="0" w:line="6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b w:val="1"/>
          <w:bCs w:val="1"/>
          <w:color w:val="auto"/>
        </w:rPr>
        <w:t>H&amp;R BLOCK INSTANT REFUND</w:t>
      </w:r>
      <w:r>
        <w:rPr>
          <w:rFonts w:ascii="Arial" w:cs="Arial" w:eastAsia="Arial" w:hAnsi="Arial"/>
          <w:sz w:val="10"/>
          <w:szCs w:val="10"/>
          <w:b w:val="1"/>
          <w:bCs w:val="1"/>
          <w:color w:val="auto"/>
        </w:rPr>
        <w:t>TM</w:t>
      </w:r>
      <w:r>
        <w:rPr>
          <w:rFonts w:ascii="Arial" w:cs="Arial" w:eastAsia="Arial" w:hAnsi="Arial"/>
          <w:sz w:val="18"/>
          <w:szCs w:val="18"/>
          <w:b w:val="1"/>
          <w:bCs w:val="1"/>
          <w:color w:val="auto"/>
        </w:rPr>
        <w:t xml:space="preserve"> PROGRAM </w:t>
      </w:r>
      <w:r>
        <w:rPr>
          <w:rFonts w:ascii="Arial" w:cs="Arial" w:eastAsia="Arial" w:hAnsi="Arial"/>
          <w:sz w:val="18"/>
          <w:szCs w:val="18"/>
          <w:color w:val="auto"/>
        </w:rPr>
        <w:t>– H&amp;R Block Instant Refund</w:t>
      </w:r>
      <w:r>
        <w:rPr>
          <w:rFonts w:ascii="Arial" w:cs="Arial" w:eastAsia="Arial" w:hAnsi="Arial"/>
          <w:sz w:val="10"/>
          <w:szCs w:val="10"/>
          <w:color w:val="auto"/>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are generally received from the Canada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Agency within 60 days of filing the client's return, with the remaining balance collectible from the client.</w:t>
      </w:r>
    </w:p>
    <w:p>
      <w:pPr>
        <w:spacing w:after="0" w:line="6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We review the credit quality of our Instant Refund receivables based on pools, which are segregated by the year of origination, with older years being deemed more unlikely to be repaid. Current balances and amounts on non-accrual status and classified as impaired, or more than 60 days past due, by year of origination, as of January 31, 2021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6"/>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Year of Origination</w:t>
            </w:r>
          </w:p>
        </w:tc>
        <w:tc>
          <w:tcPr>
            <w:tcW w:w="440" w:type="dxa"/>
            <w:vAlign w:val="bottom"/>
          </w:tcPr>
          <w:p>
            <w:pPr>
              <w:spacing w:after="0"/>
              <w:rPr>
                <w:sz w:val="17"/>
                <w:szCs w:val="17"/>
                <w:color w:val="auto"/>
              </w:rPr>
            </w:pPr>
          </w:p>
        </w:tc>
        <w:tc>
          <w:tcPr>
            <w:tcW w:w="1740" w:type="dxa"/>
            <w:vAlign w:val="bottom"/>
          </w:tcPr>
          <w:p>
            <w:pPr>
              <w:jc w:val="right"/>
              <w:ind w:right="719"/>
              <w:spacing w:after="0"/>
              <w:rPr>
                <w:sz w:val="20"/>
                <w:szCs w:val="20"/>
                <w:color w:val="auto"/>
              </w:rPr>
            </w:pPr>
            <w:r>
              <w:rPr>
                <w:rFonts w:ascii="Arial" w:cs="Arial" w:eastAsia="Arial" w:hAnsi="Arial"/>
                <w:sz w:val="16"/>
                <w:szCs w:val="16"/>
                <w:color w:val="auto"/>
              </w:rPr>
              <w:t>Balance</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Pr>
          <w:p>
            <w:pPr>
              <w:jc w:val="right"/>
              <w:ind w:right="561"/>
              <w:spacing w:after="0"/>
              <w:rPr>
                <w:sz w:val="20"/>
                <w:szCs w:val="20"/>
                <w:color w:val="auto"/>
              </w:rPr>
            </w:pPr>
            <w:r>
              <w:rPr>
                <w:rFonts w:ascii="Arial" w:cs="Arial" w:eastAsia="Arial" w:hAnsi="Arial"/>
                <w:sz w:val="16"/>
                <w:szCs w:val="16"/>
                <w:color w:val="auto"/>
              </w:rPr>
              <w:t>Non-Accrual</w:t>
            </w:r>
          </w:p>
        </w:tc>
      </w:tr>
      <w:tr>
        <w:trPr>
          <w:trHeight w:val="37"/>
        </w:trPr>
        <w:tc>
          <w:tcPr>
            <w:tcW w:w="6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800" w:type="dxa"/>
            <w:vAlign w:val="bottom"/>
            <w:tcBorders>
              <w:top w:val="single" w:sz="8" w:color="auto"/>
            </w:tcBorders>
          </w:tcPr>
          <w:p>
            <w:pPr>
              <w:spacing w:after="0"/>
              <w:rPr>
                <w:sz w:val="3"/>
                <w:szCs w:val="3"/>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737</w:t>
            </w:r>
          </w:p>
        </w:tc>
        <w:tc>
          <w:tcPr>
            <w:tcW w:w="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15"/>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2020 and prior</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1,002</w:t>
            </w:r>
          </w:p>
        </w:tc>
      </w:tr>
      <w:tr>
        <w:trPr>
          <w:trHeight w:val="210"/>
        </w:trPr>
        <w:tc>
          <w:tcPr>
            <w:tcW w:w="6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1,002</w:t>
            </w:r>
          </w:p>
        </w:tc>
      </w:tr>
      <w:tr>
        <w:trPr>
          <w:trHeight w:val="195"/>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Allowance</w:t>
            </w: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r>
      <w:tr>
        <w:trPr>
          <w:trHeight w:val="21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balance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34"/>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702945</wp:posOffset>
            </wp:positionV>
            <wp:extent cx="222885"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2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sz w:val="20"/>
          <w:szCs w:val="20"/>
          <w:color w:val="auto"/>
        </w:rPr>
        <w:tab/>
      </w:r>
      <w:r>
        <w:rPr>
          <w:rFonts w:ascii="Arial" w:cs="Arial" w:eastAsia="Arial" w:hAnsi="Arial"/>
          <w:sz w:val="14"/>
          <w:szCs w:val="14"/>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243"/>
        <w:spacing w:after="0"/>
        <w:rPr>
          <w:sz w:val="20"/>
          <w:szCs w:val="20"/>
          <w:color w:val="auto"/>
        </w:rPr>
      </w:pPr>
      <w:r>
        <w:rPr>
          <w:rFonts w:ascii="Arial" w:cs="Arial" w:eastAsia="Arial" w:hAnsi="Arial"/>
          <w:sz w:val="18"/>
          <w:szCs w:val="18"/>
          <w:b w:val="1"/>
          <w:bCs w:val="1"/>
          <w:color w:val="auto"/>
        </w:rPr>
        <w:t>H&amp;R BLOCK EMERALD ADVANCE</w:t>
      </w:r>
      <w:r>
        <w:rPr>
          <w:rFonts w:ascii="Arial" w:cs="Arial" w:eastAsia="Arial" w:hAnsi="Arial"/>
          <w:sz w:val="18"/>
          <w:szCs w:val="18"/>
          <w:color w:val="auto"/>
        </w:rPr>
        <w:t>®</w:t>
      </w:r>
      <w:r>
        <w:rPr>
          <w:rFonts w:ascii="Arial" w:cs="Arial" w:eastAsia="Arial" w:hAnsi="Arial"/>
          <w:sz w:val="18"/>
          <w:szCs w:val="18"/>
          <w:b w:val="1"/>
          <w:bCs w:val="1"/>
          <w:color w:val="auto"/>
        </w:rPr>
        <w:t xml:space="preserve"> LINES OF CREDIT </w:t>
      </w:r>
      <w:r>
        <w:rPr>
          <w:rFonts w:ascii="Arial" w:cs="Arial" w:eastAsia="Arial" w:hAnsi="Arial"/>
          <w:sz w:val="18"/>
          <w:szCs w:val="18"/>
          <w:color w:val="auto"/>
        </w:rPr>
        <w:t>– We review the credit quality of our purchased participation interests in</w:t>
      </w:r>
      <w:r>
        <w:rPr>
          <w:rFonts w:ascii="Arial" w:cs="Arial" w:eastAsia="Arial" w:hAnsi="Arial"/>
          <w:sz w:val="18"/>
          <w:szCs w:val="18"/>
          <w:b w:val="1"/>
          <w:bCs w:val="1"/>
          <w:color w:val="auto"/>
        </w:rPr>
        <w:t xml:space="preserve"> </w:t>
      </w:r>
      <w:r>
        <w:rPr>
          <w:rFonts w:ascii="Arial" w:cs="Arial" w:eastAsia="Arial" w:hAnsi="Arial"/>
          <w:sz w:val="18"/>
          <w:szCs w:val="18"/>
          <w:color w:val="auto"/>
        </w:rPr>
        <w:t>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(EA) receivables based on pools, which are segregated by the year of origination, with older years being deemed more unlikely to be repaid. Balances and amounts on non-accrual status and classified as impaired, or more than 60 days past due, as of January 31, 2021, by year of origination,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Year of origination:</w:t>
            </w:r>
          </w:p>
        </w:tc>
        <w:tc>
          <w:tcPr>
            <w:tcW w:w="8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Balance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Non-Accrual</w:t>
            </w:r>
          </w:p>
        </w:tc>
      </w:tr>
      <w:tr>
        <w:trPr>
          <w:trHeight w:val="213"/>
        </w:trPr>
        <w:tc>
          <w:tcPr>
            <w:tcW w:w="6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309,382</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15"/>
        </w:trPr>
        <w:tc>
          <w:tcPr>
            <w:tcW w:w="6760" w:type="dxa"/>
            <w:vAlign w:val="bottom"/>
            <w:gridSpan w:val="2"/>
          </w:tcPr>
          <w:p>
            <w:pPr>
              <w:ind w:left="140"/>
              <w:spacing w:after="0"/>
              <w:rPr>
                <w:sz w:val="20"/>
                <w:szCs w:val="20"/>
                <w:color w:val="auto"/>
              </w:rPr>
            </w:pPr>
            <w:r>
              <w:rPr>
                <w:rFonts w:ascii="Arial" w:cs="Arial" w:eastAsia="Arial" w:hAnsi="Arial"/>
                <w:sz w:val="16"/>
                <w:szCs w:val="16"/>
                <w:color w:val="auto"/>
              </w:rPr>
              <w:t>2020 and prior</w:t>
            </w:r>
          </w:p>
        </w:tc>
        <w:tc>
          <w:tcPr>
            <w:tcW w:w="8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12,039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b w:val="1"/>
                <w:bCs w:val="1"/>
                <w:color w:val="auto"/>
              </w:rPr>
              <w:t>12,039</w:t>
            </w:r>
          </w:p>
        </w:tc>
      </w:tr>
      <w:tr>
        <w:trPr>
          <w:trHeight w:val="217"/>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Revolving loans</w:t>
            </w:r>
          </w:p>
        </w:tc>
        <w:tc>
          <w:tcPr>
            <w:tcW w:w="8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23,699</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14,246</w:t>
            </w:r>
          </w:p>
        </w:tc>
      </w:tr>
      <w:tr>
        <w:trPr>
          <w:trHeight w:val="209"/>
        </w:trPr>
        <w:tc>
          <w:tcPr>
            <w:tcW w:w="6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345,120</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26,285</w:t>
            </w:r>
          </w:p>
        </w:tc>
      </w:tr>
      <w:tr>
        <w:trPr>
          <w:trHeight w:val="196"/>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Allowance</w:t>
            </w:r>
          </w:p>
        </w:tc>
        <w:tc>
          <w:tcPr>
            <w:tcW w:w="8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(26,168)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49"/>
        </w:trPr>
        <w:tc>
          <w:tcPr>
            <w:tcW w:w="6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Net balance</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318,952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r>
      <w:tr>
        <w:trPr>
          <w:trHeight w:val="20"/>
        </w:trPr>
        <w:tc>
          <w:tcPr>
            <w:tcW w:w="66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3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500" w:type="dxa"/>
            <w:vAlign w:val="bottom"/>
            <w:tcBorders>
              <w:top w:val="single" w:sz="8" w:color="CCEEFF"/>
            </w:tcBorders>
            <w:shd w:val="clear" w:color="auto" w:fill="000000"/>
          </w:tcPr>
          <w:p>
            <w:pPr>
              <w:spacing w:after="0" w:line="20" w:lineRule="exact"/>
              <w:rPr>
                <w:sz w:val="1"/>
                <w:szCs w:val="1"/>
                <w:color w:val="auto"/>
              </w:rPr>
            </w:pPr>
          </w:p>
        </w:tc>
      </w:tr>
    </w:tbl>
    <w:p>
      <w:pPr>
        <w:spacing w:after="0" w:line="166"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 Activity in the allowance for credit losses for our EA and all other short-term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for the nine months ended January 31, 2021 and 2020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6"/>
        </w:trPr>
        <w:tc>
          <w:tcPr>
            <w:tcW w:w="5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EAs</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All Other</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w:t>
            </w:r>
          </w:p>
        </w:tc>
      </w:tr>
      <w:tr>
        <w:trPr>
          <w:trHeight w:val="21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May 1, 2020</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center"/>
              <w:ind w:left="439"/>
              <w:spacing w:after="0"/>
              <w:rPr>
                <w:sz w:val="20"/>
                <w:szCs w:val="20"/>
                <w:color w:val="auto"/>
              </w:rPr>
            </w:pPr>
            <w:r>
              <w:rPr>
                <w:rFonts w:ascii="Arial" w:cs="Arial" w:eastAsia="Arial" w:hAnsi="Arial"/>
                <w:sz w:val="16"/>
                <w:szCs w:val="16"/>
                <w:b w:val="1"/>
                <w:bCs w:val="1"/>
                <w:color w:val="auto"/>
                <w:w w:val="98"/>
              </w:rPr>
              <w:t>32,034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50,446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center"/>
              <w:ind w:left="440"/>
              <w:spacing w:after="0"/>
              <w:rPr>
                <w:sz w:val="20"/>
                <w:szCs w:val="20"/>
                <w:color w:val="auto"/>
              </w:rPr>
            </w:pPr>
            <w:r>
              <w:rPr>
                <w:rFonts w:ascii="Arial" w:cs="Arial" w:eastAsia="Arial" w:hAnsi="Arial"/>
                <w:sz w:val="16"/>
                <w:szCs w:val="16"/>
                <w:b w:val="1"/>
                <w:bCs w:val="1"/>
                <w:color w:val="auto"/>
              </w:rPr>
              <w:t>82,480</w:t>
            </w:r>
          </w:p>
        </w:tc>
      </w:tr>
      <w:tr>
        <w:trPr>
          <w:trHeight w:val="215"/>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Provision</w:t>
            </w:r>
          </w:p>
        </w:tc>
        <w:tc>
          <w:tcPr>
            <w:tcW w:w="660" w:type="dxa"/>
            <w:vAlign w:val="bottom"/>
          </w:tcPr>
          <w:p>
            <w:pPr>
              <w:spacing w:after="0"/>
              <w:rPr>
                <w:sz w:val="18"/>
                <w:szCs w:val="18"/>
                <w:color w:val="auto"/>
              </w:rPr>
            </w:pPr>
          </w:p>
        </w:tc>
        <w:tc>
          <w:tcPr>
            <w:tcW w:w="1160" w:type="dxa"/>
            <w:vAlign w:val="bottom"/>
          </w:tcPr>
          <w:p>
            <w:pPr>
              <w:jc w:val="center"/>
              <w:ind w:left="439"/>
              <w:spacing w:after="0"/>
              <w:rPr>
                <w:sz w:val="20"/>
                <w:szCs w:val="20"/>
                <w:color w:val="auto"/>
              </w:rPr>
            </w:pPr>
            <w:r>
              <w:rPr>
                <w:rFonts w:ascii="Arial" w:cs="Arial" w:eastAsia="Arial" w:hAnsi="Arial"/>
                <w:sz w:val="16"/>
                <w:szCs w:val="16"/>
                <w:b w:val="1"/>
                <w:bCs w:val="1"/>
                <w:color w:val="auto"/>
                <w:w w:val="98"/>
              </w:rPr>
              <w:t>12,783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12,859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center"/>
              <w:ind w:left="440"/>
              <w:spacing w:after="0"/>
              <w:rPr>
                <w:sz w:val="20"/>
                <w:szCs w:val="20"/>
                <w:color w:val="auto"/>
              </w:rPr>
            </w:pPr>
            <w:r>
              <w:rPr>
                <w:rFonts w:ascii="Arial" w:cs="Arial" w:eastAsia="Arial" w:hAnsi="Arial"/>
                <w:sz w:val="16"/>
                <w:szCs w:val="16"/>
                <w:b w:val="1"/>
                <w:bCs w:val="1"/>
                <w:color w:val="auto"/>
              </w:rPr>
              <w:t>25,642</w:t>
            </w:r>
          </w:p>
        </w:tc>
      </w:tr>
      <w:tr>
        <w:trPr>
          <w:trHeight w:val="21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Charge-offs, recoveries and other</w:t>
            </w: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6"/>
                <w:szCs w:val="16"/>
                <w:b w:val="1"/>
                <w:bCs w:val="1"/>
                <w:color w:val="auto"/>
              </w:rPr>
              <w:t>(18,649)</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(54,457)</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420"/>
              <w:spacing w:after="0"/>
              <w:rPr>
                <w:sz w:val="20"/>
                <w:szCs w:val="20"/>
                <w:color w:val="auto"/>
              </w:rPr>
            </w:pPr>
            <w:r>
              <w:rPr>
                <w:rFonts w:ascii="Arial" w:cs="Arial" w:eastAsia="Arial" w:hAnsi="Arial"/>
                <w:sz w:val="16"/>
                <w:szCs w:val="16"/>
                <w:b w:val="1"/>
                <w:bCs w:val="1"/>
                <w:color w:val="auto"/>
              </w:rPr>
              <w:t>(73,106)</w:t>
            </w:r>
          </w:p>
        </w:tc>
      </w:tr>
      <w:tr>
        <w:trPr>
          <w:trHeight w:val="249"/>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Balances as of January 31, 2021</w:t>
            </w: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8"/>
              </w:rPr>
              <w:t>26,168</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8,848</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center"/>
              <w:ind w:left="440"/>
              <w:spacing w:after="0"/>
              <w:rPr>
                <w:sz w:val="20"/>
                <w:szCs w:val="20"/>
                <w:color w:val="auto"/>
              </w:rPr>
            </w:pPr>
            <w:r>
              <w:rPr>
                <w:rFonts w:ascii="Arial" w:cs="Arial" w:eastAsia="Arial" w:hAnsi="Arial"/>
                <w:sz w:val="16"/>
                <w:szCs w:val="16"/>
                <w:b w:val="1"/>
                <w:bCs w:val="1"/>
                <w:color w:val="auto"/>
              </w:rPr>
              <w:t>35,016</w:t>
            </w:r>
          </w:p>
        </w:tc>
      </w:tr>
      <w:tr>
        <w:trPr>
          <w:trHeight w:val="213"/>
        </w:trPr>
        <w:tc>
          <w:tcPr>
            <w:tcW w:w="556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color w:val="auto"/>
              </w:rPr>
              <w:t>Balances as of May 1, 2019</w:t>
            </w:r>
          </w:p>
        </w:tc>
        <w:tc>
          <w:tcPr>
            <w:tcW w:w="660" w:type="dxa"/>
            <w:vAlign w:val="bottom"/>
            <w:tcBorders>
              <w:top w:val="single" w:sz="8" w:color="CCEEFF"/>
            </w:tcBorders>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CCEEFF"/>
            </w:tcBorders>
          </w:tcPr>
          <w:p>
            <w:pPr>
              <w:jc w:val="center"/>
              <w:ind w:left="439"/>
              <w:spacing w:after="0"/>
              <w:rPr>
                <w:sz w:val="20"/>
                <w:szCs w:val="20"/>
                <w:color w:val="auto"/>
              </w:rPr>
            </w:pPr>
            <w:r>
              <w:rPr>
                <w:rFonts w:ascii="Arial" w:cs="Arial" w:eastAsia="Arial" w:hAnsi="Arial"/>
                <w:sz w:val="16"/>
                <w:szCs w:val="16"/>
                <w:color w:val="auto"/>
                <w:w w:val="98"/>
              </w:rPr>
              <w:t>27,535</w:t>
            </w: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53,938</w:t>
            </w: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CCEEFF"/>
            </w:tcBorders>
          </w:tcPr>
          <w:p>
            <w:pPr>
              <w:jc w:val="center"/>
              <w:ind w:left="440"/>
              <w:spacing w:after="0"/>
              <w:rPr>
                <w:sz w:val="20"/>
                <w:szCs w:val="20"/>
                <w:color w:val="auto"/>
              </w:rPr>
            </w:pPr>
            <w:r>
              <w:rPr>
                <w:rFonts w:ascii="Arial" w:cs="Arial" w:eastAsia="Arial" w:hAnsi="Arial"/>
                <w:sz w:val="16"/>
                <w:szCs w:val="16"/>
                <w:color w:val="auto"/>
              </w:rPr>
              <w:t>81,473</w:t>
            </w: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17,862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40"/>
              <w:spacing w:after="0"/>
              <w:rPr>
                <w:sz w:val="20"/>
                <w:szCs w:val="20"/>
                <w:color w:val="auto"/>
              </w:rPr>
            </w:pPr>
            <w:r>
              <w:rPr>
                <w:rFonts w:ascii="Arial" w:cs="Arial" w:eastAsia="Arial" w:hAnsi="Arial"/>
                <w:sz w:val="16"/>
                <w:szCs w:val="16"/>
                <w:color w:val="auto"/>
              </w:rPr>
              <w:t>37,517</w:t>
            </w:r>
          </w:p>
        </w:tc>
      </w:tr>
      <w:tr>
        <w:trPr>
          <w:trHeight w:val="213"/>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Charge-offs, recoveries and other</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(17,273)</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(55,101)</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420"/>
              <w:spacing w:after="0"/>
              <w:rPr>
                <w:sz w:val="20"/>
                <w:szCs w:val="20"/>
                <w:color w:val="auto"/>
              </w:rPr>
            </w:pPr>
            <w:r>
              <w:rPr>
                <w:rFonts w:ascii="Arial" w:cs="Arial" w:eastAsia="Arial" w:hAnsi="Arial"/>
                <w:sz w:val="16"/>
                <w:szCs w:val="16"/>
                <w:color w:val="auto"/>
              </w:rPr>
              <w:t>(72,374)</w:t>
            </w:r>
          </w:p>
        </w:tc>
      </w:tr>
      <w:tr>
        <w:trPr>
          <w:trHeight w:val="21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January 31, 2020</w:t>
            </w: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color w:val="auto"/>
                <w:w w:val="98"/>
              </w:rPr>
              <w:t>28,124</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18,492</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center"/>
              <w:ind w:left="440"/>
              <w:spacing w:after="0"/>
              <w:rPr>
                <w:sz w:val="20"/>
                <w:szCs w:val="20"/>
                <w:color w:val="auto"/>
              </w:rPr>
            </w:pPr>
            <w:r>
              <w:rPr>
                <w:rFonts w:ascii="Arial" w:cs="Arial" w:eastAsia="Arial" w:hAnsi="Arial"/>
                <w:sz w:val="16"/>
                <w:szCs w:val="16"/>
                <w:color w:val="auto"/>
              </w:rPr>
              <w:t>46,616</w:t>
            </w:r>
          </w:p>
        </w:tc>
      </w:tr>
      <w:tr>
        <w:trPr>
          <w:trHeight w:val="34"/>
        </w:trPr>
        <w:tc>
          <w:tcPr>
            <w:tcW w:w="5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January 31, 2021 and 2020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right"/>
              <w:ind w:right="120"/>
              <w:spacing w:after="0" w:line="171" w:lineRule="exact"/>
              <w:rPr>
                <w:sz w:val="20"/>
                <w:szCs w:val="20"/>
                <w:color w:val="auto"/>
              </w:rPr>
            </w:pPr>
            <w:r>
              <w:rPr>
                <w:rFonts w:ascii="Arial" w:cs="Arial" w:eastAsia="Arial" w:hAnsi="Arial"/>
                <w:sz w:val="16"/>
                <w:szCs w:val="16"/>
                <w:color w:val="auto"/>
              </w:rPr>
              <w:t>Accumulated Impairment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8"/>
        </w:trPr>
        <w:tc>
          <w:tcPr>
            <w:tcW w:w="4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Losses</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Net</w:t>
            </w:r>
          </w:p>
        </w:tc>
      </w:tr>
      <w:tr>
        <w:trPr>
          <w:trHeight w:val="21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May 1, 2020</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850,435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(138,297)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712,138</w:t>
            </w:r>
          </w:p>
        </w:tc>
      </w:tr>
      <w:tr>
        <w:trPr>
          <w:trHeight w:val="215"/>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Acquisitions</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6,924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6,924</w:t>
            </w:r>
          </w:p>
        </w:tc>
      </w:tr>
      <w:tr>
        <w:trPr>
          <w:trHeight w:val="21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Disposals and foreign currency changes, net</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26,554</w:t>
            </w:r>
          </w:p>
        </w:tc>
      </w:tr>
      <w:tr>
        <w:trPr>
          <w:trHeight w:val="215"/>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Impairments</w:t>
            </w:r>
          </w:p>
        </w:tc>
        <w:tc>
          <w:tcPr>
            <w:tcW w:w="7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0"/>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January 31, 2021</w:t>
            </w:r>
          </w:p>
        </w:tc>
        <w:tc>
          <w:tcPr>
            <w:tcW w:w="76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883,913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(138,297)</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745,616</w:t>
            </w:r>
          </w:p>
        </w:tc>
      </w:tr>
      <w:tr>
        <w:trPr>
          <w:trHeight w:val="34"/>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May 1, 2019</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519,937</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Acquisition of Wave</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300,560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300,560</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acquisitions</w:t>
            </w: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23,421</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Disposals and foreign currency changes, net</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(5,088)</w:t>
            </w:r>
          </w:p>
        </w:tc>
      </w:tr>
      <w:tr>
        <w:trPr>
          <w:trHeight w:val="21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Impairments</w:t>
            </w:r>
          </w:p>
        </w:tc>
        <w:tc>
          <w:tcPr>
            <w:tcW w:w="7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Balances as of January 31, 2020</w:t>
            </w:r>
          </w:p>
        </w:tc>
        <w:tc>
          <w:tcPr>
            <w:tcW w:w="7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871,127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(32,297)</w:t>
            </w:r>
          </w:p>
        </w:tc>
        <w:tc>
          <w:tcPr>
            <w:tcW w:w="10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838,830</w:t>
            </w:r>
          </w:p>
        </w:tc>
      </w:tr>
      <w:tr>
        <w:trPr>
          <w:trHeight w:val="20"/>
        </w:trPr>
        <w:tc>
          <w:tcPr>
            <w:tcW w:w="4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8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20" w:firstLine="202"/>
        <w:spacing w:after="0" w:line="261" w:lineRule="auto"/>
        <w:rPr>
          <w:sz w:val="20"/>
          <w:szCs w:val="20"/>
          <w:color w:val="auto"/>
        </w:rPr>
      </w:pPr>
      <w:r>
        <w:rPr>
          <w:rFonts w:ascii="Arial" w:cs="Arial" w:eastAsia="Arial" w:hAnsi="Arial"/>
          <w:sz w:val="18"/>
          <w:szCs w:val="18"/>
          <w:color w:val="auto"/>
        </w:rPr>
        <w:t>We test goodwill for impairment annually in our fourth quarter, or more frequently if events occur or circumstances change which would, more likely than not, reduce the fair value of a reporting unit below its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21463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hanging="263"/>
        <w:spacing w:after="0"/>
        <w:tabs>
          <w:tab w:leader="none" w:pos="360" w:val="left"/>
        </w:tabs>
        <w:numPr>
          <w:ilvl w:val="0"/>
          <w:numId w:val="9"/>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intangible assets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7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ind w:right="120"/>
              <w:spacing w:after="0" w:line="171" w:lineRule="exact"/>
              <w:rPr>
                <w:sz w:val="20"/>
                <w:szCs w:val="20"/>
                <w:color w:val="auto"/>
              </w:rPr>
            </w:pPr>
            <w:r>
              <w:rPr>
                <w:rFonts w:ascii="Arial" w:cs="Arial" w:eastAsia="Arial" w:hAnsi="Arial"/>
                <w:sz w:val="16"/>
                <w:szCs w:val="16"/>
                <w:color w:val="auto"/>
              </w:rPr>
              <w:t>Gross</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Carrying</w:t>
            </w:r>
          </w:p>
        </w:tc>
        <w:tc>
          <w:tcPr>
            <w:tcW w:w="460" w:type="dxa"/>
            <w:vAlign w:val="bottom"/>
          </w:tcPr>
          <w:p>
            <w:pPr>
              <w:spacing w:after="0"/>
              <w:rPr>
                <w:sz w:val="14"/>
                <w:szCs w:val="14"/>
                <w:color w:val="auto"/>
              </w:rPr>
            </w:pPr>
          </w:p>
        </w:tc>
        <w:tc>
          <w:tcPr>
            <w:tcW w:w="140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Accumulated</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8"/>
        </w:trPr>
        <w:tc>
          <w:tcPr>
            <w:tcW w:w="5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Amortization</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Net</w:t>
            </w:r>
          </w:p>
        </w:tc>
      </w:tr>
      <w:tr>
        <w:trPr>
          <w:trHeight w:val="212"/>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of January 31, 2021:</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370,076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(174,484)</w:t>
            </w:r>
          </w:p>
        </w:tc>
        <w:tc>
          <w:tcPr>
            <w:tcW w:w="10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195,592</w:t>
            </w:r>
          </w:p>
        </w:tc>
      </w:tr>
      <w:tr>
        <w:trPr>
          <w:trHeight w:val="21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316,600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(244,441)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72,159</w:t>
            </w: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168,642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(123,709)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44,933</w:t>
            </w:r>
          </w:p>
        </w:tc>
      </w:tr>
      <w:tr>
        <w:trPr>
          <w:trHeight w:val="21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(34,962)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6,215</w:t>
            </w: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19,201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(15,574)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3,627</w:t>
            </w:r>
          </w:p>
        </w:tc>
      </w:tr>
      <w:tr>
        <w:trPr>
          <w:trHeight w:val="21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122,700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(68,844)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53,856</w:t>
            </w:r>
          </w:p>
        </w:tc>
      </w:tr>
      <w:tr>
        <w:trPr>
          <w:trHeight w:val="215"/>
        </w:trPr>
        <w:tc>
          <w:tcPr>
            <w:tcW w:w="5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4,882</w:t>
            </w:r>
          </w:p>
        </w:tc>
      </w:tr>
      <w:tr>
        <w:trPr>
          <w:trHeight w:val="210"/>
        </w:trPr>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1,044,196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(662,932)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381,264</w:t>
            </w:r>
          </w:p>
        </w:tc>
      </w:tr>
      <w:tr>
        <w:trPr>
          <w:trHeight w:val="193"/>
        </w:trPr>
        <w:tc>
          <w:tcPr>
            <w:tcW w:w="5720" w:type="dxa"/>
            <w:vAlign w:val="bottom"/>
            <w:gridSpan w:val="2"/>
          </w:tcPr>
          <w:p>
            <w:pPr>
              <w:ind w:left="20"/>
              <w:spacing w:after="0"/>
              <w:rPr>
                <w:sz w:val="20"/>
                <w:szCs w:val="20"/>
                <w:color w:val="auto"/>
              </w:rPr>
            </w:pPr>
            <w:r>
              <w:rPr>
                <w:rFonts w:ascii="Arial" w:cs="Arial" w:eastAsia="Arial" w:hAnsi="Arial"/>
                <w:sz w:val="16"/>
                <w:szCs w:val="16"/>
                <w:color w:val="auto"/>
              </w:rPr>
              <w:t>As of January 31, 2020:</w:t>
            </w: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364,376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(153,392)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210,984</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313,521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(219,664)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93,857</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38,579</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41,386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(33,151)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8,235</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122,801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(53,525)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69,276</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5,462</w:t>
            </w:r>
          </w:p>
        </w:tc>
      </w:tr>
      <w:tr>
        <w:trPr>
          <w:trHeight w:val="216"/>
        </w:trPr>
        <w:tc>
          <w:tcPr>
            <w:tcW w:w="57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1"/>
                <w:szCs w:val="21"/>
                <w:color w:val="auto"/>
                <w:vertAlign w:val="superscript"/>
              </w:rPr>
              <w:t>(1)</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1,774</w:t>
            </w:r>
          </w:p>
        </w:tc>
      </w:tr>
      <w:tr>
        <w:trPr>
          <w:trHeight w:val="210"/>
        </w:trPr>
        <w:tc>
          <w:tcPr>
            <w:tcW w:w="5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1,023,821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(590,747)</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433,074</w:t>
            </w:r>
          </w:p>
        </w:tc>
      </w:tr>
      <w:tr>
        <w:trPr>
          <w:trHeight w:val="193"/>
        </w:trPr>
        <w:tc>
          <w:tcPr>
            <w:tcW w:w="5720" w:type="dxa"/>
            <w:vAlign w:val="bottom"/>
            <w:gridSpan w:val="2"/>
          </w:tcPr>
          <w:p>
            <w:pPr>
              <w:ind w:left="20"/>
              <w:spacing w:after="0"/>
              <w:rPr>
                <w:sz w:val="20"/>
                <w:szCs w:val="20"/>
                <w:color w:val="auto"/>
              </w:rPr>
            </w:pPr>
            <w:r>
              <w:rPr>
                <w:rFonts w:ascii="Arial" w:cs="Arial" w:eastAsia="Arial" w:hAnsi="Arial"/>
                <w:sz w:val="16"/>
                <w:szCs w:val="16"/>
                <w:color w:val="auto"/>
              </w:rPr>
              <w:t>As of April 30, 2020:</w:t>
            </w: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205,308</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314,191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(227,445)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86,746</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(113,698)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40,385</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(33,639)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7,433</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4,587</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122,700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(57,548)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65,152</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5,317</w:t>
            </w:r>
          </w:p>
        </w:tc>
      </w:tr>
      <w:tr>
        <w:trPr>
          <w:trHeight w:val="216"/>
        </w:trPr>
        <w:tc>
          <w:tcPr>
            <w:tcW w:w="57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1"/>
                <w:szCs w:val="21"/>
                <w:color w:val="auto"/>
                <w:vertAlign w:val="superscript"/>
              </w:rPr>
              <w:t>(1)</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5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1,022,157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(607,181)</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414,976</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franchisee and competitor business acquisitions for which final purchase price allocations have not yet been determined.</w:t>
      </w:r>
    </w:p>
    <w:p>
      <w:pPr>
        <w:spacing w:after="0" w:line="103"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made payments to acquire businesses totaling $15.0 million and $450.3 million during the nine months ended January 31, 2021 and 2020, respectively. The nine months ended January 31, 2020 included the acquisition of Wave. The amounts and weighted-average lives of intangible assets acquired during the nine months ended January 31, 2021, including amounts capitalized and placed in service related to internally-developed software,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06"/>
        </w:trPr>
        <w:tc>
          <w:tcPr>
            <w:tcW w:w="5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100" w:type="dxa"/>
            <w:vAlign w:val="bottom"/>
            <w:tcBorders>
              <w:bottom w:val="single" w:sz="8" w:color="CCEEFF"/>
            </w:tcBorders>
          </w:tcPr>
          <w:p>
            <w:pPr>
              <w:spacing w:after="0"/>
              <w:rPr>
                <w:sz w:val="17"/>
                <w:szCs w:val="17"/>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Weighted-Average life (in years)</w:t>
            </w:r>
          </w:p>
        </w:tc>
      </w:tr>
      <w:tr>
        <w:trPr>
          <w:trHeight w:val="213"/>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14,389</w:t>
            </w: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342"/>
              <w:spacing w:after="0"/>
              <w:rPr>
                <w:sz w:val="20"/>
                <w:szCs w:val="20"/>
                <w:color w:val="auto"/>
              </w:rPr>
            </w:pPr>
            <w:r>
              <w:rPr>
                <w:rFonts w:ascii="Arial" w:cs="Arial" w:eastAsia="Arial" w:hAnsi="Arial"/>
                <w:sz w:val="16"/>
                <w:szCs w:val="16"/>
                <w:b w:val="1"/>
                <w:bCs w:val="1"/>
                <w:color w:val="auto"/>
              </w:rPr>
              <w:t>3</w:t>
            </w:r>
          </w:p>
        </w:tc>
      </w:tr>
      <w:tr>
        <w:trPr>
          <w:trHeight w:val="215"/>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10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8,952</w:t>
            </w:r>
          </w:p>
        </w:tc>
        <w:tc>
          <w:tcPr>
            <w:tcW w:w="3040" w:type="dxa"/>
            <w:vAlign w:val="bottom"/>
            <w:gridSpan w:val="2"/>
          </w:tcPr>
          <w:p>
            <w:pPr>
              <w:jc w:val="right"/>
              <w:ind w:right="1342"/>
              <w:spacing w:after="0"/>
              <w:rPr>
                <w:sz w:val="20"/>
                <w:szCs w:val="20"/>
                <w:color w:val="auto"/>
              </w:rPr>
            </w:pPr>
            <w:r>
              <w:rPr>
                <w:rFonts w:ascii="Arial" w:cs="Arial" w:eastAsia="Arial" w:hAnsi="Arial"/>
                <w:sz w:val="16"/>
                <w:szCs w:val="16"/>
                <w:b w:val="1"/>
                <w:bCs w:val="1"/>
                <w:color w:val="auto"/>
              </w:rPr>
              <w:t>5</w:t>
            </w:r>
          </w:p>
        </w:tc>
      </w:tr>
      <w:tr>
        <w:trPr>
          <w:trHeight w:val="217"/>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Reacquired franchise rights</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6,005</w:t>
            </w:r>
          </w:p>
        </w:tc>
        <w:tc>
          <w:tcPr>
            <w:tcW w:w="3040" w:type="dxa"/>
            <w:vAlign w:val="bottom"/>
            <w:gridSpan w:val="2"/>
            <w:shd w:val="clear" w:color="auto" w:fill="CCEEFF"/>
          </w:tcPr>
          <w:p>
            <w:pPr>
              <w:jc w:val="right"/>
              <w:ind w:right="1342"/>
              <w:spacing w:after="0"/>
              <w:rPr>
                <w:sz w:val="20"/>
                <w:szCs w:val="20"/>
                <w:color w:val="auto"/>
              </w:rPr>
            </w:pPr>
            <w:r>
              <w:rPr>
                <w:rFonts w:ascii="Arial" w:cs="Arial" w:eastAsia="Arial" w:hAnsi="Arial"/>
                <w:sz w:val="16"/>
                <w:szCs w:val="16"/>
                <w:b w:val="1"/>
                <w:bCs w:val="1"/>
                <w:color w:val="auto"/>
              </w:rPr>
              <w:t>5</w:t>
            </w:r>
          </w:p>
        </w:tc>
      </w:tr>
      <w:tr>
        <w:trPr>
          <w:trHeight w:val="215"/>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Noncompete agreements</w:t>
            </w: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w:t>
            </w:r>
          </w:p>
        </w:tc>
        <w:tc>
          <w:tcPr>
            <w:tcW w:w="3040" w:type="dxa"/>
            <w:vAlign w:val="bottom"/>
            <w:tcBorders>
              <w:bottom w:val="single" w:sz="8" w:color="CCEEFF"/>
            </w:tcBorders>
            <w:gridSpan w:val="2"/>
          </w:tcPr>
          <w:p>
            <w:pPr>
              <w:jc w:val="right"/>
              <w:ind w:right="1342"/>
              <w:spacing w:after="0"/>
              <w:rPr>
                <w:sz w:val="20"/>
                <w:szCs w:val="20"/>
                <w:color w:val="auto"/>
              </w:rPr>
            </w:pPr>
            <w:r>
              <w:rPr>
                <w:rFonts w:ascii="Arial" w:cs="Arial" w:eastAsia="Arial" w:hAnsi="Arial"/>
                <w:sz w:val="16"/>
                <w:szCs w:val="16"/>
                <w:b w:val="1"/>
                <w:bCs w:val="1"/>
                <w:color w:val="auto"/>
              </w:rPr>
              <w:t>5</w:t>
            </w:r>
          </w:p>
        </w:tc>
      </w:tr>
      <w:tr>
        <w:trPr>
          <w:trHeight w:val="21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29,688</w:t>
            </w:r>
          </w:p>
        </w:tc>
        <w:tc>
          <w:tcPr>
            <w:tcW w:w="3040" w:type="dxa"/>
            <w:vAlign w:val="bottom"/>
            <w:gridSpan w:val="2"/>
            <w:shd w:val="clear" w:color="auto" w:fill="CCEEFF"/>
          </w:tcPr>
          <w:p>
            <w:pPr>
              <w:jc w:val="right"/>
              <w:ind w:right="1342"/>
              <w:spacing w:after="0"/>
              <w:rPr>
                <w:sz w:val="20"/>
                <w:szCs w:val="20"/>
                <w:color w:val="auto"/>
              </w:rPr>
            </w:pPr>
            <w:r>
              <w:rPr>
                <w:rFonts w:ascii="Arial" w:cs="Arial" w:eastAsia="Arial" w:hAnsi="Arial"/>
                <w:sz w:val="16"/>
                <w:szCs w:val="16"/>
                <w:b w:val="1"/>
                <w:bCs w:val="1"/>
                <w:color w:val="auto"/>
              </w:rPr>
              <w:t>4</w:t>
            </w:r>
          </w:p>
        </w:tc>
      </w:tr>
      <w:tr>
        <w:trPr>
          <w:trHeight w:val="34"/>
        </w:trPr>
        <w:tc>
          <w:tcPr>
            <w:tcW w:w="5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702945</wp:posOffset>
            </wp:positionV>
            <wp:extent cx="22288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Amortization of intangible assets for the three and nine months ended January 31, 2021 was $21.7 million and $62.1 million, respectively, compared to $21.5 million and $61.3 million for the three and nine months ended January 31, 2020, respectively. Estimated amortization of intangible assets for fiscal years 2021, 2022, 2023, 2024 and 2025 is $83.5 million, $75.5 million, $57.7 million, $38.4 million and $20.3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31, 2021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January 31, 2020</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April 30, 2020</w:t>
            </w:r>
          </w:p>
        </w:tc>
      </w:tr>
      <w:tr>
        <w:trPr>
          <w:trHeight w:val="21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Notes, 4.125%, due October 2020</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650,000</w:t>
            </w:r>
          </w:p>
        </w:tc>
      </w:tr>
      <w:tr>
        <w:trPr>
          <w:trHeight w:val="215"/>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Senior Notes, 5.500%, due November 2022</w:t>
            </w:r>
          </w:p>
        </w:tc>
        <w:tc>
          <w:tcPr>
            <w:tcW w:w="4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7"/>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Notes, 5.250%, due October 2025</w:t>
            </w: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r>
      <w:tr>
        <w:trPr>
          <w:trHeight w:val="215"/>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Senior Notes, 3.875%, due August 2030</w:t>
            </w:r>
          </w:p>
        </w:tc>
        <w:tc>
          <w:tcPr>
            <w:tcW w:w="4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650,000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Committed line of credit borrowings</w:t>
            </w: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r>
      <w:tr>
        <w:trPr>
          <w:trHeight w:val="215"/>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Debt issuance costs and discounts</w:t>
            </w:r>
          </w:p>
        </w:tc>
        <w:tc>
          <w:tcPr>
            <w:tcW w:w="4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(10,426)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(5,389)</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(4,743)</w:t>
            </w:r>
          </w:p>
        </w:tc>
      </w:tr>
      <w:tr>
        <w:trPr>
          <w:trHeight w:val="21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2,369,574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2,529,611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3,495,257</w:t>
            </w:r>
          </w:p>
        </w:tc>
      </w:tr>
      <w:tr>
        <w:trPr>
          <w:trHeight w:val="215"/>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Less: Current portion</w:t>
            </w:r>
          </w:p>
        </w:tc>
        <w:tc>
          <w:tcPr>
            <w:tcW w:w="4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(649,022)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(649,384)</w:t>
            </w:r>
          </w:p>
        </w:tc>
      </w:tr>
      <w:tr>
        <w:trPr>
          <w:trHeight w:val="210"/>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portion</w:t>
            </w: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2,369,574</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1,880,589</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2,845,873</w:t>
            </w:r>
          </w:p>
        </w:tc>
      </w:tr>
      <w:tr>
        <w:trPr>
          <w:trHeight w:val="34"/>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Estimated fair value of long-term debt</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2,499,000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3,526,000</w:t>
            </w:r>
          </w:p>
        </w:tc>
      </w:tr>
      <w:tr>
        <w:trPr>
          <w:trHeight w:val="54"/>
        </w:trPr>
        <w:tc>
          <w:tcPr>
            <w:tcW w:w="4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175"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8"/>
          <w:szCs w:val="18"/>
          <w:color w:val="auto"/>
        </w:rPr>
        <w:t>On August 7, 2020, we issued $650.0 million of 3.875% Senior Notes due August 15, 2030 (2030 Senior Notes). The 2030 Senior Notes are not redeemable by the bondholders prior to maturity, although we have the right to redeem some or all of these notes at any time, at specified redemption prices. The proceeds of the 2030 Senior Notes were used to repay the $650 million Senior Notes that matured on October 1, 2020.</w:t>
      </w:r>
    </w:p>
    <w:p>
      <w:pPr>
        <w:spacing w:after="0" w:line="7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Our unsecured committed line of credit (CLOC) provides for an unsecured senior</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in the aggregate principal amount of $2.0 billion, which includes a $200.0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CLOC will mature on September 21, 2023, unless extended pursuant to the terms of the CLOC, at which time all outstanding amounts thereunder will be due and payable. Our CLOC includes an annual facility fee, which will vary depending on our then current credit ratings.</w:t>
      </w:r>
    </w:p>
    <w:p>
      <w:pPr>
        <w:spacing w:after="0" w:line="96"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calculated on a consolidated basis of no greater than (a) 3.50 to 1.00 as of the last day of each fiscal quarter ending on April 30, July 31, and October 31 of each year and (b) 4.50 to 1.00 as of the last day of each fiscal quarter ending on January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purposes. We were in compliance with these requirements as of January 31, 2021.</w:t>
      </w:r>
    </w:p>
    <w:p>
      <w:pPr>
        <w:spacing w:after="0" w:line="10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September 2020, we utilized our cash on hand to repay the outstanding $2.0 billion balance on our CLOC. We had an outstanding balance of $880.0 million under the CLOC as of January 31, 2021 and amounts available to borrow were limited by the debt-to-EBITDA covenant to approximately $520 million as of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21463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hanging="263"/>
        <w:spacing w:after="0"/>
        <w:tabs>
          <w:tab w:leader="none" w:pos="360" w:val="left"/>
        </w:tabs>
        <w:numPr>
          <w:ilvl w:val="0"/>
          <w:numId w:val="11"/>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file a consolidated federal income tax return in the U.S. with the IRS and file tax returns in various state, local, and foreign jurisdictions. Tax returns are typically examined and either settled upon completion of the examination or through the appeals process. Our U.S. federal income tax returns for 2017 and later years remain open for examination. Our U.S. federal income tax returns for 2016 and all prior periods are currently closed. With respect to state and local jurisdictions and countries outside of the U.S., we are typically subject to examination for three to six years after the income tax returns have been filed.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99"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includes, among other items, modifications to net operating loss carryback periods, net interest deduction limitations, and technical corrections to tax depreciation methods for qualified improvement property. The CARES Act allows a five-year carryback of net operating losses generated between 2018 and 2021 to fully offset taxable income previously subject to a 35% statutory tax rate. As a result of the CARES Act and changes to our methods of accounting for items under the Internal Revenue Code, we anticipate generating a loss for tax purposes on our calendar 2020 tax return, plan to carry back the loss to two of the five preceding tax years, and obtain a refund of previously paid federal income taxes. The net operating loss carryback has been factored into our annual effective tax rate which has reduced our effective tax rate and income taxes payable and increased our unrecognized tax benefits, income tax refund receivables, and deferred tax liabilities. We also expect that the net operating loss carryback will reopen our 2015 tax return to examination.</w:t>
      </w:r>
    </w:p>
    <w:p>
      <w:pPr>
        <w:spacing w:after="0" w:line="104"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Our effective tax rate for continuing operations, including the effects of discrete tax items was 9.0% and 29.2% for the nine months ended January 31, 2021 and 2020, respectively. Discrete items decreased the effective tax rate for the nine months ended January 31, 2021 by 4.9% and increased the effective tax rate for the nine months ended January 31, 2020 by 4.3%. A discrete income tax expense of $19.5 million was recorded in the nine months ended January 31, 2021 compared to a discrete tax benefit of $27.7 million in the same period of the prior year. The discrete tax expense recorded in the current period primarily resulted from uncertain tax benefits related to the net operating loss carryback offset by settlements with tax authorities and statute of limitation expirations. The discrete tax benefit recorded in the prior year resulted from the settlement of various matters, including expiration of statute of limitations and resolutions with tax authorities and valuation allowance changes related to utilization of foreign losses. Due to the loss through the third quarter, a discrete tax benefit increases the tax rate while an item of discrete tax expense decreases the tax rate. The impact of discrete tax items combined with the seasonal nature of our business can cause the effective tax rate through our third quarter to be significantly different than the rate for our full fiscal year.</w:t>
      </w:r>
    </w:p>
    <w:p>
      <w:pPr>
        <w:spacing w:after="0" w:line="103"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Consistent with prior years, our pretax loss for the nine months ended January 31, 2021 is expected to be offset by income in the fourth quarter due to the established pattern of seasonality in our primary business operations. As such, management has determined that it is more-likely-than-not that realization of tax benefits recorded in our financial statements will occur within our fiscal year. The amount of tax benefit recorded for the nine months ended January 31, 2021 reflects management’s estimate of the annual effective tax rate applied to year-to-date loss from continuing operations adjusted for the tax impact of discrete items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636270</wp:posOffset>
            </wp:positionV>
            <wp:extent cx="22288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unrecognized tax benefits for nine months ended January 31, 2021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6"/>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January 31, 2021</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r>
      <w:tr>
        <w:trPr>
          <w:trHeight w:val="213"/>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beginning of the period</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168,062</w:t>
            </w:r>
          </w:p>
        </w:tc>
      </w:tr>
      <w:tr>
        <w:trPr>
          <w:trHeight w:val="215"/>
        </w:trPr>
        <w:tc>
          <w:tcPr>
            <w:tcW w:w="8680" w:type="dxa"/>
            <w:vAlign w:val="bottom"/>
            <w:gridSpan w:val="2"/>
          </w:tcPr>
          <w:p>
            <w:pPr>
              <w:ind w:left="20"/>
              <w:spacing w:after="0"/>
              <w:rPr>
                <w:sz w:val="20"/>
                <w:szCs w:val="20"/>
                <w:color w:val="auto"/>
              </w:rPr>
            </w:pPr>
            <w:r>
              <w:rPr>
                <w:rFonts w:ascii="Arial" w:cs="Arial" w:eastAsia="Arial" w:hAnsi="Arial"/>
                <w:sz w:val="16"/>
                <w:szCs w:val="16"/>
                <w:color w:val="auto"/>
              </w:rPr>
              <w:t>Additions based on tax positions related to prior years</w:t>
            </w:r>
          </w:p>
        </w:tc>
        <w:tc>
          <w:tcPr>
            <w:tcW w:w="10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117,770</w:t>
            </w:r>
          </w:p>
        </w:tc>
      </w:tr>
      <w:tr>
        <w:trPr>
          <w:trHeight w:val="217"/>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Reductions based on tax positions related to prior years</w:t>
            </w:r>
          </w:p>
        </w:tc>
        <w:tc>
          <w:tcPr>
            <w:tcW w:w="10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(31,958)</w:t>
            </w:r>
          </w:p>
        </w:tc>
      </w:tr>
      <w:tr>
        <w:trPr>
          <w:trHeight w:val="215"/>
        </w:trPr>
        <w:tc>
          <w:tcPr>
            <w:tcW w:w="8680" w:type="dxa"/>
            <w:vAlign w:val="bottom"/>
            <w:gridSpan w:val="2"/>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10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11,795</w:t>
            </w:r>
          </w:p>
        </w:tc>
      </w:tr>
      <w:tr>
        <w:trPr>
          <w:trHeight w:val="217"/>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Reductions related to settlements with tax authorities</w:t>
            </w:r>
          </w:p>
        </w:tc>
        <w:tc>
          <w:tcPr>
            <w:tcW w:w="10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(26,556)</w:t>
            </w:r>
          </w:p>
        </w:tc>
      </w:tr>
      <w:tr>
        <w:trPr>
          <w:trHeight w:val="215"/>
        </w:trPr>
        <w:tc>
          <w:tcPr>
            <w:tcW w:w="8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Expiration of statute of limitations</w:t>
            </w:r>
          </w:p>
        </w:tc>
        <w:tc>
          <w:tcPr>
            <w:tcW w:w="10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(5,423)</w:t>
            </w:r>
          </w:p>
        </w:tc>
      </w:tr>
      <w:tr>
        <w:trPr>
          <w:trHeight w:val="21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end of the period</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233,690</w:t>
            </w:r>
          </w:p>
        </w:tc>
      </w:tr>
      <w:tr>
        <w:trPr>
          <w:trHeight w:val="34"/>
        </w:trPr>
        <w:tc>
          <w:tcPr>
            <w:tcW w:w="8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had gross unrecognized tax benefits of $233.7 million, $148.7 million and $168.1 million as of January 31, 2021 and 2020 and April 30, 2020, respectively. The gross unrecognized tax benefits increased $65.6 million and decreased $ 36.4 million during the nine months ended January 31, 2021 and 2020, respectively. The increase in unrecognized tax benefits during the nine months ending January 31, 2021 is primarily related to the net operating loss carryback. We believe it is reasonably possible that the balance of unrecognized tax benefits could decrease by approximately $71.0 million within the next twelve months. The anticipated decrease is due to the expiration of statutes of limitations and anticipated closure of various state matters currently under examination. For such matters where a change in the balance of unrecognized tax benefits is not yet deemed reasonably possible, no estimate has been included.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INCOME AND OTHER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80" w:type="dxa"/>
            <w:vAlign w:val="bottom"/>
            <w:gridSpan w:val="5"/>
          </w:tcPr>
          <w:p>
            <w:pPr>
              <w:ind w:left="160"/>
              <w:spacing w:after="0"/>
              <w:rPr>
                <w:sz w:val="20"/>
                <w:szCs w:val="20"/>
                <w:color w:val="auto"/>
              </w:rPr>
            </w:pPr>
            <w:r>
              <w:rPr>
                <w:rFonts w:ascii="Arial" w:cs="Arial" w:eastAsia="Arial" w:hAnsi="Arial"/>
                <w:sz w:val="16"/>
                <w:szCs w:val="16"/>
                <w:color w:val="auto"/>
              </w:rPr>
              <w:t>Three months ended January 31,</w:t>
            </w:r>
          </w:p>
        </w:tc>
        <w:tc>
          <w:tcPr>
            <w:tcW w:w="300" w:type="dxa"/>
            <w:vAlign w:val="bottom"/>
          </w:tcPr>
          <w:p>
            <w:pPr>
              <w:spacing w:after="0"/>
              <w:rPr>
                <w:sz w:val="17"/>
                <w:szCs w:val="17"/>
                <w:color w:val="auto"/>
              </w:rPr>
            </w:pPr>
          </w:p>
        </w:tc>
        <w:tc>
          <w:tcPr>
            <w:tcW w:w="2960" w:type="dxa"/>
            <w:vAlign w:val="bottom"/>
            <w:gridSpan w:val="4"/>
          </w:tcPr>
          <w:p>
            <w:pPr>
              <w:jc w:val="right"/>
              <w:ind w:right="401"/>
              <w:spacing w:after="0"/>
              <w:rPr>
                <w:sz w:val="20"/>
                <w:szCs w:val="20"/>
                <w:color w:val="auto"/>
              </w:rPr>
            </w:pPr>
            <w:r>
              <w:rPr>
                <w:rFonts w:ascii="Arial" w:cs="Arial" w:eastAsia="Arial" w:hAnsi="Arial"/>
                <w:sz w:val="16"/>
                <w:szCs w:val="16"/>
                <w:color w:val="auto"/>
              </w:rPr>
              <w:t>Nine months ended January 31,</w:t>
            </w:r>
          </w:p>
        </w:tc>
      </w:tr>
      <w:tr>
        <w:trPr>
          <w:trHeight w:val="212"/>
        </w:trPr>
        <w:tc>
          <w:tcPr>
            <w:tcW w:w="4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10"/>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12,648</w:t>
            </w:r>
          </w:p>
        </w:tc>
      </w:tr>
      <w:tr>
        <w:trPr>
          <w:trHeight w:val="215"/>
        </w:trPr>
        <w:tc>
          <w:tcPr>
            <w:tcW w:w="4640" w:type="dxa"/>
            <w:vAlign w:val="bottom"/>
            <w:gridSpan w:val="2"/>
          </w:tcPr>
          <w:p>
            <w:pPr>
              <w:ind w:left="140"/>
              <w:spacing w:after="0"/>
              <w:rPr>
                <w:sz w:val="20"/>
                <w:szCs w:val="20"/>
                <w:color w:val="auto"/>
              </w:rPr>
            </w:pPr>
            <w:r>
              <w:rPr>
                <w:rFonts w:ascii="Arial" w:cs="Arial" w:eastAsia="Arial" w:hAnsi="Arial"/>
                <w:sz w:val="16"/>
                <w:szCs w:val="16"/>
                <w:color w:val="auto"/>
              </w:rPr>
              <w:t>Foreign currency gains (losses),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489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544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4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1,755</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2,204</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1,118</w:t>
            </w:r>
          </w:p>
        </w:tc>
      </w:tr>
      <w:tr>
        <w:trPr>
          <w:trHeight w:val="249"/>
        </w:trPr>
        <w:tc>
          <w:tcPr>
            <w:tcW w:w="45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2,367</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4,759</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13,741</w:t>
            </w:r>
          </w:p>
        </w:tc>
      </w:tr>
      <w:tr>
        <w:trPr>
          <w:trHeight w:val="20"/>
        </w:trPr>
        <w:tc>
          <w:tcPr>
            <w:tcW w:w="45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$ 10,000 if our software makes an arithmetic error that results in payment of penalties and/or interest to the IRS that a client would otherwise not have been required to pay. Our liability related to estimated losses under the 100% accuracy guarantee was $9.2 million, $7.0 million and $9.4 million as of January 31, 2021 and 2020 and April 30, 2020, respectively. The short-term and long-term portions of this liability are included in deferred revenue and other liabilities in the consolidated balance sheets.</w:t>
      </w:r>
    </w:p>
    <w:p>
      <w:pPr>
        <w:spacing w:after="0" w:line="10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$18.8 million, $11.4 million and $14.2 million as of January 31, 2021 and 2020 and April 30, 2020, respectively, with amounts recorded in deferred revenue and other liabilities. Should actual results differ from our estimates, future payments made will differ from the above estimate and any differences will be recorded in results from continuing operations.</w:t>
      </w:r>
    </w:p>
    <w:p>
      <w:pPr>
        <w:spacing w:after="0" w:line="9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We have contractual commitments to fund certain franchises with approved revolving lines of credit. Our total obligation under these lines of credit was $29.3 million at January 31, 2021, and net of amounts drawn and outstanding, our remaining commitment to fund totaled $13.7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21463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hanging="263"/>
        <w:spacing w:after="0"/>
        <w:tabs>
          <w:tab w:leader="none" w:pos="360" w:val="left"/>
        </w:tabs>
        <w:numPr>
          <w:ilvl w:val="0"/>
          <w:numId w:val="12"/>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Both the U.S. and Canada implemented emergency economic relief programs as a way of minimizing the economic impact of the global COVID-19 pandemic. In the U.S., the CARES Act includes, among other items, provisions relating to refundable payroll tax credits and deferment of certain tax payments through the end of calendar 2020. In Canada the COVID-19 Economic Response Plan includes the Canada Emergency Wage Subsidy (CEWS). For our U.S. businesses we have elected to defer the employer-paid portion of social security taxes and are evaluating the employee retention credit, and in Canada we have received $15.9 million in wage subsidies during the nine months ended January 31, 2021 which has been treated as a government subsidy to offset related operating expenses.</w:t>
      </w:r>
    </w:p>
    <w:p>
      <w:pPr>
        <w:spacing w:after="0" w:line="100"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On August 5, 2020, we entered into a Program Management Agreement with MetaBank®, N.A. (Meta), a wholly-owned subsidiary of Meta Financial Group, Inc. Under the Meta Program Management Agreement and its ancillary agreements and related product schedules, Meta acts as the bank provider of H&amp;R Block-branded financial products. 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lines of credit (EAs) are originated by Meta, and we purchase a 90% participation interest, at par, in the advances originated by Meta. At January 31, 2021, the principal balance of purchased participation interests for the current year totaled $303.2 million.</w:t>
      </w:r>
    </w:p>
    <w:p>
      <w:pPr>
        <w:spacing w:after="0" w:line="10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Refund Advance loans are originated by Meta and offered to certain assisted U.S. tax preparation clients, based on client eligibility as determined by Meta. We pay fees based on loan size and customer type. The fees are intended to cover expected loan losses and payments to capital providers, among other items. We have provided two guarantees related to this agreement. We have provided a guarantee up to $18.0 million related to certain loans to clients prior to the IRS accepting electronic filing. At January 31, 2021, we accrued an estimated liability of $1.3 million related to this guarantee, compared to $1.9 million at January 31, 2020, under a similar guarantee with our prior bank partner. Additionally, we provided a guarantee related to loans to virtual assisted clients. There is no maximum exposure under this guarantee. At January 31, 2021, we had no amounts accrued under this guarantee and we do not expect that a material amount will be paid for this guarantee under anticipated loss scenarios related to the fiscal year 2021 tax season.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LITIGATION AND OTHER RELATED CONTINGENCIES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9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96"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9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97"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631825</wp:posOffset>
            </wp:positionV>
            <wp:extent cx="222885"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 make other expenditures or accrue liabilities in amounts that could not be reasonably estimated as of January 31, 2021.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January 31, 2021 and 2020 and April 30, 2020, our total accrued liabilities were $5.5 million, $1.6 million and $1.6 million, respectively.</w:t>
      </w:r>
    </w:p>
    <w:p>
      <w:pPr>
        <w:spacing w:after="0" w:line="9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spacing w:after="0" w:line="96"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on motions or appeals, analysis by experts, or the status or terms of any settlement negotiations.</w:t>
      </w:r>
    </w:p>
    <w:p>
      <w:pPr>
        <w:spacing w:after="0" w:line="9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January 31, 2021, we believe the estimate of the aggregate range of reasonably possible losses in excess of amounts accrued, where the range of loss can be estimated, is not material.</w:t>
      </w:r>
    </w:p>
    <w:p>
      <w:pPr>
        <w:spacing w:after="0" w:line="96"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On a quarterly and annual basis, we review relevant information with respect to litigation and other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96"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LITIGATION, CLAIMS OR OTHER LOSS CONTINGENCIES PERTAINING TO CONTINUING OPERATIONS </w:t>
      </w:r>
      <w:r>
        <w:rPr>
          <w:rFonts w:ascii="Arial" w:cs="Arial" w:eastAsia="Arial" w:hAnsi="Arial"/>
          <w:sz w:val="18"/>
          <w:szCs w:val="18"/>
          <w:color w:val="auto"/>
        </w:rPr>
        <w:t>–</w:t>
      </w:r>
    </w:p>
    <w:p>
      <w:pPr>
        <w:spacing w:after="0" w:line="117"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b w:val="1"/>
          <w:bCs w:val="1"/>
          <w:color w:val="auto"/>
        </w:rPr>
        <w:t xml:space="preserve">Free File Litigation. </w:t>
      </w:r>
      <w:r>
        <w:rPr>
          <w:rFonts w:ascii="Arial" w:cs="Arial" w:eastAsia="Arial" w:hAnsi="Arial"/>
          <w:sz w:val="18"/>
          <w:szCs w:val="18"/>
          <w:color w:val="auto"/>
        </w:rPr>
        <w:t>On May 6, 2019, the Los Angeles City Attorney filed a lawsuit on behalf of the People of the State of California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Superior Court of California, County of Los Angeles (Case No. 19STCV15742). The case is styled </w:t>
      </w:r>
      <w:r>
        <w:rPr>
          <w:rFonts w:ascii="Arial" w:cs="Arial" w:eastAsia="Arial" w:hAnsi="Arial"/>
          <w:sz w:val="18"/>
          <w:szCs w:val="18"/>
          <w:i w:val="1"/>
          <w:iCs w:val="1"/>
          <w:color w:val="auto"/>
        </w:rPr>
        <w:t>The People of the State of California v.</w:t>
      </w:r>
      <w:r>
        <w:rPr>
          <w:rFonts w:ascii="Arial" w:cs="Arial" w:eastAsia="Arial" w:hAnsi="Arial"/>
          <w:sz w:val="18"/>
          <w:szCs w:val="18"/>
          <w:color w:val="auto"/>
        </w:rPr>
        <w:t xml:space="preserve"> </w:t>
      </w:r>
      <w:r>
        <w:rPr>
          <w:rFonts w:ascii="Arial" w:cs="Arial" w:eastAsia="Arial" w:hAnsi="Arial"/>
          <w:sz w:val="18"/>
          <w:szCs w:val="18"/>
          <w:i w:val="1"/>
          <w:iCs w:val="1"/>
          <w:color w:val="auto"/>
        </w:rPr>
        <w:t>HRB Digital LLC, et al</w:t>
      </w:r>
      <w:r>
        <w:rPr>
          <w:rFonts w:ascii="Arial" w:cs="Arial" w:eastAsia="Arial" w:hAnsi="Arial"/>
          <w:sz w:val="18"/>
          <w:szCs w:val="18"/>
          <w:color w:val="auto"/>
        </w:rPr>
        <w:t>. The complaint alleges that H&amp;R Block, Inc. and HRB Digital LLC engaged in unfair, fraudulent and deceptive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practices and acts in connection with the IRS Free File Program in violation of the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complaint seeks injunctive relief, restitution of monies paid to H&amp;R Block by persons in the State of California who were eligible to file under the IRS Free File Program for the time period starting 4 years prior to the date of the filing of the complaint, pre-judgment interest, civil penalties and costs. The City Attorney subsequently dismissed H&amp;R Block, Inc. from the case and amended its complaint to add HRB Tax Group, Inc. We filed a motion to stay the case based on the primary jurisdiction doctrine, which was denied. A trial date has been set for August 9, 2022. We have not concluded that a loss related to this matter is probable, nor have we accrued a liability related to this matter.</w:t>
      </w:r>
    </w:p>
    <w:p>
      <w:pPr>
        <w:jc w:val="both"/>
        <w:ind w:firstLine="202"/>
        <w:spacing w:after="0" w:line="238" w:lineRule="auto"/>
        <w:rPr>
          <w:sz w:val="20"/>
          <w:szCs w:val="20"/>
          <w:color w:val="auto"/>
        </w:rPr>
      </w:pPr>
      <w:r>
        <w:rPr>
          <w:rFonts w:ascii="Arial" w:cs="Arial" w:eastAsia="Arial" w:hAnsi="Arial"/>
          <w:sz w:val="18"/>
          <w:szCs w:val="18"/>
          <w:color w:val="auto"/>
        </w:rPr>
        <w:t xml:space="preserve">On May 17, 2019, a putative class action complaint was filed against H&amp;R Block, Inc., HRB Tax Group, Inc. and HRB Digital LLC in the Superior Court of the State of California, County of San Francisco (Case No. CGC-19576093). The case is styled </w:t>
      </w:r>
      <w:r>
        <w:rPr>
          <w:rFonts w:ascii="Arial" w:cs="Arial" w:eastAsia="Arial" w:hAnsi="Arial"/>
          <w:sz w:val="18"/>
          <w:szCs w:val="18"/>
          <w:i w:val="1"/>
          <w:iCs w:val="1"/>
          <w:color w:val="auto"/>
        </w:rPr>
        <w:t>Snarr v. HRB Tax Group,</w:t>
      </w:r>
      <w:r>
        <w:rPr>
          <w:rFonts w:ascii="Arial" w:cs="Arial" w:eastAsia="Arial" w:hAnsi="Arial"/>
          <w:sz w:val="18"/>
          <w:szCs w:val="18"/>
          <w:color w:val="auto"/>
        </w:rPr>
        <w:t xml:space="preserve"> </w:t>
      </w:r>
      <w:r>
        <w:rPr>
          <w:rFonts w:ascii="Arial" w:cs="Arial" w:eastAsia="Arial" w:hAnsi="Arial"/>
          <w:sz w:val="18"/>
          <w:szCs w:val="18"/>
          <w:i w:val="1"/>
          <w:iCs w:val="1"/>
          <w:color w:val="auto"/>
        </w:rPr>
        <w:t>Inc., et al</w:t>
      </w:r>
      <w:r>
        <w:rPr>
          <w:rFonts w:ascii="Arial" w:cs="Arial" w:eastAsia="Arial" w:hAnsi="Arial"/>
          <w:sz w:val="18"/>
          <w:szCs w:val="18"/>
          <w:color w:val="auto"/>
        </w:rPr>
        <w:t>. The case was removed to the United States District Court for the Northern District of California on June 21, 2019 (Case No. 3:19-cv-03610-SK). The plaintiff filed a first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636270</wp:posOffset>
            </wp:positionV>
            <wp:extent cx="21463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60" w:hanging="263"/>
        <w:spacing w:after="0"/>
        <w:tabs>
          <w:tab w:leader="none" w:pos="360" w:val="left"/>
        </w:tabs>
        <w:numPr>
          <w:ilvl w:val="0"/>
          <w:numId w:val="13"/>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complaint on August 9, 2019, dropping H&amp;R Block, Inc. from the case. In the amended complaint, the plaintiff seeks to represent classes of all persons, between May 17, 2015 and the present, who (1) paid to file one or more federal tax returns through H&amp;R Block’s internet-based filing system, (2) were eligible to file those tax returns for free through the H&amp;R Block Free File offer of the IRS Free File Program, and (3) resided in and were citizens of California at the time of the payments. The plaintiff generally alleges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The plaintiff seeks declaratory and injunctive relief, restitution, compensatory damages, punitive damages, interest, attorneys’ fees and costs. We filed a motion to stay the proceedings based on the primary jurisdiction doctrine and a motion to compel arbitration, both of which were denied. We filed an appeal of the denial of the motion to compel arbitration, which was denied on December 9, 2020. We filed an answer to the amended complaint on April 7, 2020, and a renewed motion to compel arbitration and to stay the litigation on February 22, 2021. A trial date has been set for October 18, 2022. We have not concluded that a loss related to this matter is probable, nor have we accrued a liability related to this matter.</w:t>
      </w:r>
    </w:p>
    <w:p>
      <w:pPr>
        <w:spacing w:after="0" w:line="96"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On September 26, 2019, a putative class action complaint was filed against H&amp;R Block, Inc., HRB Tax Group, Inc., HRB Digital LLC and Free File, Inc. in the United States District Court for the Western District of Missouri (Case No. 4:19-cv-00788-GAF) styled </w:t>
      </w:r>
      <w:r>
        <w:rPr>
          <w:rFonts w:ascii="Arial" w:cs="Arial" w:eastAsia="Arial" w:hAnsi="Arial"/>
          <w:sz w:val="18"/>
          <w:szCs w:val="18"/>
          <w:i w:val="1"/>
          <w:iCs w:val="1"/>
          <w:color w:val="auto"/>
        </w:rPr>
        <w:t>Swanson v. H&amp;R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Block, Inc., et al. </w:t>
      </w:r>
      <w:r>
        <w:rPr>
          <w:rFonts w:ascii="Arial" w:cs="Arial" w:eastAsia="Arial" w:hAnsi="Arial"/>
          <w:sz w:val="18"/>
          <w:szCs w:val="18"/>
          <w:color w:val="auto"/>
        </w:rPr>
        <w:t>The plaintiff seeks to represent both a nationwide class and a California subclass of all persons eligible for the IRS Free File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 who paid to use an H&amp;R Block product to file an online tax return for the 2002 through 2018 tax filing years. The plaintiff generally alleges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in addition to breach of contract and fraud. The plaintiff seeks injunctive relief, disgorgement, compensatory damages, statutory damages, punitive damages, interest, attorneys’ fees and costs. The court granted a motion to dismiss filed by defendant Free File, Inc. for lack of personal jurisdiction. The court granted our motion to compel arbitration and stayed the case pending the outcome of arbitration. We have not concluded that a loss related to this matter is probable, nor have we accrued a liability related to this matter.</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also received and are responding to certain governmental inquiries relating to the IRS Free File Program.</w:t>
      </w:r>
    </w:p>
    <w:p>
      <w:pPr>
        <w:spacing w:after="0" w:line="95"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8"/>
          <w:szCs w:val="18"/>
          <w:color w:val="auto"/>
        </w:rPr>
        <w:t>– Although SCC ceased its mortgage loan origination activities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 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some of which are beyond the Company's control, and the indeterminate damages sought in some of these matters.</w:t>
      </w:r>
    </w:p>
    <w:p>
      <w:pPr>
        <w:spacing w:after="0" w:line="9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702945</wp:posOffset>
            </wp:positionV>
            <wp:extent cx="222885"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and warranties together with any settlement arrangements related to these losses are collectively referred to as "representation and warranty claims." 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 DB Structured Products, Inc.</w:t>
      </w:r>
      <w:r>
        <w:rPr>
          <w:rFonts w:ascii="Arial" w:cs="Arial" w:eastAsia="Arial" w:hAnsi="Arial"/>
          <w:sz w:val="18"/>
          <w:szCs w:val="18"/>
          <w:color w:val="auto"/>
        </w:rPr>
        <w:t>, that the six-year statute of limitations under New York law starts to run at the time the representations and warranties are made, not the date when the repurchase demand was denied. This decision applies to claims and lawsuits brought against SCC where New York law governs. New York law governs many, though not all, of the RMBS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8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 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95"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asserts claims for breach of contract, anticipatory breach, indemnity, and declaratory judgment in connection with alleged losses incurred as a result of the breach of representations and warranties relating to SCC and to loans sold to the trust. The trust was originally collateralized with approximately 7,500 loans. The plaintiff seeks specific 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 response to a motion filed by SCC, the court dismissed the plaintiff's claims for breach of the duty to cure or repurchase, anticipatory breach, indemnity, and declaratory judgment. The case proceeded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Discovery in the case closed on September 30, 2019, with motions for summary judgment filed on December 6, 2019. On November 9, 2020, the court granted SCC's motion for summary judgment and dismissed Homeward's claims in their entirety as untimely under the applicable statute of limitations. Homeward appealed that ruling on December 4, 2020, and the appeal remains pending. We have not concluded that a loss related to this matter is probable, nor have we accrued a liability related to this matter.</w:t>
      </w:r>
    </w:p>
    <w:p>
      <w:pPr>
        <w:spacing w:after="0" w:line="10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 the benefit of the trustee and the certificate holders of such trust, asserts claims for breach of contract and indemnity in connection with losses allegedly incurred as a result of the breach of representations and warranties relating to 96 loans sold to the trust. The trust was originally collateralized with approximately 7,500 loans. The plaintiff seeks specific performance of alleged repurchase obligations or damages to compensate the trust and its certificate holders for alleged actual and anticipated losses. In response to a motion filed by SCC,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637540</wp:posOffset>
            </wp:positionV>
            <wp:extent cx="21463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hanging="263"/>
        <w:spacing w:after="0"/>
        <w:tabs>
          <w:tab w:leader="none" w:pos="360" w:val="left"/>
        </w:tabs>
        <w:numPr>
          <w:ilvl w:val="0"/>
          <w:numId w:val="14"/>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 claim for breach of one of the representations. The case proceeded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The settlement payments that were made in fiscal year 2018 for representation and warranty claims related to some of the loans in this case. Discovery in the case closed on September 30, 2019, with motions for summary judgment filed on December 6, 2019. On November 9, 2020, the court granted SCC's motion for summary judgment and dismissed Homeward's claims in their entirety as untimely under the applicable statute of limitations. Homeward appealed that ruling on December 4, 2020, and the appeal remains pending. We have not concluded that a loss related to this matter is probable, nor have we accrued a liability related to this matter.</w:t>
      </w:r>
    </w:p>
    <w:p>
      <w:pPr>
        <w:spacing w:after="0" w:line="10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Parties, including underwriters, depositors, and securitization trustees, are, or have been, involved in multiple lawsuits, threatened lawsuits, and settlements related to securitization transactions in which SCC participated. A variety of claims are alleged in these matters, including violations of federal and state securities laws and common law fraud, based on alleged materially inaccurate or misleading disclosures, that originators, depositors, securitization trustees, or servicers breached their representations and warranties or otherwise failed to fulfill their obligations, or that securitization trustees violated statutory requirements by failing to properly protect the certificate holders’ interests. SCC has received notices of claims for indemnification or potential indemnification obligations relating to such matters, including lawsuits or settlements to which underwriters, depositors, or securitization trustees are party. Additional lawsuits against the parties to the securitization transactions may be filed in the future, and SCC may receive additional notices of claims for indemnification, contribution or similar obligations with respect to existing or new lawsuits or settlements of such lawsuits or other claims.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10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 also attempt to assert claims against or seek payment directly from the Company even if SCC's assets exceed its liabilities. SCC's principal assets, as of January 31, 2021, total approximately $271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75"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These matters may include actions by state attorneys general, other state regulators, federal regulators, individual plaintiffs, and cases in which plaintiffs seek to represent others who may be similarly situated.</w:t>
      </w:r>
    </w:p>
    <w:p>
      <w:pPr>
        <w:spacing w:after="0" w:line="85"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857250</wp:posOffset>
            </wp:positionV>
            <wp:extent cx="222885"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160"/>
        <w:spacing w:after="0" w:line="38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RECENT DEVELOPMENTS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July 1, 2020, we provided written notice to Axos Bank (Axos) of the termination of the Program Management Agreement by and between Emerald Financial Services, LLC , a wholly–owned indirect subsidiary of the Company, and Axos, effective July 1, 2020. On August 5, 2020, we entered into a Program Management Agreement with MetaBank®, N.A. (Meta), a wholly-owned subsidiary of Meta Financial Group, Inc. Under the Meta Program Management Agreement and its ancillary agreements and related product schedules, Meta acts as the bank provider of H&amp;R Block-branded financial products, including Emerald Advance</w:t>
      </w:r>
      <w:r>
        <w:rPr>
          <w:rFonts w:ascii="Arial" w:cs="Arial" w:eastAsia="Arial" w:hAnsi="Arial"/>
          <w:sz w:val="23"/>
          <w:szCs w:val="23"/>
          <w:color w:val="auto"/>
          <w:vertAlign w:val="superscript"/>
        </w:rPr>
        <w:t>SM</w:t>
      </w:r>
      <w:r>
        <w:rPr>
          <w:rFonts w:ascii="Arial" w:cs="Arial" w:eastAsia="Arial" w:hAnsi="Arial"/>
          <w:sz w:val="18"/>
          <w:szCs w:val="18"/>
          <w:color w:val="auto"/>
        </w:rPr>
        <w:t>, Emerald Card®, Emerald Savings, Refund Advance, and Refund Transfer in the United States.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3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With the economic impact of the pandemic being felt across the U.S., we remain committed to helping people gain access to their refunds while shifting how we operate to help promote the safety and well-being of associates and clients. We continue to provide in-person appointments where permitted and have instituted guidelines for our tax offices based on Centers for Disease Control and Prevention recommendations. Clients may also choose to drop-off at our locations nationwide or choose to file with a tax pro virtually.</w:t>
      </w:r>
    </w:p>
    <w:p>
      <w:pPr>
        <w:spacing w:after="0" w:line="96"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8"/>
          <w:szCs w:val="18"/>
          <w:color w:val="auto"/>
        </w:rPr>
        <w:t>As a result of the COVID-19 pandemic, on March 21, 2020, the federal tax filing deadline in the U.S. for individual 2019 tax returns was extended from April 15, 2020 to July 15, 2020, and substantially all U.S. states with an April 15 individual state income tax filing requirement extended their respective deadlines. In Canada, the deadline for individuals to file was extended to June 1, 2020. In addition, governments around the world took a variety of actions to contain the spread of COVID-19. Jurisdictions in which we operate imposed various restrictions on our business, including capacity and other operational limitations, social distancing requirements, and in limited instances required us to close certain offices. Consequently, a portion of revenues and expenses that would have normally been recognized in our fourth quarter of fiscal year 2020 shifted to the first two quarters of fiscal year 2021.</w:t>
      </w:r>
    </w:p>
    <w:p>
      <w:pPr>
        <w:spacing w:after="0" w:line="99"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We believe that the ongoing pandemic, coupled with the timing of Economic Impact Payments (EIPs) and the Internal Revenue Service’s (IRS) announcement to not accept and process returns until February 12, has resulted in a delayed start to the current tax season. Historically, the IRS has begun accepting and processing returns during our third fiscal quarter. These delays have impacted tax return volumes and the timing of recognizing a portion of revenue for the returns that we prepared during the quarter but were not able to electronically file with the IRS.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These events have impacted the typical seasonality of our business and the comparability of our financial results.</w:t>
      </w:r>
    </w:p>
    <w:p>
      <w:pPr>
        <w:spacing w:after="0" w:line="11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revenues for the three months ended January 31, 2021 decreased $211.0 million, or 40.6%, when compared to the prior year period, primarily due to a delayed start to the 2021 tax season, and we recorded a pretax loss of $283.5 million compared to $177.0 million in the prior year. Our revenues for the nine months ended January 31, 2021, increased $255.4 million, or 30.8%, when compared to the prior year period, primarily due to the extension of the 2020 tax season, partially offset by a delayed start to the 2021 tax season, and we recorded pretax loss of $396.5 million compared to $645.5 million in the prior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subsidiaries provide assisted and DIY tax preparation solutions through multiple channels (including in-person, online and mobile applications, virtual, and desktop software) and distribute H&amp;R Block-branded products and services, including those of our financial partners, to the general public primarily in the U.S., Canada and Australia. Tax returns are either prepared by H&amp;R Block tax professionals (in company-owned or franchise offices, virtually or via an internet review) or prepared and filed by our clients through our DIY tax solutions. We also offer small business financial solutions through our company-owned and franchise offices and online through Wave. We report a single segment that includes all of our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638175</wp:posOffset>
            </wp:positionV>
            <wp:extent cx="21463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0" w:hanging="263"/>
        <w:spacing w:after="0"/>
        <w:tabs>
          <w:tab w:leader="none" w:pos="360" w:val="left"/>
        </w:tabs>
        <w:numPr>
          <w:ilvl w:val="0"/>
          <w:numId w:val="15"/>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U.S. Operating Statistics</w:t>
            </w:r>
          </w:p>
        </w:tc>
        <w:tc>
          <w:tcPr>
            <w:tcW w:w="24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5"/>
          </w:tcPr>
          <w:p>
            <w:pPr>
              <w:ind w:left="120"/>
              <w:spacing w:after="0"/>
              <w:rPr>
                <w:sz w:val="20"/>
                <w:szCs w:val="20"/>
                <w:color w:val="auto"/>
              </w:rPr>
            </w:pPr>
            <w:r>
              <w:rPr>
                <w:rFonts w:ascii="Arial" w:cs="Arial" w:eastAsia="Arial" w:hAnsi="Arial"/>
                <w:sz w:val="16"/>
                <w:szCs w:val="16"/>
                <w:color w:val="auto"/>
              </w:rPr>
              <w:t>Three Months Ended January 31,</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09"/>
        </w:trPr>
        <w:tc>
          <w:tcPr>
            <w:tcW w:w="45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Change</w:t>
            </w:r>
          </w:p>
        </w:tc>
        <w:tc>
          <w:tcPr>
            <w:tcW w:w="12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 Change</w:t>
            </w:r>
          </w:p>
        </w:tc>
      </w:tr>
      <w:tr>
        <w:trPr>
          <w:trHeight w:val="210"/>
        </w:trPr>
        <w:tc>
          <w:tcPr>
            <w:tcW w:w="45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Tax returns prepared: (in 000s)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5"/>
        </w:trPr>
        <w:tc>
          <w:tcPr>
            <w:tcW w:w="4700" w:type="dxa"/>
            <w:vAlign w:val="bottom"/>
            <w:gridSpan w:val="2"/>
          </w:tcPr>
          <w:p>
            <w:pPr>
              <w:ind w:left="220"/>
              <w:spacing w:after="0"/>
              <w:rPr>
                <w:sz w:val="20"/>
                <w:szCs w:val="20"/>
                <w:color w:val="auto"/>
              </w:rPr>
            </w:pPr>
            <w:r>
              <w:rPr>
                <w:rFonts w:ascii="Arial" w:cs="Arial" w:eastAsia="Arial" w:hAnsi="Arial"/>
                <w:sz w:val="16"/>
                <w:szCs w:val="16"/>
                <w:color w:val="auto"/>
              </w:rPr>
              <w:t>Company-owned operations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(463)</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(39.0)%</w:t>
            </w: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Franchise operations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49"/>
        </w:trPr>
        <w:tc>
          <w:tcPr>
            <w:tcW w:w="4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assisted</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(40.7)%</w:t>
            </w:r>
          </w:p>
        </w:tc>
      </w:tr>
      <w:tr>
        <w:trPr>
          <w:trHeight w:val="215"/>
        </w:trPr>
        <w:tc>
          <w:tcPr>
            <w:tcW w:w="4700" w:type="dxa"/>
            <w:vAlign w:val="bottom"/>
            <w:tcBorders>
              <w:top w:val="single" w:sz="8" w:color="CCEEFF"/>
            </w:tcBorders>
            <w:gridSpan w:val="2"/>
          </w:tcPr>
          <w:p>
            <w:pPr>
              <w:ind w:left="220"/>
              <w:spacing w:after="0"/>
              <w:rPr>
                <w:sz w:val="20"/>
                <w:szCs w:val="20"/>
                <w:color w:val="auto"/>
              </w:rPr>
            </w:pPr>
            <w:r>
              <w:rPr>
                <w:rFonts w:ascii="Arial" w:cs="Arial" w:eastAsia="Arial" w:hAnsi="Arial"/>
                <w:sz w:val="16"/>
                <w:szCs w:val="16"/>
                <w:color w:val="auto"/>
              </w:rPr>
              <w:t>Desktop</w:t>
            </w:r>
          </w:p>
        </w:tc>
        <w:tc>
          <w:tcPr>
            <w:tcW w:w="2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36</w:t>
            </w: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(52)</w:t>
            </w:r>
          </w:p>
        </w:tc>
        <w:tc>
          <w:tcPr>
            <w:tcW w:w="176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(59.1)%</w:t>
            </w: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Online</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49"/>
        </w:trPr>
        <w:tc>
          <w:tcPr>
            <w:tcW w:w="4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DIY</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(37.6)%</w:t>
            </w:r>
          </w:p>
        </w:tc>
      </w:tr>
      <w:tr>
        <w:trPr>
          <w:trHeight w:val="255"/>
        </w:trPr>
        <w:tc>
          <w:tcPr>
            <w:tcW w:w="4700" w:type="dxa"/>
            <w:vAlign w:val="bottom"/>
            <w:tcBorders>
              <w:top w:val="single" w:sz="8" w:color="CCEEFF"/>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U.S. Returns</w:t>
            </w:r>
          </w:p>
        </w:tc>
        <w:tc>
          <w:tcPr>
            <w:tcW w:w="240" w:type="dxa"/>
            <w:vAlign w:val="bottom"/>
            <w:tcBorders>
              <w:top w:val="single" w:sz="8" w:color="CCEEFF"/>
              <w:bottom w:val="single" w:sz="8" w:color="auto"/>
            </w:tcBorders>
          </w:tcPr>
          <w:p>
            <w:pPr>
              <w:spacing w:after="0"/>
              <w:rPr>
                <w:sz w:val="21"/>
                <w:szCs w:val="21"/>
                <w:color w:val="auto"/>
              </w:rPr>
            </w:pPr>
          </w:p>
        </w:tc>
        <w:tc>
          <w:tcPr>
            <w:tcW w:w="12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1,860</w:t>
            </w:r>
          </w:p>
        </w:tc>
        <w:tc>
          <w:tcPr>
            <w:tcW w:w="120" w:type="dxa"/>
            <w:vAlign w:val="bottom"/>
            <w:tcBorders>
              <w:top w:val="single" w:sz="8" w:color="CCEEFF"/>
              <w:bottom w:val="single" w:sz="8" w:color="CCEEFF"/>
            </w:tcBorders>
          </w:tcPr>
          <w:p>
            <w:pPr>
              <w:spacing w:after="0"/>
              <w:rPr>
                <w:sz w:val="21"/>
                <w:szCs w:val="21"/>
                <w:color w:val="auto"/>
              </w:rPr>
            </w:pPr>
          </w:p>
        </w:tc>
        <w:tc>
          <w:tcPr>
            <w:tcW w:w="340" w:type="dxa"/>
            <w:vAlign w:val="bottom"/>
            <w:tcBorders>
              <w:top w:val="single" w:sz="8" w:color="CCEEFF"/>
              <w:bottom w:val="single" w:sz="8" w:color="auto"/>
            </w:tcBorders>
          </w:tcPr>
          <w:p>
            <w:pPr>
              <w:spacing w:after="0"/>
              <w:rPr>
                <w:sz w:val="21"/>
                <w:szCs w:val="21"/>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3,065</w:t>
            </w:r>
          </w:p>
        </w:tc>
        <w:tc>
          <w:tcPr>
            <w:tcW w:w="12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CCEEFF"/>
              <w:bottom w:val="single" w:sz="8" w:color="auto"/>
            </w:tcBorders>
          </w:tcPr>
          <w:p>
            <w:pPr>
              <w:spacing w:after="0"/>
              <w:rPr>
                <w:sz w:val="21"/>
                <w:szCs w:val="21"/>
                <w:color w:val="auto"/>
              </w:rPr>
            </w:pPr>
          </w:p>
        </w:tc>
        <w:tc>
          <w:tcPr>
            <w:tcW w:w="12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1760" w:type="dxa"/>
            <w:vAlign w:val="bottom"/>
            <w:tcBorders>
              <w:top w:val="single" w:sz="8" w:color="CCEEFF"/>
              <w:bottom w:val="single" w:sz="8" w:color="CCEEFF"/>
            </w:tcBorders>
            <w:gridSpan w:val="2"/>
          </w:tcPr>
          <w:p>
            <w:pPr>
              <w:jc w:val="right"/>
              <w:spacing w:after="0"/>
              <w:rPr>
                <w:sz w:val="20"/>
                <w:szCs w:val="20"/>
                <w:color w:val="auto"/>
              </w:rPr>
            </w:pPr>
            <w:r>
              <w:rPr>
                <w:rFonts w:ascii="Arial" w:cs="Arial" w:eastAsia="Arial" w:hAnsi="Arial"/>
                <w:sz w:val="16"/>
                <w:szCs w:val="16"/>
                <w:color w:val="auto"/>
              </w:rPr>
              <w:t>(39.3)%</w:t>
            </w:r>
          </w:p>
        </w:tc>
      </w:tr>
      <w:tr>
        <w:trPr>
          <w:trHeight w:val="216"/>
        </w:trPr>
        <w:tc>
          <w:tcPr>
            <w:tcW w:w="4700" w:type="dxa"/>
            <w:vAlign w:val="bottom"/>
            <w:tcBorders>
              <w:top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Net Average Charge: </w:t>
            </w:r>
            <w:r>
              <w:rPr>
                <w:rFonts w:ascii="Arial" w:cs="Arial" w:eastAsia="Arial" w:hAnsi="Arial"/>
                <w:sz w:val="21"/>
                <w:szCs w:val="21"/>
                <w:color w:val="auto"/>
                <w:vertAlign w:val="superscript"/>
              </w:rPr>
              <w:t>(2)</w:t>
            </w:r>
          </w:p>
        </w:tc>
        <w:tc>
          <w:tcPr>
            <w:tcW w:w="2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21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Company-owned operations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470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Franchise operations </w:t>
            </w:r>
            <w:r>
              <w:rPr>
                <w:rFonts w:ascii="Arial" w:cs="Arial" w:eastAsia="Arial" w:hAnsi="Arial"/>
                <w:sz w:val="21"/>
                <w:szCs w:val="21"/>
                <w:color w:val="auto"/>
                <w:vertAlign w:val="superscript"/>
              </w:rPr>
              <w:t>(3)</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227.73</w:t>
            </w:r>
          </w:p>
        </w:tc>
        <w:tc>
          <w:tcPr>
            <w:tcW w:w="12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236.34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(8.61)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30.7 %</w:t>
            </w:r>
          </w:p>
        </w:tc>
      </w:tr>
      <w:tr>
        <w:trPr>
          <w:trHeight w:val="95"/>
        </w:trPr>
        <w:tc>
          <w:tcPr>
            <w:tcW w:w="4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r>
      <w:tr>
        <w:trPr>
          <w:trHeight w:val="209"/>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January 31,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Change</w:t>
            </w:r>
          </w:p>
        </w:tc>
        <w:tc>
          <w:tcPr>
            <w:tcW w:w="12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 Change</w:t>
            </w:r>
          </w:p>
        </w:tc>
      </w:tr>
      <w:tr>
        <w:trPr>
          <w:trHeight w:val="207"/>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Tax offices: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Company-owned offices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5"/>
        </w:trPr>
        <w:tc>
          <w:tcPr>
            <w:tcW w:w="4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Franchise offices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U.S. offices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9,271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75"/>
        </w:trPr>
        <w:tc>
          <w:tcPr>
            <w:tcW w:w="4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bl>
    <w:p>
      <w:pPr>
        <w:spacing w:after="0" w:line="72" w:lineRule="exact"/>
        <w:rPr>
          <w:sz w:val="20"/>
          <w:szCs w:val="20"/>
          <w:color w:val="auto"/>
        </w:rPr>
      </w:pPr>
    </w:p>
    <w:p>
      <w:pPr>
        <w:jc w:val="both"/>
        <w:ind w:left="180" w:hanging="172"/>
        <w:spacing w:after="0" w:line="241" w:lineRule="auto"/>
        <w:tabs>
          <w:tab w:leader="none" w:pos="322" w:val="left"/>
        </w:tabs>
        <w:numPr>
          <w:ilvl w:val="0"/>
          <w:numId w:val="16"/>
        </w:numPr>
        <w:rPr>
          <w:rFonts w:ascii="Arial" w:cs="Arial" w:eastAsia="Arial" w:hAnsi="Arial"/>
          <w:sz w:val="9"/>
          <w:szCs w:val="9"/>
          <w:color w:val="auto"/>
        </w:rPr>
      </w:pPr>
      <w:r>
        <w:rPr>
          <w:rFonts w:ascii="Arial" w:cs="Arial" w:eastAsia="Arial" w:hAnsi="Arial"/>
          <w:sz w:val="14"/>
          <w:szCs w:val="14"/>
          <w:color w:val="auto"/>
        </w:rPr>
        <w:t>An assisted tax return is defined as a current or prior year individual or business tax return that has been accepted and paid for by the client. A DIY online return is defined as a current year individual or business tax return that has been accepted and paid for by the client. A DIY desktop return is defined as a current year individual or business tax return that has been electronically submitted to the IRS.</w:t>
      </w:r>
    </w:p>
    <w:p>
      <w:pPr>
        <w:spacing w:after="0" w:line="1" w:lineRule="exact"/>
        <w:rPr>
          <w:rFonts w:ascii="Arial" w:cs="Arial" w:eastAsia="Arial" w:hAnsi="Arial"/>
          <w:sz w:val="9"/>
          <w:szCs w:val="9"/>
          <w:color w:val="auto"/>
        </w:rPr>
      </w:pPr>
    </w:p>
    <w:p>
      <w:pPr>
        <w:ind w:left="180" w:right="20" w:hanging="172"/>
        <w:spacing w:after="0" w:line="241" w:lineRule="auto"/>
        <w:tabs>
          <w:tab w:leader="none" w:pos="348" w:val="left"/>
        </w:tabs>
        <w:numPr>
          <w:ilvl w:val="0"/>
          <w:numId w:val="16"/>
        </w:numPr>
        <w:rPr>
          <w:rFonts w:ascii="Arial" w:cs="Arial" w:eastAsia="Arial" w:hAnsi="Arial"/>
          <w:sz w:val="9"/>
          <w:szCs w:val="9"/>
          <w:color w:val="auto"/>
        </w:rPr>
      </w:pPr>
      <w:r>
        <w:rPr>
          <w:rFonts w:ascii="Arial" w:cs="Arial" w:eastAsia="Arial" w:hAnsi="Arial"/>
          <w:sz w:val="14"/>
          <w:szCs w:val="14"/>
          <w:color w:val="auto"/>
        </w:rPr>
        <w:t>Net average charge is calculated as total tax preparation fees, including any amounts deferred, divided by tax returns prepared. A portion of tax preparation fees were deferred as of January 31, 2021 due to the delay in the IRS accepting returns.</w:t>
      </w:r>
    </w:p>
    <w:p>
      <w:pPr>
        <w:ind w:left="180" w:hanging="172"/>
        <w:spacing w:after="0" w:line="258" w:lineRule="auto"/>
        <w:tabs>
          <w:tab w:leader="none" w:pos="296" w:val="left"/>
        </w:tabs>
        <w:numPr>
          <w:ilvl w:val="0"/>
          <w:numId w:val="16"/>
        </w:numPr>
        <w:rPr>
          <w:rFonts w:ascii="Arial" w:cs="Arial" w:eastAsia="Arial" w:hAnsi="Arial"/>
          <w:sz w:val="9"/>
          <w:szCs w:val="9"/>
          <w:color w:val="auto"/>
        </w:rPr>
      </w:pPr>
      <w:r>
        <w:rPr>
          <w:rFonts w:ascii="Arial" w:cs="Arial" w:eastAsia="Arial" w:hAnsi="Arial"/>
          <w:sz w:val="14"/>
          <w:szCs w:val="14"/>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pacing w:after="0" w:line="80" w:lineRule="exact"/>
        <w:rPr>
          <w:sz w:val="20"/>
          <w:szCs w:val="20"/>
          <w:color w:val="auto"/>
        </w:rPr>
      </w:pPr>
    </w:p>
    <w:p>
      <w:pPr>
        <w:jc w:val="both"/>
        <w:ind w:firstLine="227"/>
        <w:spacing w:after="0" w:line="256" w:lineRule="auto"/>
        <w:rPr>
          <w:sz w:val="20"/>
          <w:szCs w:val="20"/>
          <w:color w:val="auto"/>
        </w:rPr>
      </w:pPr>
      <w:r>
        <w:rPr>
          <w:rFonts w:ascii="Arial" w:cs="Arial" w:eastAsia="Arial" w:hAnsi="Arial"/>
          <w:sz w:val="18"/>
          <w:szCs w:val="18"/>
          <w:color w:val="auto"/>
        </w:rPr>
        <w:t>We provide net average charge as a key operating metric because we consider it an important supplemental measure useful to analysts, investors, and other interested parties as it provides insights into pricing and tax return mix relative to our customer base, which are significant drivers of revenue. Our definition of net average charge may not be comparable to similarly titled measures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643255</wp:posOffset>
            </wp:positionV>
            <wp:extent cx="22288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Consolidated – Financial Results</w:t>
            </w: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0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January 31,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9"/>
              </w:rPr>
              <w:t>Change</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 Change</w:t>
            </w:r>
          </w:p>
        </w:tc>
      </w:tr>
      <w:tr>
        <w:trPr>
          <w:trHeight w:val="21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U.S. assisted tax preparation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154,489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283,956</w:t>
            </w:r>
          </w:p>
        </w:tc>
        <w:tc>
          <w:tcPr>
            <w:tcW w:w="56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(129,467)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(45.6)%</w:t>
            </w:r>
          </w:p>
        </w:tc>
      </w:tr>
      <w:tr>
        <w:trPr>
          <w:trHeight w:val="217"/>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royalties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44,965</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U.S. DIY tax preparation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21,681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34,089</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(12,408)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(36.4)%</w:t>
            </w:r>
          </w:p>
        </w:tc>
      </w:tr>
      <w:tr>
        <w:trPr>
          <w:trHeight w:val="217"/>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11,804</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32.8 %</w:t>
            </w: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Refund Transfers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50,494</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(50,487)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Emerald Card®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16,657</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31.8 %</w:t>
            </w: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Peace of Mind® Extended Service Plan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16,101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16,954</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Identity Shield®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8,138</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16"/>
        </w:trPr>
        <w:tc>
          <w:tcPr>
            <w:tcW w:w="516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1"/>
                <w:szCs w:val="21"/>
                <w:color w:val="auto"/>
                <w:vertAlign w:val="superscript"/>
              </w:rPr>
              <w:t>SM</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27,590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32,741</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(5,151)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(15.7)%</w:t>
            </w:r>
          </w:p>
        </w:tc>
      </w:tr>
      <w:tr>
        <w:trPr>
          <w:trHeight w:val="216"/>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Wave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11,213</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32.0 %</w:t>
            </w:r>
          </w:p>
        </w:tc>
      </w:tr>
      <w:tr>
        <w:trPr>
          <w:trHeight w:val="215"/>
        </w:trPr>
        <w:tc>
          <w:tcPr>
            <w:tcW w:w="51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8,194</w:t>
            </w:r>
          </w:p>
        </w:tc>
        <w:tc>
          <w:tcPr>
            <w:tcW w:w="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(13.3)%</w:t>
            </w:r>
          </w:p>
        </w:tc>
      </w:tr>
      <w:tr>
        <w:trPr>
          <w:trHeight w:val="210"/>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308,227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519,205</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(210,978)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34"/>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Field wages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127,002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165,435</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(38,433)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(23.2)%</w:t>
            </w:r>
          </w:p>
        </w:tc>
      </w:tr>
      <w:tr>
        <w:trPr>
          <w:trHeight w:val="217"/>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wages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62,254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63,808</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51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Benefits and other compensation</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39,637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45,397</w:t>
            </w:r>
          </w:p>
        </w:tc>
        <w:tc>
          <w:tcPr>
            <w:tcW w:w="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(5,760)</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(12.7)%</w:t>
            </w:r>
          </w:p>
        </w:tc>
      </w:tr>
      <w:tr>
        <w:trPr>
          <w:trHeight w:val="210"/>
        </w:trPr>
        <w:tc>
          <w:tcPr>
            <w:tcW w:w="5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228,893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274,640</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(45,747)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5"/>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Occupancy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100,823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102,788</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advertising</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66,825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84,760</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15"/>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39,856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44,147</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(4,291)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(9.7)%</w:t>
            </w:r>
          </w:p>
        </w:tc>
      </w:tr>
      <w:tr>
        <w:trPr>
          <w:trHeight w:val="217"/>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 debt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36,527</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5"/>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109,574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128,947</w:t>
            </w:r>
          </w:p>
        </w:tc>
        <w:tc>
          <w:tcPr>
            <w:tcW w:w="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(19,373)</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(15.0)%</w:t>
            </w:r>
          </w:p>
        </w:tc>
      </w:tr>
      <w:tr>
        <w:trPr>
          <w:trHeight w:val="209"/>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571,761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671,809</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(100,048)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0"/>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1,879</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26.0 %</w:t>
            </w: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on borrowings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(22,333)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(26,305)</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209"/>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Pretax loss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(283,500)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(177,030)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(106,470)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(60.1)%</w:t>
            </w: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(51,669)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(49,004)</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Net loss from continuing operations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(231,831)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(128,026)</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(103,805)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(81.1)%</w:t>
            </w: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29.8 %</w:t>
            </w:r>
          </w:p>
        </w:tc>
      </w:tr>
      <w:tr>
        <w:trPr>
          <w:trHeight w:val="249"/>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(232,994)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(129,683)</w:t>
            </w:r>
          </w:p>
        </w:tc>
        <w:tc>
          <w:tcPr>
            <w:tcW w:w="5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(103,311)</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(79.7)%</w:t>
            </w:r>
          </w:p>
        </w:tc>
      </w:tr>
      <w:tr>
        <w:trPr>
          <w:trHeight w:val="189"/>
        </w:trPr>
        <w:tc>
          <w:tcPr>
            <w:tcW w:w="5160" w:type="dxa"/>
            <w:vAlign w:val="bottom"/>
            <w:tcBorders>
              <w:top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BASIC AND DILUTED LOSS PER SHARE:</w:t>
            </w:r>
          </w:p>
        </w:tc>
        <w:tc>
          <w:tcPr>
            <w:tcW w:w="2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216"/>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5"/>
                <w:szCs w:val="15"/>
                <w:color w:val="auto"/>
              </w:rPr>
              <w:t>Discontinued operations</w:t>
            </w:r>
          </w:p>
        </w:tc>
        <w:tc>
          <w:tcPr>
            <w:tcW w:w="2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10"/>
        </w:trPr>
        <w:tc>
          <w:tcPr>
            <w:tcW w:w="51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Consolidated</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5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5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(89.6)%</w:t>
            </w:r>
          </w:p>
        </w:tc>
      </w:tr>
      <w:tr>
        <w:trPr>
          <w:trHeight w:val="34"/>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1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(221,311)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(106,578)</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(114,733)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(107.7)%</w:t>
            </w:r>
          </w:p>
        </w:tc>
      </w:tr>
      <w:tr>
        <w:trPr>
          <w:trHeight w:val="54"/>
        </w:trPr>
        <w:tc>
          <w:tcPr>
            <w:tcW w:w="5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bl>
    <w:p>
      <w:pPr>
        <w:spacing w:after="0" w:line="86"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9"/>
          <w:szCs w:val="9"/>
          <w:color w:val="auto"/>
        </w:rPr>
      </w:pPr>
      <w:r>
        <w:rPr>
          <w:rFonts w:ascii="Arial" w:cs="Arial" w:eastAsia="Arial" w:hAnsi="Arial"/>
          <w:sz w:val="14"/>
          <w:szCs w:val="14"/>
          <w:color w:val="auto"/>
        </w:rPr>
        <w:t>See "Non-GAAP Financial Information" at the end of this item for a reconciliation of non-GAAP measures</w:t>
      </w:r>
      <w:r>
        <w:rPr>
          <w:rFonts w:ascii="Arial" w:cs="Arial" w:eastAsia="Arial" w:hAnsi="Arial"/>
          <w:sz w:val="12"/>
          <w:szCs w:val="12"/>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2021 compared to January 31, 2020</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decreased $ 211.0 million, or 40.6%, from the prior year period. We believe that the ongoing pandemic, coupled with the timing of EIPs, has resulted in a delayed start to the tax season. Additionally, the IRS delayed the date that it will begin accepting and processing tax returns. This resulted in a decrease in the volume of U.S. tax returns prepared and a deferral of $18.7 million of revenues related to electronic filing causing declines in U.S. assisted tax preparation, royalties and U.S. DIY tax preparation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21463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0" w:hanging="263"/>
        <w:spacing w:after="0"/>
        <w:tabs>
          <w:tab w:leader="none" w:pos="360" w:val="left"/>
        </w:tabs>
        <w:numPr>
          <w:ilvl w:val="0"/>
          <w:numId w:val="18"/>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8"/>
          <w:szCs w:val="18"/>
          <w:color w:val="auto"/>
        </w:rPr>
        <w:t>Refund Transfer revenues decreased $50.5 million as a result of the IRS not accepting electronically filed returns. Emerald Card® revenues increased $5.3 million, or 31.8%, due to higher card activity as some EIPs were loaded on to Emerald Cards. Interest and fees on Emerald Advances decreased $5.2 million, or 15.7%, due to lower 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volumes. Wave revenues increased $3.6 million, or 32.0%, due to higher small business payments processing volumes as small business owners shift to online payment options.</w:t>
      </w:r>
    </w:p>
    <w:p>
      <w:pPr>
        <w:spacing w:after="0" w:line="10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Total operating expenses decreased $100.0 million, or 14.9%, from the prior year. Field wages decreased $38.4 million, or 23.2%, due to lower tax preparation volumes resulting from the delayed start to the tax season. Benefits and other compensation decreased $5.8 million, or 12.7%, due to lower payroll taxes and lower stock-based compensation expense. Marketing and advertising expense decreased $17.9 million, or 21.2%, due to the timing of television and online advertising. Depreciation and amortization expense decreased $4.3 million, or 9.7%, due to lower depreciation on leasehold improvements and lower amortization of acquired intangibles. Bad debt decreased $10.7 million, or 29.4%, due to lower Refund Transfer and 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volumes.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decreased $19.4 million, or 15.0%. The components of other expenses are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Three months ended January 31,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 Change</w:t>
            </w:r>
          </w:p>
        </w:tc>
        <w:tc>
          <w:tcPr>
            <w:tcW w:w="12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 Change</w:t>
            </w:r>
          </w:p>
        </w:tc>
      </w:tr>
      <w:tr>
        <w:trPr>
          <w:trHeight w:val="21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Consulting and outsourced services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Bank partner fees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11,716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29,448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(17,732)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(60.2)%</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Client claims and refunds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Employee travel and related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5,838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(5,083)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(46.5)%</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Technology-related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Credit card/bank charges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13,038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22.7 %</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Legal fees and settlements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2,825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(41.6)%</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44.5 %</w:t>
            </w:r>
          </w:p>
        </w:tc>
      </w:tr>
      <w:tr>
        <w:trPr>
          <w:trHeight w:val="215"/>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22.8 %</w:t>
            </w:r>
          </w:p>
        </w:tc>
      </w:tr>
      <w:tr>
        <w:trPr>
          <w:trHeight w:val="210"/>
        </w:trPr>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109,574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128,947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34"/>
        </w:trPr>
        <w:tc>
          <w:tcPr>
            <w:tcW w:w="4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Bank partner fees decreased $17.7 million, or 60.2%, primarily due to lower Refund Advance and Refund Transfer volumes. Employee travel and related expenses decreased $5.1 million, or 46.5%, due to travel restrictions as a result of COVID-19.</w:t>
      </w:r>
    </w:p>
    <w:p>
      <w:pPr>
        <w:spacing w:after="0" w:line="90" w:lineRule="exact"/>
        <w:rPr>
          <w:sz w:val="20"/>
          <w:szCs w:val="20"/>
          <w:color w:val="auto"/>
        </w:rPr>
      </w:pPr>
    </w:p>
    <w:p>
      <w:pPr>
        <w:jc w:val="both"/>
        <w:ind w:firstLine="243"/>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We recorded an income tax benefit in the current year of $51.7 million compared to $49.0 million in the prior year, primarily due to discrete benefits of $ 12.6 million in the current quarter versus $2.5 million in the prior year period. The effective tax rate for the three months ended January 31, 2021, and 2020 was 18.2% and 27.7%, respectively. See </w:t>
      </w:r>
      <w:hyperlink w:anchor="page14">
        <w:r>
          <w:rPr>
            <w:rFonts w:ascii="Arial" w:cs="Arial" w:eastAsia="Arial" w:hAnsi="Arial"/>
            <w:sz w:val="18"/>
            <w:szCs w:val="18"/>
            <w:u w:val="single" w:color="auto"/>
            <w:color w:val="0000FF"/>
          </w:rPr>
          <w:t>Item 1, 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discussion.</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Total U.S. return volume from January 1, 2021 through February 28, 2021 decreased 15.0% compared to the prior year period due to fewer Assisted and DIY tax returns prepared due to the delayed start to the current tax season. Our business is highly seasonal and results for the three months ended January 31, as well as results for the period ended February 28, may not be indicative of results for the current tax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2187575</wp:posOffset>
            </wp:positionV>
            <wp:extent cx="22288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U.S. Operating Statistics</w:t>
            </w:r>
          </w:p>
        </w:tc>
        <w:tc>
          <w:tcPr>
            <w:tcW w:w="32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5"/>
          </w:tcPr>
          <w:p>
            <w:pPr>
              <w:ind w:left="260"/>
              <w:spacing w:after="0"/>
              <w:rPr>
                <w:sz w:val="20"/>
                <w:szCs w:val="20"/>
                <w:color w:val="auto"/>
              </w:rPr>
            </w:pPr>
            <w:r>
              <w:rPr>
                <w:rFonts w:ascii="Arial" w:cs="Arial" w:eastAsia="Arial" w:hAnsi="Arial"/>
                <w:sz w:val="16"/>
                <w:szCs w:val="16"/>
                <w:color w:val="auto"/>
              </w:rPr>
              <w:t>Nine Months Ended January 31,</w:t>
            </w: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209"/>
        </w:trPr>
        <w:tc>
          <w:tcPr>
            <w:tcW w:w="44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Change</w:t>
            </w:r>
          </w:p>
        </w:tc>
        <w:tc>
          <w:tcPr>
            <w:tcW w:w="10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 Change</w:t>
            </w:r>
          </w:p>
        </w:tc>
      </w:tr>
      <w:tr>
        <w:trPr>
          <w:trHeight w:val="210"/>
        </w:trPr>
        <w:tc>
          <w:tcPr>
            <w:tcW w:w="44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Tax returns prepared: (in 000s)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4520" w:type="dxa"/>
            <w:vAlign w:val="bottom"/>
            <w:gridSpan w:val="2"/>
          </w:tcPr>
          <w:p>
            <w:pPr>
              <w:ind w:left="220"/>
              <w:spacing w:after="0"/>
              <w:rPr>
                <w:sz w:val="20"/>
                <w:szCs w:val="20"/>
                <w:color w:val="auto"/>
              </w:rPr>
            </w:pPr>
            <w:r>
              <w:rPr>
                <w:rFonts w:ascii="Arial" w:cs="Arial" w:eastAsia="Arial" w:hAnsi="Arial"/>
                <w:sz w:val="16"/>
                <w:szCs w:val="16"/>
                <w:color w:val="auto"/>
              </w:rPr>
              <w:t>Company-owned operations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2,353</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59.4 %</w:t>
            </w: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Franchise operations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931</w:t>
            </w:r>
          </w:p>
        </w:tc>
        <w:tc>
          <w:tcPr>
            <w:tcW w:w="5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37.7 %</w:t>
            </w:r>
          </w:p>
        </w:tc>
      </w:tr>
      <w:tr>
        <w:trPr>
          <w:trHeight w:val="249"/>
        </w:trPr>
        <w:tc>
          <w:tcPr>
            <w:tcW w:w="4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assisted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3,284</w:t>
            </w:r>
          </w:p>
        </w:tc>
        <w:tc>
          <w:tcPr>
            <w:tcW w:w="5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52.6 %</w:t>
            </w:r>
          </w:p>
        </w:tc>
      </w:tr>
      <w:tr>
        <w:trPr>
          <w:trHeight w:val="215"/>
        </w:trPr>
        <w:tc>
          <w:tcPr>
            <w:tcW w:w="4520" w:type="dxa"/>
            <w:vAlign w:val="bottom"/>
            <w:tcBorders>
              <w:top w:val="single" w:sz="8" w:color="CCEEFF"/>
            </w:tcBorders>
            <w:gridSpan w:val="2"/>
          </w:tcPr>
          <w:p>
            <w:pPr>
              <w:ind w:left="220"/>
              <w:spacing w:after="0"/>
              <w:rPr>
                <w:sz w:val="20"/>
                <w:szCs w:val="20"/>
                <w:color w:val="auto"/>
              </w:rPr>
            </w:pPr>
            <w:r>
              <w:rPr>
                <w:rFonts w:ascii="Arial" w:cs="Arial" w:eastAsia="Arial" w:hAnsi="Arial"/>
                <w:sz w:val="16"/>
                <w:szCs w:val="16"/>
                <w:color w:val="auto"/>
              </w:rPr>
              <w:t>Desktop</w:t>
            </w: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572</w:t>
            </w: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430</w:t>
            </w:r>
          </w:p>
        </w:tc>
        <w:tc>
          <w:tcPr>
            <w:tcW w:w="168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302.8 %</w:t>
            </w: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Online</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1,977</w:t>
            </w:r>
          </w:p>
        </w:tc>
        <w:tc>
          <w:tcPr>
            <w:tcW w:w="5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42.6 %</w:t>
            </w:r>
          </w:p>
        </w:tc>
      </w:tr>
      <w:tr>
        <w:trPr>
          <w:trHeight w:val="249"/>
        </w:trPr>
        <w:tc>
          <w:tcPr>
            <w:tcW w:w="4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DIY</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2,549</w:t>
            </w:r>
          </w:p>
        </w:tc>
        <w:tc>
          <w:tcPr>
            <w:tcW w:w="5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66.8 %</w:t>
            </w:r>
          </w:p>
        </w:tc>
      </w:tr>
      <w:tr>
        <w:trPr>
          <w:trHeight w:val="255"/>
        </w:trPr>
        <w:tc>
          <w:tcPr>
            <w:tcW w:w="4520" w:type="dxa"/>
            <w:vAlign w:val="bottom"/>
            <w:tcBorders>
              <w:top w:val="single" w:sz="8" w:color="CCEEFF"/>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U.S. Returns</w:t>
            </w:r>
          </w:p>
        </w:tc>
        <w:tc>
          <w:tcPr>
            <w:tcW w:w="320" w:type="dxa"/>
            <w:vAlign w:val="bottom"/>
            <w:tcBorders>
              <w:top w:val="single" w:sz="8" w:color="CCEEFF"/>
              <w:bottom w:val="single" w:sz="8" w:color="auto"/>
            </w:tcBorders>
          </w:tcPr>
          <w:p>
            <w:pPr>
              <w:spacing w:after="0"/>
              <w:rPr>
                <w:sz w:val="21"/>
                <w:szCs w:val="21"/>
                <w:color w:val="auto"/>
              </w:rPr>
            </w:pPr>
          </w:p>
        </w:tc>
        <w:tc>
          <w:tcPr>
            <w:tcW w:w="1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5,833</w:t>
            </w:r>
          </w:p>
        </w:tc>
        <w:tc>
          <w:tcPr>
            <w:tcW w:w="540" w:type="dxa"/>
            <w:vAlign w:val="bottom"/>
            <w:tcBorders>
              <w:top w:val="single" w:sz="8" w:color="CCEEFF"/>
              <w:bottom w:val="single" w:sz="8" w:color="CCEEFF"/>
            </w:tcBorders>
          </w:tcPr>
          <w:p>
            <w:pPr>
              <w:spacing w:after="0"/>
              <w:rPr>
                <w:sz w:val="21"/>
                <w:szCs w:val="21"/>
                <w:color w:val="auto"/>
              </w:rPr>
            </w:pPr>
          </w:p>
        </w:tc>
        <w:tc>
          <w:tcPr>
            <w:tcW w:w="340" w:type="dxa"/>
            <w:vAlign w:val="bottom"/>
            <w:tcBorders>
              <w:top w:val="single" w:sz="8" w:color="CCEEFF"/>
              <w:bottom w:val="single" w:sz="8" w:color="auto"/>
            </w:tcBorders>
          </w:tcPr>
          <w:p>
            <w:pPr>
              <w:spacing w:after="0"/>
              <w:rPr>
                <w:sz w:val="21"/>
                <w:szCs w:val="21"/>
                <w:color w:val="auto"/>
              </w:rPr>
            </w:pPr>
          </w:p>
        </w:tc>
        <w:tc>
          <w:tcPr>
            <w:tcW w:w="1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3,680</w:t>
            </w:r>
          </w:p>
        </w:tc>
        <w:tc>
          <w:tcPr>
            <w:tcW w:w="10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CCEEFF"/>
              <w:bottom w:val="single" w:sz="8" w:color="auto"/>
            </w:tcBorders>
          </w:tcPr>
          <w:p>
            <w:pPr>
              <w:spacing w:after="0"/>
              <w:rPr>
                <w:sz w:val="21"/>
                <w:szCs w:val="21"/>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2,153</w:t>
            </w:r>
          </w:p>
        </w:tc>
        <w:tc>
          <w:tcPr>
            <w:tcW w:w="1680" w:type="dxa"/>
            <w:vAlign w:val="bottom"/>
            <w:tcBorders>
              <w:top w:val="single" w:sz="8" w:color="CCEEFF"/>
              <w:bottom w:val="single" w:sz="8" w:color="CCEEFF"/>
            </w:tcBorders>
            <w:gridSpan w:val="2"/>
          </w:tcPr>
          <w:p>
            <w:pPr>
              <w:jc w:val="right"/>
              <w:spacing w:after="0"/>
              <w:rPr>
                <w:sz w:val="20"/>
                <w:szCs w:val="20"/>
                <w:color w:val="auto"/>
              </w:rPr>
            </w:pPr>
            <w:r>
              <w:rPr>
                <w:rFonts w:ascii="Arial" w:cs="Arial" w:eastAsia="Arial" w:hAnsi="Arial"/>
                <w:sz w:val="16"/>
                <w:szCs w:val="16"/>
                <w:color w:val="auto"/>
              </w:rPr>
              <w:t>58.5 %</w:t>
            </w:r>
          </w:p>
        </w:tc>
      </w:tr>
      <w:tr>
        <w:trPr>
          <w:trHeight w:val="216"/>
        </w:trPr>
        <w:tc>
          <w:tcPr>
            <w:tcW w:w="4520" w:type="dxa"/>
            <w:vAlign w:val="bottom"/>
            <w:tcBorders>
              <w:top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Net Average Charge: </w:t>
            </w:r>
            <w:r>
              <w:rPr>
                <w:rFonts w:ascii="Arial" w:cs="Arial" w:eastAsia="Arial" w:hAnsi="Arial"/>
                <w:sz w:val="21"/>
                <w:szCs w:val="21"/>
                <w:color w:val="auto"/>
                <w:vertAlign w:val="superscript"/>
              </w:rPr>
              <w:t>(2)</w:t>
            </w: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r>
      <w:tr>
        <w:trPr>
          <w:trHeight w:val="216"/>
        </w:trPr>
        <w:tc>
          <w:tcPr>
            <w:tcW w:w="4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Company-owned operations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235.30</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45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Franchise operations </w:t>
            </w:r>
            <w:r>
              <w:rPr>
                <w:rFonts w:ascii="Arial" w:cs="Arial" w:eastAsia="Arial" w:hAnsi="Arial"/>
                <w:sz w:val="21"/>
                <w:szCs w:val="21"/>
                <w:color w:val="auto"/>
                <w:vertAlign w:val="superscript"/>
              </w:rPr>
              <w:t>(3)</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226.98</w:t>
            </w:r>
          </w:p>
        </w:tc>
        <w:tc>
          <w:tcPr>
            <w:tcW w:w="54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242.76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(15.78)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4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DIY</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39.41</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43.2 %</w:t>
            </w:r>
          </w:p>
        </w:tc>
      </w:tr>
      <w:tr>
        <w:trPr>
          <w:trHeight w:val="54"/>
        </w:trPr>
        <w:tc>
          <w:tcPr>
            <w:tcW w:w="4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bl>
    <w:p>
      <w:pPr>
        <w:spacing w:after="0" w:line="72" w:lineRule="exact"/>
        <w:rPr>
          <w:sz w:val="20"/>
          <w:szCs w:val="20"/>
          <w:color w:val="auto"/>
        </w:rPr>
      </w:pPr>
    </w:p>
    <w:p>
      <w:pPr>
        <w:jc w:val="both"/>
        <w:ind w:left="180" w:hanging="172"/>
        <w:spacing w:after="0" w:line="241" w:lineRule="auto"/>
        <w:tabs>
          <w:tab w:leader="none" w:pos="322" w:val="left"/>
        </w:tabs>
        <w:numPr>
          <w:ilvl w:val="0"/>
          <w:numId w:val="19"/>
        </w:numPr>
        <w:rPr>
          <w:rFonts w:ascii="Arial" w:cs="Arial" w:eastAsia="Arial" w:hAnsi="Arial"/>
          <w:sz w:val="9"/>
          <w:szCs w:val="9"/>
          <w:color w:val="auto"/>
        </w:rPr>
      </w:pPr>
      <w:r>
        <w:rPr>
          <w:rFonts w:ascii="Arial" w:cs="Arial" w:eastAsia="Arial" w:hAnsi="Arial"/>
          <w:sz w:val="14"/>
          <w:szCs w:val="14"/>
          <w:color w:val="auto"/>
        </w:rPr>
        <w:t>An assisted tax return is defined as a current or prior year individual or business tax return that has been accepted and paid for by the client. A DIY online return is defined as a current year individual or business tax return that has been accepted and paid for by the client. A DIY desktop return is defined as a current year individual or business tax return that has been electronically submitted to the IRS.</w:t>
      </w:r>
    </w:p>
    <w:p>
      <w:pPr>
        <w:spacing w:after="0" w:line="1" w:lineRule="exact"/>
        <w:rPr>
          <w:rFonts w:ascii="Arial" w:cs="Arial" w:eastAsia="Arial" w:hAnsi="Arial"/>
          <w:sz w:val="9"/>
          <w:szCs w:val="9"/>
          <w:color w:val="auto"/>
        </w:rPr>
      </w:pPr>
    </w:p>
    <w:p>
      <w:pPr>
        <w:ind w:left="180" w:right="20" w:hanging="172"/>
        <w:spacing w:after="0" w:line="241" w:lineRule="auto"/>
        <w:tabs>
          <w:tab w:leader="none" w:pos="348" w:val="left"/>
        </w:tabs>
        <w:numPr>
          <w:ilvl w:val="0"/>
          <w:numId w:val="19"/>
        </w:numPr>
        <w:rPr>
          <w:rFonts w:ascii="Arial" w:cs="Arial" w:eastAsia="Arial" w:hAnsi="Arial"/>
          <w:sz w:val="9"/>
          <w:szCs w:val="9"/>
          <w:color w:val="auto"/>
        </w:rPr>
      </w:pPr>
      <w:r>
        <w:rPr>
          <w:rFonts w:ascii="Arial" w:cs="Arial" w:eastAsia="Arial" w:hAnsi="Arial"/>
          <w:sz w:val="14"/>
          <w:szCs w:val="14"/>
          <w:color w:val="auto"/>
        </w:rPr>
        <w:t>Net average charge is calculated as total tax preparation fees, including any amounts deferred, divided by tax returns prepared. A portion of tax preparation fees were deferred as of January 31, 2021 due to the delay in the IRS accepting returns.</w:t>
      </w:r>
    </w:p>
    <w:p>
      <w:pPr>
        <w:ind w:left="180" w:hanging="172"/>
        <w:spacing w:after="0" w:line="258" w:lineRule="auto"/>
        <w:tabs>
          <w:tab w:leader="none" w:pos="296" w:val="left"/>
        </w:tabs>
        <w:numPr>
          <w:ilvl w:val="0"/>
          <w:numId w:val="19"/>
        </w:numPr>
        <w:rPr>
          <w:rFonts w:ascii="Arial" w:cs="Arial" w:eastAsia="Arial" w:hAnsi="Arial"/>
          <w:sz w:val="9"/>
          <w:szCs w:val="9"/>
          <w:color w:val="auto"/>
        </w:rPr>
      </w:pPr>
      <w:r>
        <w:rPr>
          <w:rFonts w:ascii="Arial" w:cs="Arial" w:eastAsia="Arial" w:hAnsi="Arial"/>
          <w:sz w:val="14"/>
          <w:szCs w:val="14"/>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21463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0" w:hanging="263"/>
        <w:spacing w:after="0"/>
        <w:tabs>
          <w:tab w:leader="none" w:pos="360" w:val="left"/>
        </w:tabs>
        <w:numPr>
          <w:ilvl w:val="0"/>
          <w:numId w:val="20"/>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Consolidated - Financial Results</w:t>
            </w: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0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January 31,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9"/>
              </w:rPr>
              <w:t>Change</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1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U.S. assisted tax preparation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541,139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358,174</w:t>
            </w:r>
          </w:p>
        </w:tc>
        <w:tc>
          <w:tcPr>
            <w:tcW w:w="56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182,965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51.1 %</w:t>
            </w:r>
          </w:p>
        </w:tc>
      </w:tr>
      <w:tr>
        <w:trPr>
          <w:trHeight w:val="217"/>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royalties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67,427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59,644</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U.S. DIY tax preparation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94,331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42,040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52,291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124.4 %</w:t>
            </w:r>
          </w:p>
        </w:tc>
      </w:tr>
      <w:tr>
        <w:trPr>
          <w:trHeight w:val="217"/>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132,347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97,311</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35,036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36.0 %</w:t>
            </w: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Refund Transfers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11,752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52,794</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(41,042)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(77.7)%</w:t>
            </w:r>
          </w:p>
        </w:tc>
      </w:tr>
      <w:tr>
        <w:trPr>
          <w:trHeight w:val="217"/>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Emerald Card®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39,128</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24.7 %</w:t>
            </w: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Peace of Mind® Extended Service Plan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72,871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75,451</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17"/>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Identity Shield®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17,308</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16"/>
        </w:trPr>
        <w:tc>
          <w:tcPr>
            <w:tcW w:w="516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1"/>
                <w:szCs w:val="21"/>
                <w:color w:val="auto"/>
                <w:vertAlign w:val="superscript"/>
              </w:rPr>
              <w:t>SM</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28,754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33,780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(5,026)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(14.9)%</w:t>
            </w:r>
          </w:p>
        </w:tc>
      </w:tr>
      <w:tr>
        <w:trPr>
          <w:trHeight w:val="216"/>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Wave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25,740</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60.1 %</w:t>
            </w:r>
          </w:p>
        </w:tc>
      </w:tr>
      <w:tr>
        <w:trPr>
          <w:trHeight w:val="215"/>
        </w:trPr>
        <w:tc>
          <w:tcPr>
            <w:tcW w:w="51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28,059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28,998</w:t>
            </w:r>
          </w:p>
        </w:tc>
        <w:tc>
          <w:tcPr>
            <w:tcW w:w="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w:t>
            </w:r>
          </w:p>
        </w:tc>
      </w:tr>
      <w:tr>
        <w:trPr>
          <w:trHeight w:val="210"/>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1,085,807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830,368</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255,439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30.8 %</w:t>
            </w:r>
          </w:p>
        </w:tc>
      </w:tr>
      <w:tr>
        <w:trPr>
          <w:trHeight w:val="34"/>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Field wages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306,551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280,231</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26,320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9.4 %</w:t>
            </w:r>
          </w:p>
        </w:tc>
      </w:tr>
      <w:tr>
        <w:trPr>
          <w:trHeight w:val="217"/>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wages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182,010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178,389</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51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Benefits and other compensation</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105,581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100,579</w:t>
            </w:r>
          </w:p>
        </w:tc>
        <w:tc>
          <w:tcPr>
            <w:tcW w:w="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5,002</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5.0 %</w:t>
            </w:r>
          </w:p>
        </w:tc>
      </w:tr>
      <w:tr>
        <w:trPr>
          <w:trHeight w:val="210"/>
        </w:trPr>
        <w:tc>
          <w:tcPr>
            <w:tcW w:w="5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594,142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559,199</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5"/>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Occupancy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297,881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292,470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5,411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217"/>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advertising</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94,953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101,190</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5"/>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117,163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125,409</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(8,246)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 debt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28,759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37,594</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5"/>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268,834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305,015</w:t>
            </w:r>
          </w:p>
        </w:tc>
        <w:tc>
          <w:tcPr>
            <w:tcW w:w="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(36,181)</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(11.9)%</w:t>
            </w:r>
          </w:p>
        </w:tc>
      </w:tr>
      <w:tr>
        <w:trPr>
          <w:trHeight w:val="209"/>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1,401,732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1,420,877</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4,759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13,741</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(8,982)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(65.4)%</w:t>
            </w: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on borrowings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(85,319)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(68,682)</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9"/>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Pretax loss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(396,485)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(645,450)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248,965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38.6 %</w:t>
            </w: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(35,730)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(188,146)</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152,416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81.0 %</w:t>
            </w:r>
          </w:p>
        </w:tc>
      </w:tr>
      <w:tr>
        <w:trPr>
          <w:trHeight w:val="210"/>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Net loss from continuing operations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(360,755)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(457,304)</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96,549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21.1 %</w:t>
            </w: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(4,706)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(10,625)</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55.7 %</w:t>
            </w:r>
          </w:p>
        </w:tc>
      </w:tr>
      <w:tr>
        <w:trPr>
          <w:trHeight w:val="249"/>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(365,461)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(467,929)</w:t>
            </w:r>
          </w:p>
        </w:tc>
        <w:tc>
          <w:tcPr>
            <w:tcW w:w="5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102,468</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21.9 %</w:t>
            </w:r>
          </w:p>
        </w:tc>
      </w:tr>
      <w:tr>
        <w:trPr>
          <w:trHeight w:val="189"/>
        </w:trPr>
        <w:tc>
          <w:tcPr>
            <w:tcW w:w="5160" w:type="dxa"/>
            <w:vAlign w:val="bottom"/>
            <w:tcBorders>
              <w:top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BASIC AND DILUTED LOSS PER SHARE:</w:t>
            </w:r>
          </w:p>
        </w:tc>
        <w:tc>
          <w:tcPr>
            <w:tcW w:w="2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216"/>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Continuing operations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16.9 %</w:t>
            </w:r>
          </w:p>
        </w:tc>
      </w:tr>
      <w:tr>
        <w:trPr>
          <w:trHeight w:val="215"/>
        </w:trPr>
        <w:tc>
          <w:tcPr>
            <w:tcW w:w="51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Discontinued operations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60.0 %</w:t>
            </w:r>
          </w:p>
        </w:tc>
      </w:tr>
      <w:tr>
        <w:trPr>
          <w:trHeight w:val="210"/>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17.8 %</w:t>
            </w:r>
          </w:p>
        </w:tc>
      </w:tr>
      <w:tr>
        <w:trPr>
          <w:trHeight w:val="34"/>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1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(194,003)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(451,359)</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257,356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57.0 %</w:t>
            </w:r>
          </w:p>
        </w:tc>
      </w:tr>
      <w:tr>
        <w:trPr>
          <w:trHeight w:val="54"/>
        </w:trPr>
        <w:tc>
          <w:tcPr>
            <w:tcW w:w="5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bl>
    <w:p>
      <w:pPr>
        <w:spacing w:after="0" w:line="88"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See "Non-GAAP Financial Information" at the end of this item for a reconciliation of non-GAAP measures.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January 31, 2021 compared to January 31, 2020</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to the extension of the 2020 tax season related to the COVID-19 pandemic, we had significant increases in the number of tax returns and revenues in all categories during the first half of fiscal year 2021. These increases were partially offset by the delayed start to the 2021 tax season. As a result, total revenues increased $255.4 million, or 30.8%, compared to the prior year period.</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International revenues increased $ 35.0 million, or 36.0%, primarily due to the 2020 tax season extension in Canada. Refund Transfer revenues decreased $41.0 million, or 77.7%, as a result of the IRS not accepting electronically filed returns. Emerald Card® revenues increased $9.7 million, or 24.7%, due to due to higher card activity as some EIPs were loaded on to Emerald Cards. Wave revenues increased $15.5 million, or 60.1%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635635</wp:posOffset>
            </wp:positionV>
            <wp:extent cx="222885"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higher small business payments processing volumes over the prior year as small business owners shift to online payment options and an additional two months of revenue in the current year, as we acquired Wave on June 28, 2019.</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Total operating expenses decreased $19.1 million, or 1.3%, from the prior year period. Field wages increased $26.3 million, or 9.4%, due to the extended 2020 tax season, partially offset by Canadian wage subsidies and lower 2021 tax season volumes. Depreciation and amortization expense decreased $8.2 million, or 6.6%, due to lower depreciation on leasehold improvements and lower amortization of acquired intangibles. Bad debt expense decreased $8.8 million, or 23.5%, due to lower Refund Transfer and 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volumes.</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decreased $36.2 million, or 11.9%. The components of other expenses are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Nine months ended January 31,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 Change</w:t>
            </w:r>
          </w:p>
        </w:tc>
        <w:tc>
          <w:tcPr>
            <w:tcW w:w="12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 Change</w:t>
            </w:r>
          </w:p>
        </w:tc>
      </w:tr>
      <w:tr>
        <w:trPr>
          <w:trHeight w:val="21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Consulting and outsourced services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69,742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Bank partner fees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11,066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32,303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(21,237)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(65.7)%</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Client claims and refunds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Employee travel and related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15,298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(17,861)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(53.9)%</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Technology-related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55,554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10.7 %</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Credit card/bank charges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39,727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15,272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62.4 %</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Legal fees and settlements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(5,029)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(23.8)%</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15"/>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3.0 %</w:t>
            </w:r>
          </w:p>
        </w:tc>
      </w:tr>
      <w:tr>
        <w:trPr>
          <w:trHeight w:val="210"/>
        </w:trPr>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268,834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305,015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(36,181)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34"/>
        </w:trPr>
        <w:tc>
          <w:tcPr>
            <w:tcW w:w="4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both"/>
        <w:ind w:right="20" w:firstLine="243"/>
        <w:spacing w:after="0" w:line="254" w:lineRule="auto"/>
        <w:rPr>
          <w:sz w:val="20"/>
          <w:szCs w:val="20"/>
          <w:color w:val="auto"/>
        </w:rPr>
      </w:pPr>
      <w:r>
        <w:rPr>
          <w:rFonts w:ascii="Arial" w:cs="Arial" w:eastAsia="Arial" w:hAnsi="Arial"/>
          <w:sz w:val="18"/>
          <w:szCs w:val="18"/>
          <w:color w:val="auto"/>
        </w:rPr>
        <w:t>Bank partner fees decreased $21.2 million, or 65.7%, primarily due to lower Refund Advance and Refund Transfer volumes. Employee travel and related expenses decreased $17.9 million, or 53.9%, due to travel restrictions as a result of COVID-19. Credit card and bank charges increased $15.3 million, or 62.4%, as a result of higher transaction volumes for assisted and DIY tax preparation and higher Wave payments processing fees.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income (expense), net decreased $9.0 million primarily due to lower interest income as a result of lower interest rates.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 on borrowings increased $16.6 million primarily due to higher CLOC borrowings and our 2030 Senior Notes.</w:t>
      </w:r>
    </w:p>
    <w:p>
      <w:pPr>
        <w:spacing w:after="0" w:line="117" w:lineRule="exact"/>
        <w:rPr>
          <w:sz w:val="20"/>
          <w:szCs w:val="20"/>
          <w:color w:val="auto"/>
        </w:rPr>
      </w:pPr>
    </w:p>
    <w:p>
      <w:pPr>
        <w:jc w:val="both"/>
        <w:ind w:firstLine="243"/>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Income tax benefits decreased $152.4 million, 81.0% due to lower losses in the current year and a lower effective tax rate of 9.0% compared to 29.2% in the prior year. See </w:t>
      </w:r>
      <w:hyperlink w:anchor="page14">
        <w:r>
          <w:rPr>
            <w:rFonts w:ascii="Arial" w:cs="Arial" w:eastAsia="Arial" w:hAnsi="Arial"/>
            <w:sz w:val="18"/>
            <w:szCs w:val="18"/>
            <w:u w:val="single" w:color="auto"/>
            <w:color w:val="0000FF"/>
          </w:rPr>
          <w:t>Item 1, 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discussion.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39" w:lineRule="exact"/>
        <w:rPr>
          <w:sz w:val="20"/>
          <w:szCs w:val="20"/>
          <w:color w:val="auto"/>
        </w:rPr>
      </w:pPr>
    </w:p>
    <w:p>
      <w:pPr>
        <w:jc w:val="both"/>
        <w:spacing w:after="0" w:line="261" w:lineRule="auto"/>
        <w:rPr>
          <w:rFonts w:ascii="Arial" w:cs="Arial" w:eastAsia="Arial" w:hAnsi="Arial"/>
          <w:sz w:val="18"/>
          <w:szCs w:val="18"/>
          <w:color w:val="0000FF"/>
        </w:rPr>
      </w:pPr>
      <w:r>
        <w:rPr>
          <w:rFonts w:ascii="Arial" w:cs="Arial" w:eastAsia="Arial" w:hAnsi="Arial"/>
          <w:sz w:val="18"/>
          <w:szCs w:val="18"/>
          <w:color w:val="auto"/>
        </w:rPr>
        <w:t xml:space="preserve">These comments should be read in conjunction with the consolidated balance sheets and consolidated statements of cash flows included in </w:t>
      </w:r>
      <w:hyperlink w:anchor="page4">
        <w:r>
          <w:rPr>
            <w:rFonts w:ascii="Arial" w:cs="Arial" w:eastAsia="Arial" w:hAnsi="Arial"/>
            <w:sz w:val="18"/>
            <w:szCs w:val="18"/>
            <w:u w:val="single" w:color="auto"/>
            <w:color w:val="0000FF"/>
          </w:rPr>
          <w:t>Part 1, Item 1</w:t>
        </w:r>
      </w:hyperlink>
      <w:r>
        <w:rPr>
          <w:rFonts w:ascii="Arial" w:cs="Arial" w:eastAsia="Arial" w:hAnsi="Arial"/>
          <w:sz w:val="18"/>
          <w:szCs w:val="18"/>
          <w:color w:val="000000"/>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w:t>
      </w:r>
      <w:r>
        <w:rPr>
          <w:rFonts w:ascii="Arial" w:cs="Arial" w:eastAsia="Arial" w:hAnsi="Arial"/>
          <w:sz w:val="18"/>
          <w:szCs w:val="18"/>
          <w:b w:val="1"/>
          <w:bCs w:val="1"/>
          <w:color w:val="auto"/>
        </w:rPr>
        <w:t xml:space="preserve"> </w:t>
      </w:r>
      <w:r>
        <w:rPr>
          <w:rFonts w:ascii="Arial" w:cs="Arial" w:eastAsia="Arial" w:hAnsi="Arial"/>
          <w:sz w:val="18"/>
          <w:szCs w:val="18"/>
          <w:color w:val="auto"/>
        </w:rPr>
        <w:t>our CLOC, and issuances of debt. We use our sources of liquidity primarily to fund working capital, service and repay debt, pay dividends, repurchase shares of our common stock, and acquire businesses.</w:t>
      </w:r>
    </w:p>
    <w:p>
      <w:pPr>
        <w:spacing w:after="0" w:line="8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from May through January. We typically have relied on available cash balances from the prior tax season and borrowings to meet liquidity needs in our first three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21463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0" w:hanging="263"/>
        <w:spacing w:after="0"/>
        <w:tabs>
          <w:tab w:leader="none" w:pos="360" w:val="left"/>
        </w:tabs>
        <w:numPr>
          <w:ilvl w:val="0"/>
          <w:numId w:val="22"/>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January 31, 2021 are sufficient to meet our operating, investing and financing needs.</w:t>
      </w:r>
    </w:p>
    <w:p>
      <w:pPr>
        <w:spacing w:after="0" w:line="68" w:lineRule="exact"/>
        <w:rPr>
          <w:sz w:val="20"/>
          <w:szCs w:val="20"/>
          <w:color w:val="auto"/>
        </w:rPr>
      </w:pPr>
    </w:p>
    <w:p>
      <w:pPr>
        <w:jc w:val="both"/>
        <w:ind w:right="20" w:firstLine="243"/>
        <w:spacing w:after="0" w:line="287" w:lineRule="auto"/>
        <w:rPr>
          <w:rFonts w:ascii="Arial" w:cs="Arial" w:eastAsia="Arial" w:hAnsi="Arial"/>
          <w:sz w:val="18"/>
          <w:szCs w:val="18"/>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nine months ended January 31, 2021 and 2020. See </w:t>
      </w:r>
      <w:hyperlink w:anchor="page4">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complete consolidated statements of cash flows for these periods.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January 31,</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1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8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6300" w:type="dxa"/>
            <w:vAlign w:val="bottom"/>
            <w:gridSpan w:val="2"/>
          </w:tcPr>
          <w:p>
            <w:pPr>
              <w:ind w:left="140"/>
              <w:spacing w:after="0"/>
              <w:rPr>
                <w:sz w:val="20"/>
                <w:szCs w:val="20"/>
                <w:color w:val="auto"/>
              </w:rPr>
            </w:pPr>
            <w:r>
              <w:rPr>
                <w:rFonts w:ascii="Arial" w:cs="Arial" w:eastAsia="Arial" w:hAnsi="Arial"/>
                <w:sz w:val="16"/>
                <w:szCs w:val="16"/>
                <w:color w:val="auto"/>
              </w:rPr>
              <w:t>Operating activities</w:t>
            </w:r>
          </w:p>
        </w:tc>
        <w:tc>
          <w:tcPr>
            <w:tcW w:w="820" w:type="dxa"/>
            <w:vAlign w:val="bottom"/>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(908,679)</w:t>
            </w:r>
          </w:p>
        </w:tc>
        <w:tc>
          <w:tcPr>
            <w:tcW w:w="100" w:type="dxa"/>
            <w:vAlign w:val="bottom"/>
          </w:tcPr>
          <w:p>
            <w:pPr>
              <w:spacing w:after="0"/>
              <w:rPr>
                <w:sz w:val="18"/>
                <w:szCs w:val="18"/>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(1,467,791)</w:t>
            </w:r>
          </w:p>
        </w:tc>
      </w:tr>
      <w:tr>
        <w:trPr>
          <w:trHeight w:val="217"/>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8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(74,112)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(489,702)</w:t>
            </w:r>
          </w:p>
        </w:tc>
      </w:tr>
      <w:tr>
        <w:trPr>
          <w:trHeight w:val="215"/>
        </w:trPr>
        <w:tc>
          <w:tcPr>
            <w:tcW w:w="6300" w:type="dxa"/>
            <w:vAlign w:val="bottom"/>
            <w:gridSpan w:val="2"/>
          </w:tcPr>
          <w:p>
            <w:pPr>
              <w:ind w:left="140"/>
              <w:spacing w:after="0"/>
              <w:rPr>
                <w:sz w:val="20"/>
                <w:szCs w:val="20"/>
                <w:color w:val="auto"/>
              </w:rPr>
            </w:pPr>
            <w:r>
              <w:rPr>
                <w:rFonts w:ascii="Arial" w:cs="Arial" w:eastAsia="Arial" w:hAnsi="Arial"/>
                <w:sz w:val="16"/>
                <w:szCs w:val="16"/>
                <w:color w:val="auto"/>
              </w:rPr>
              <w:t>Financing activities</w:t>
            </w:r>
          </w:p>
        </w:tc>
        <w:tc>
          <w:tcPr>
            <w:tcW w:w="8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(1,442,825)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611,912</w:t>
            </w:r>
          </w:p>
        </w:tc>
      </w:tr>
      <w:tr>
        <w:trPr>
          <w:trHeight w:val="21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Effects of exchange rates on cash</w:t>
            </w:r>
          </w:p>
        </w:tc>
        <w:tc>
          <w:tcPr>
            <w:tcW w:w="8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14,004</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49"/>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(2,411,612)</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(1,345,940)</w:t>
            </w:r>
          </w:p>
        </w:tc>
      </w:tr>
      <w:tr>
        <w:trPr>
          <w:trHeight w:val="20"/>
        </w:trPr>
        <w:tc>
          <w:tcPr>
            <w:tcW w:w="62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5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580" w:type="dxa"/>
            <w:vAlign w:val="bottom"/>
            <w:tcBorders>
              <w:top w:val="single" w:sz="8" w:color="CCEEFF"/>
            </w:tcBorders>
            <w:shd w:val="clear" w:color="auto" w:fill="000000"/>
          </w:tcPr>
          <w:p>
            <w:pPr>
              <w:spacing w:after="0" w:line="20" w:lineRule="exact"/>
              <w:rPr>
                <w:sz w:val="1"/>
                <w:szCs w:val="1"/>
                <w:color w:val="auto"/>
              </w:rPr>
            </w:pPr>
          </w:p>
        </w:tc>
      </w:tr>
    </w:tbl>
    <w:p>
      <w:pPr>
        <w:spacing w:after="0" w:line="16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used in operations decreased, primarily due to the extension of the 2020 tax season into this fiscal year due</w:t>
      </w:r>
      <w:r>
        <w:rPr>
          <w:rFonts w:ascii="Arial" w:cs="Arial" w:eastAsia="Arial" w:hAnsi="Arial"/>
          <w:sz w:val="18"/>
          <w:szCs w:val="18"/>
          <w:b w:val="1"/>
          <w:bCs w:val="1"/>
          <w:color w:val="auto"/>
        </w:rPr>
        <w:t xml:space="preserve"> </w:t>
      </w:r>
      <w:r>
        <w:rPr>
          <w:rFonts w:ascii="Arial" w:cs="Arial" w:eastAsia="Arial" w:hAnsi="Arial"/>
          <w:sz w:val="18"/>
          <w:szCs w:val="18"/>
          <w:color w:val="auto"/>
        </w:rPr>
        <w:t>to COVID-19 and the delayed start to the 2021 tax season.</w:t>
      </w:r>
    </w:p>
    <w:p>
      <w:pPr>
        <w:spacing w:after="0" w:line="45"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in investing activities totaled $74.1 million for the nine months ended January 31, 2021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$489.7 million in the prior year period. This change is due to the prior year acquisition of Wave.</w:t>
      </w:r>
    </w:p>
    <w:p>
      <w:pPr>
        <w:spacing w:after="0" w:line="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used in financing activities totaled $1.4 billion for the nine months ended January 31, 2021 compared to cash</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financing activities of $611.9 million in the prior year period. This change resulted primarily from the repayment of the $2.0 billion draw outstanding on our CLOC during the current year.</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Dividends and Share Repurchases.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has historically been a significant component of our capital allocation plan.</w:t>
      </w:r>
    </w:p>
    <w:p>
      <w:pPr>
        <w:spacing w:after="0" w:line="67"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We have consistently paid quarterly dividends. Dividends paid totaled $147.9 million and $154.8 million for the nine months ended January 31, 2021 and 2020, respectively. Although we have historically paid dividends and plan to continue to do so, there can be no assurances that circumstances will not change in the future that could affect our ability or decisions to pay dividends.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current share repurchase program has remaining authorization of $601.8 million which is effective through June 2022. During the nine months ended January 31, 2021, we repurchased $150.1 million of our common stock at an average price of $15.83 per share. In the prior year period, we repurchased $246.8 million of our common stock at an average price of $24.36 per share.</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74" w:lineRule="exact"/>
        <w:rPr>
          <w:sz w:val="20"/>
          <w:szCs w:val="20"/>
          <w:color w:val="auto"/>
        </w:rPr>
      </w:pPr>
    </w:p>
    <w:p>
      <w:pPr>
        <w:jc w:val="both"/>
        <w:ind w:firstLine="227"/>
        <w:spacing w:after="0" w:line="259" w:lineRule="auto"/>
        <w:rPr>
          <w:rFonts w:ascii="Arial" w:cs="Arial" w:eastAsia="Arial" w:hAnsi="Arial"/>
          <w:sz w:val="18"/>
          <w:szCs w:val="18"/>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$48.0 million and $66.5 million for the nine months ended January 31, 2021 and 2020,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 totaling $15.0 million in the current year compared to Wave and franchisee and competitor businesses totaling $450.3 million in the prior year. See </w:t>
      </w:r>
      <w:hyperlink w:anchor="page12">
        <w:r>
          <w:rPr>
            <w:rFonts w:ascii="Arial" w:cs="Arial" w:eastAsia="Arial" w:hAnsi="Arial"/>
            <w:sz w:val="18"/>
            <w:szCs w:val="18"/>
            <w:u w:val="single" w:color="auto"/>
            <w:color w:val="0000FF"/>
          </w:rPr>
          <w:t>Item 1, note 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on our acquisitions.</w:t>
      </w:r>
    </w:p>
    <w:p>
      <w:pPr>
        <w:spacing w:after="0" w:line="71" w:lineRule="exact"/>
        <w:rPr>
          <w:sz w:val="20"/>
          <w:szCs w:val="20"/>
          <w:color w:val="auto"/>
        </w:rPr>
      </w:pPr>
    </w:p>
    <w:p>
      <w:pPr>
        <w:jc w:val="both"/>
        <w:ind w:firstLine="272"/>
        <w:spacing w:after="0" w:line="268"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In the fourth quarter of fiscal year 2020, we drew down the full $2.0 billion available under our CLOC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our cash position and maximize flexibility in light of the uncertainty surrounding the impact of the COVID-19 pandemic, which we repaid in full in September 2020. We had an outstanding balance of $880.0 million under the CLOC as of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636905</wp:posOffset>
            </wp:positionV>
            <wp:extent cx="22288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On August 7, 2020, we issued the 2030 Senior Notes. We used the net proceeds from the 2030 Senior Notes to repay our $650 million Senior Notes that matured on October 1, 2020.</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ratings for debt issued by Block Financial as of January 31, 2021 and April 30,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24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January 31, 2021</w:t>
            </w:r>
          </w:p>
        </w:tc>
        <w:tc>
          <w:tcPr>
            <w:tcW w:w="1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April 30, 2020</w:t>
            </w:r>
          </w:p>
        </w:tc>
        <w:tc>
          <w:tcPr>
            <w:tcW w:w="1000" w:type="dxa"/>
            <w:vAlign w:val="bottom"/>
            <w:tcBorders>
              <w:top w:val="single" w:sz="8" w:color="auto"/>
              <w:bottom w:val="single" w:sz="8" w:color="auto"/>
            </w:tcBorders>
          </w:tcPr>
          <w:p>
            <w:pPr>
              <w:spacing w:after="0"/>
              <w:rPr>
                <w:sz w:val="19"/>
                <w:szCs w:val="19"/>
                <w:color w:val="auto"/>
              </w:rPr>
            </w:pPr>
          </w:p>
        </w:tc>
      </w:tr>
      <w:tr>
        <w:trPr>
          <w:trHeight w:val="207"/>
        </w:trPr>
        <w:tc>
          <w:tcPr>
            <w:tcW w:w="2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Short-term</w:t>
            </w:r>
          </w:p>
        </w:tc>
        <w:tc>
          <w:tcPr>
            <w:tcW w:w="1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Long-term</w:t>
            </w: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Outlook</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Short-term</w:t>
            </w: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Long-term</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Outlook</w:t>
            </w: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Moody's</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P-3</w:t>
            </w:r>
          </w:p>
        </w:tc>
        <w:tc>
          <w:tcPr>
            <w:tcW w:w="164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Baa3</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Stable</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P-3</w:t>
            </w:r>
          </w:p>
        </w:tc>
        <w:tc>
          <w:tcPr>
            <w:tcW w:w="15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Baa3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Negative</w:t>
            </w:r>
          </w:p>
        </w:tc>
      </w:tr>
      <w:tr>
        <w:trPr>
          <w:trHeight w:val="215"/>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S&amp;P</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A-2</w:t>
            </w:r>
          </w:p>
        </w:tc>
        <w:tc>
          <w:tcPr>
            <w:tcW w:w="1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BBB</w:t>
            </w: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Negative</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A-2</w:t>
            </w: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BBB</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Negative</w:t>
            </w:r>
          </w:p>
        </w:tc>
      </w:tr>
    </w:tbl>
    <w:p>
      <w:pPr>
        <w:spacing w:after="0" w:line="17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Other than described above, there have been no material changes in our borrowings from those reported as of April 30, 2020 in our Annual Report on Form 10-K.</w:t>
      </w:r>
    </w:p>
    <w:p>
      <w:pPr>
        <w:spacing w:after="0" w:line="6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January 31, 2021, we held cash and cash equivalents, excluding restricted amounts, of $280.2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including $71.1 million held by our foreign subsidiaries.</w:t>
      </w:r>
    </w:p>
    <w:p>
      <w:pPr>
        <w:spacing w:after="0" w:line="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When necessary, our international businesses are funded by our U.S. operations. To mitigate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rate risk, we sometimes enter into foreign exchange forward contracts. There was one forward contract outstanding as of January 31, 2021, which had a recorded amount of $2.0 million.</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currently intend to repatriate any non-borrowed funds held by our foreign subsidiaries.</w:t>
      </w:r>
    </w:p>
    <w:p>
      <w:pPr>
        <w:spacing w:after="0" w:line="11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an increase of $14.0 million during the nine months ended January 31, 2021 compared to an decrease of $0.4 million in the prior year.</w:t>
      </w:r>
    </w:p>
    <w:p>
      <w:pPr>
        <w:spacing w:after="0" w:line="68" w:lineRule="exact"/>
        <w:rPr>
          <w:sz w:val="20"/>
          <w:szCs w:val="20"/>
          <w:color w:val="auto"/>
        </w:rPr>
      </w:pPr>
    </w:p>
    <w:p>
      <w:pPr>
        <w:jc w:val="both"/>
        <w:ind w:firstLine="243"/>
        <w:spacing w:after="0"/>
        <w:rPr>
          <w:rFonts w:ascii="Arial" w:cs="Arial" w:eastAsia="Arial" w:hAnsi="Arial"/>
          <w:sz w:val="18"/>
          <w:szCs w:val="18"/>
          <w:color w:val="0000FF"/>
        </w:rPr>
      </w:pPr>
      <w:r>
        <w:rPr>
          <w:rFonts w:ascii="Arial" w:cs="Arial" w:eastAsia="Arial" w:hAnsi="Arial"/>
          <w:sz w:val="18"/>
          <w:szCs w:val="18"/>
          <w:b w:val="1"/>
          <w:bCs w:val="1"/>
          <w:color w:val="auto"/>
        </w:rPr>
        <w:t xml:space="preserve">CONTRACTUAL OBLIGATIONS AND COMMERCIAL COMMITMENTS </w:t>
      </w:r>
      <w:r>
        <w:rPr>
          <w:rFonts w:ascii="Arial" w:cs="Arial" w:eastAsia="Arial" w:hAnsi="Arial"/>
          <w:sz w:val="18"/>
          <w:szCs w:val="18"/>
          <w:color w:val="auto"/>
        </w:rPr>
        <w:t>– Except as described in</w:t>
      </w:r>
      <w:r>
        <w:rPr>
          <w:rFonts w:ascii="Arial" w:cs="Arial" w:eastAsia="Arial" w:hAnsi="Arial"/>
          <w:sz w:val="18"/>
          <w:szCs w:val="18"/>
          <w:b w:val="1"/>
          <w:bCs w:val="1"/>
          <w:color w:val="auto"/>
        </w:rPr>
        <w:t xml:space="preserve"> </w:t>
      </w:r>
      <w:hyperlink w:anchor="page16">
        <w:r>
          <w:rPr>
            <w:rFonts w:ascii="Arial" w:cs="Arial" w:eastAsia="Arial" w:hAnsi="Arial"/>
            <w:sz w:val="18"/>
            <w:szCs w:val="18"/>
            <w:u w:val="single" w:color="auto"/>
            <w:color w:val="0000FF"/>
          </w:rPr>
          <w:t>Item 1, note 9</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Emerald</w:t>
      </w:r>
      <w:r>
        <w:rPr>
          <w:rFonts w:ascii="Arial" w:cs="Arial" w:eastAsia="Arial" w:hAnsi="Arial"/>
          <w:sz w:val="18"/>
          <w:szCs w:val="18"/>
          <w:b w:val="1"/>
          <w:bCs w:val="1"/>
          <w:color w:val="auto"/>
        </w:rPr>
        <w:t xml:space="preserve"> </w:t>
      </w:r>
      <w:r>
        <w:rPr>
          <w:rFonts w:ascii="Arial" w:cs="Arial" w:eastAsia="Arial" w:hAnsi="Arial"/>
          <w:sz w:val="18"/>
          <w:szCs w:val="18"/>
          <w:color w:val="auto"/>
        </w:rPr>
        <w:t>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purchased participation interests and Refund Advance guarantees under the Program Management Agreement with Meta, and in </w:t>
      </w:r>
      <w:hyperlink w:anchor="page14">
        <w:r>
          <w:rPr>
            <w:rFonts w:ascii="Arial" w:cs="Arial" w:eastAsia="Arial" w:hAnsi="Arial"/>
            <w:sz w:val="18"/>
            <w:szCs w:val="18"/>
            <w:u w:val="single" w:color="auto"/>
            <w:color w:val="0000FF"/>
          </w:rPr>
          <w:t>Item 1, note 6</w:t>
        </w:r>
        <w:r>
          <w:rPr>
            <w:rFonts w:ascii="Arial" w:cs="Arial" w:eastAsia="Arial" w:hAnsi="Arial"/>
            <w:sz w:val="18"/>
            <w:szCs w:val="18"/>
            <w:color w:val="0000FF"/>
          </w:rPr>
          <w:t xml:space="preserve"> </w:t>
        </w:r>
      </w:hyperlink>
      <w:r>
        <w:rPr>
          <w:rFonts w:ascii="Arial" w:cs="Arial" w:eastAsia="Arial" w:hAnsi="Arial"/>
          <w:sz w:val="18"/>
          <w:szCs w:val="18"/>
          <w:color w:val="000000"/>
        </w:rPr>
        <w:t>related</w:t>
      </w:r>
      <w:r>
        <w:rPr>
          <w:rFonts w:ascii="Arial" w:cs="Arial" w:eastAsia="Arial" w:hAnsi="Arial"/>
          <w:sz w:val="18"/>
          <w:szCs w:val="18"/>
          <w:color w:val="0000FF"/>
        </w:rPr>
        <w:t xml:space="preserve"> </w:t>
      </w:r>
      <w:r>
        <w:rPr>
          <w:rFonts w:ascii="Arial" w:cs="Arial" w:eastAsia="Arial" w:hAnsi="Arial"/>
          <w:sz w:val="18"/>
          <w:szCs w:val="18"/>
          <w:color w:val="000000"/>
        </w:rPr>
        <w:t>to the 2030 Senior Notes issuance, there have been no material changes in our contractual obligations and commercial</w:t>
      </w:r>
      <w:r>
        <w:rPr>
          <w:rFonts w:ascii="Arial" w:cs="Arial" w:eastAsia="Arial" w:hAnsi="Arial"/>
          <w:sz w:val="18"/>
          <w:szCs w:val="18"/>
          <w:color w:val="0000FF"/>
        </w:rPr>
        <w:t xml:space="preserve"> </w:t>
      </w:r>
      <w:r>
        <w:rPr>
          <w:rFonts w:ascii="Arial" w:cs="Arial" w:eastAsia="Arial" w:hAnsi="Arial"/>
          <w:sz w:val="18"/>
          <w:szCs w:val="18"/>
          <w:color w:val="000000"/>
        </w:rPr>
        <w:t>commitments from those reported as of April 30, 2020 in our Annual Report on Form 10-K.</w:t>
      </w:r>
    </w:p>
    <w:p>
      <w:pPr>
        <w:spacing w:after="0" w:line="8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SUMMARIZED GUARANTOR FINANCIAL STATEMENTS </w:t>
      </w:r>
      <w:r>
        <w:rPr>
          <w:rFonts w:ascii="Arial" w:cs="Arial" w:eastAsia="Arial" w:hAnsi="Arial"/>
          <w:sz w:val="18"/>
          <w:szCs w:val="18"/>
          <w:color w:val="auto"/>
        </w:rPr>
        <w:t>– Block Financial is a 100% owned subsidiary of H&amp;R Block, Inc. Block</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is the Issuer and H&amp;R Block, Inc. is the full and unconditional Guarantor of our Senior Notes, CLOC and other indebtedness issued from time to time.</w:t>
      </w:r>
    </w:p>
    <w:p>
      <w:pPr>
        <w:spacing w:after="0" w:line="8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following table presents summarized financial information for H&amp;R Block, Inc. (Guarantor) and Block Financial (Issuer) on a combined basis after intercompany eliminations and excludes investments in and equity earnings in non-guarantor subsidiaries.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SUMMARIZED BALANCE SHEET - GUARANTOR AND ISSUER</w:t>
            </w:r>
          </w:p>
        </w:tc>
        <w:tc>
          <w:tcPr>
            <w:tcW w:w="20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6920" w:type="dxa"/>
            <w:vAlign w:val="bottom"/>
            <w:gridSpan w:val="3"/>
          </w:tcPr>
          <w:p>
            <w:pPr>
              <w:ind w:left="20"/>
              <w:spacing w:after="0"/>
              <w:rPr>
                <w:sz w:val="20"/>
                <w:szCs w:val="20"/>
                <w:color w:val="auto"/>
              </w:rPr>
            </w:pPr>
            <w:r>
              <w:rPr>
                <w:rFonts w:ascii="Arial" w:cs="Arial" w:eastAsia="Arial" w:hAnsi="Arial"/>
                <w:sz w:val="16"/>
                <w:szCs w:val="16"/>
                <w:color w:val="auto"/>
              </w:rPr>
              <w:t>As of</w:t>
            </w:r>
          </w:p>
        </w:tc>
        <w:tc>
          <w:tcPr>
            <w:tcW w:w="20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January 31, 2021</w:t>
            </w:r>
          </w:p>
        </w:tc>
        <w:tc>
          <w:tcPr>
            <w:tcW w:w="340" w:type="dxa"/>
            <w:vAlign w:val="bottom"/>
          </w:tcPr>
          <w:p>
            <w:pPr>
              <w:spacing w:after="0"/>
              <w:rPr>
                <w:sz w:val="18"/>
                <w:szCs w:val="18"/>
                <w:color w:val="auto"/>
              </w:rPr>
            </w:pPr>
          </w:p>
        </w:tc>
        <w:tc>
          <w:tcPr>
            <w:tcW w:w="1780" w:type="dxa"/>
            <w:vAlign w:val="bottom"/>
          </w:tcPr>
          <w:p>
            <w:pPr>
              <w:jc w:val="center"/>
              <w:ind w:right="261"/>
              <w:spacing w:after="0"/>
              <w:rPr>
                <w:sz w:val="20"/>
                <w:szCs w:val="20"/>
                <w:color w:val="auto"/>
              </w:rPr>
            </w:pPr>
            <w:r>
              <w:rPr>
                <w:rFonts w:ascii="Arial" w:cs="Arial" w:eastAsia="Arial" w:hAnsi="Arial"/>
                <w:sz w:val="16"/>
                <w:szCs w:val="16"/>
                <w:color w:val="auto"/>
              </w:rPr>
              <w:t>April 30, 2020</w:t>
            </w:r>
          </w:p>
        </w:tc>
      </w:tr>
      <w:tr>
        <w:trPr>
          <w:trHeight w:val="35"/>
        </w:trPr>
        <w:tc>
          <w:tcPr>
            <w:tcW w:w="68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r>
      <w:tr>
        <w:trPr>
          <w:trHeight w:val="216"/>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355,197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53,865</w:t>
            </w:r>
          </w:p>
        </w:tc>
      </w:tr>
      <w:tr>
        <w:trPr>
          <w:trHeight w:val="215"/>
        </w:trPr>
        <w:tc>
          <w:tcPr>
            <w:tcW w:w="6920" w:type="dxa"/>
            <w:vAlign w:val="bottom"/>
            <w:gridSpan w:val="3"/>
          </w:tcPr>
          <w:p>
            <w:pPr>
              <w:ind w:left="20"/>
              <w:spacing w:after="0"/>
              <w:rPr>
                <w:sz w:val="20"/>
                <w:szCs w:val="20"/>
                <w:color w:val="auto"/>
              </w:rPr>
            </w:pPr>
            <w:r>
              <w:rPr>
                <w:rFonts w:ascii="Arial" w:cs="Arial" w:eastAsia="Arial" w:hAnsi="Arial"/>
                <w:sz w:val="16"/>
                <w:szCs w:val="16"/>
                <w:color w:val="auto"/>
              </w:rPr>
              <w:t>Noncurrent assets</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2,178,757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ind w:right="1"/>
              <w:spacing w:after="0"/>
              <w:rPr>
                <w:sz w:val="20"/>
                <w:szCs w:val="20"/>
                <w:color w:val="auto"/>
              </w:rPr>
            </w:pPr>
            <w:r>
              <w:rPr>
                <w:rFonts w:ascii="Arial" w:cs="Arial" w:eastAsia="Arial" w:hAnsi="Arial"/>
                <w:sz w:val="16"/>
                <w:szCs w:val="16"/>
                <w:color w:val="auto"/>
              </w:rPr>
              <w:t>3,644,369</w:t>
            </w:r>
          </w:p>
        </w:tc>
      </w:tr>
      <w:tr>
        <w:trPr>
          <w:trHeight w:val="217"/>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697,797</w:t>
            </w:r>
          </w:p>
        </w:tc>
      </w:tr>
      <w:tr>
        <w:trPr>
          <w:trHeight w:val="275"/>
        </w:trPr>
        <w:tc>
          <w:tcPr>
            <w:tcW w:w="69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tcBorders>
              <w:bottom w:val="single" w:sz="8" w:color="CCEEFF"/>
            </w:tcBorders>
          </w:tcPr>
          <w:p>
            <w:pPr>
              <w:spacing w:after="0"/>
              <w:rPr>
                <w:sz w:val="23"/>
                <w:szCs w:val="23"/>
                <w:color w:val="auto"/>
              </w:rPr>
            </w:pP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2,378,024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78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2,854,211</w:t>
            </w:r>
          </w:p>
        </w:tc>
      </w:tr>
      <w:tr>
        <w:trPr>
          <w:trHeight w:val="223"/>
        </w:trPr>
        <w:tc>
          <w:tcPr>
            <w:tcW w:w="6920" w:type="dxa"/>
            <w:vAlign w:val="bottom"/>
            <w:tcBorders>
              <w:top w:val="single" w:sz="8" w:color="auto"/>
              <w:bottom w:val="single" w:sz="8" w:color="auto"/>
            </w:tcBorders>
            <w:gridSpan w:val="3"/>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spacing w:after="0"/>
              <w:rPr>
                <w:sz w:val="19"/>
                <w:szCs w:val="19"/>
                <w:color w:val="auto"/>
              </w:rPr>
            </w:pPr>
          </w:p>
        </w:tc>
      </w:tr>
      <w:tr>
        <w:trPr>
          <w:trHeight w:val="209"/>
        </w:trPr>
        <w:tc>
          <w:tcPr>
            <w:tcW w:w="69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SUMMARIZED STATEMENTS OF OPERATIONS - GUARANTOR AND ISSUER</w:t>
            </w: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55"/>
        </w:trPr>
        <w:tc>
          <w:tcPr>
            <w:tcW w:w="6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Nine months ended</w:t>
            </w:r>
          </w:p>
        </w:tc>
        <w:tc>
          <w:tcPr>
            <w:tcW w:w="2120" w:type="dxa"/>
            <w:vAlign w:val="bottom"/>
            <w:gridSpan w:val="2"/>
          </w:tcPr>
          <w:p>
            <w:pPr>
              <w:jc w:val="center"/>
              <w:spacing w:after="0" w:line="155" w:lineRule="exact"/>
              <w:rPr>
                <w:sz w:val="20"/>
                <w:szCs w:val="20"/>
                <w:color w:val="auto"/>
              </w:rPr>
            </w:pPr>
            <w:r>
              <w:rPr>
                <w:rFonts w:ascii="Arial" w:cs="Arial" w:eastAsia="Arial" w:hAnsi="Arial"/>
                <w:sz w:val="16"/>
                <w:szCs w:val="16"/>
                <w:color w:val="auto"/>
              </w:rPr>
              <w:t>Twelve months ended April</w:t>
            </w:r>
          </w:p>
        </w:tc>
      </w:tr>
      <w:tr>
        <w:trPr>
          <w:trHeight w:val="215"/>
        </w:trPr>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January 31, 2021</w:t>
            </w:r>
          </w:p>
        </w:tc>
        <w:tc>
          <w:tcPr>
            <w:tcW w:w="340" w:type="dxa"/>
            <w:vAlign w:val="bottom"/>
          </w:tcPr>
          <w:p>
            <w:pPr>
              <w:spacing w:after="0"/>
              <w:rPr>
                <w:sz w:val="18"/>
                <w:szCs w:val="18"/>
                <w:color w:val="auto"/>
              </w:rPr>
            </w:pPr>
          </w:p>
        </w:tc>
        <w:tc>
          <w:tcPr>
            <w:tcW w:w="1780" w:type="dxa"/>
            <w:vAlign w:val="bottom"/>
          </w:tcPr>
          <w:p>
            <w:pPr>
              <w:jc w:val="center"/>
              <w:ind w:right="261"/>
              <w:spacing w:after="0"/>
              <w:rPr>
                <w:sz w:val="20"/>
                <w:szCs w:val="20"/>
                <w:color w:val="auto"/>
              </w:rPr>
            </w:pPr>
            <w:r>
              <w:rPr>
                <w:rFonts w:ascii="Arial" w:cs="Arial" w:eastAsia="Arial" w:hAnsi="Arial"/>
                <w:sz w:val="16"/>
                <w:szCs w:val="16"/>
                <w:color w:val="auto"/>
              </w:rPr>
              <w:t>30, 2020</w:t>
            </w:r>
          </w:p>
        </w:tc>
      </w:tr>
      <w:tr>
        <w:trPr>
          <w:trHeight w:val="35"/>
        </w:trPr>
        <w:tc>
          <w:tcPr>
            <w:tcW w:w="6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r>
      <w:tr>
        <w:trPr>
          <w:trHeight w:val="216"/>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90,925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184,415</w:t>
            </w:r>
          </w:p>
        </w:tc>
      </w:tr>
      <w:tr>
        <w:trPr>
          <w:trHeight w:val="215"/>
        </w:trPr>
        <w:tc>
          <w:tcPr>
            <w:tcW w:w="6920" w:type="dxa"/>
            <w:vAlign w:val="bottom"/>
            <w:gridSpan w:val="3"/>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(33,862)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ind w:right="1"/>
              <w:spacing w:after="0"/>
              <w:rPr>
                <w:sz w:val="20"/>
                <w:szCs w:val="20"/>
                <w:color w:val="auto"/>
              </w:rPr>
            </w:pPr>
            <w:r>
              <w:rPr>
                <w:rFonts w:ascii="Arial" w:cs="Arial" w:eastAsia="Arial" w:hAnsi="Arial"/>
                <w:sz w:val="16"/>
                <w:szCs w:val="16"/>
                <w:color w:val="auto"/>
              </w:rPr>
              <w:t>30,231</w:t>
            </w:r>
          </w:p>
        </w:tc>
      </w:tr>
      <w:tr>
        <w:trPr>
          <w:trHeight w:val="217"/>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23,559</w:t>
            </w:r>
          </w:p>
        </w:tc>
      </w:tr>
      <w:tr>
        <w:trPr>
          <w:trHeight w:val="250"/>
        </w:trPr>
        <w:tc>
          <w:tcPr>
            <w:tcW w:w="692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(27,065)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78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10,497</w:t>
            </w:r>
          </w:p>
        </w:tc>
      </w:tr>
      <w:tr>
        <w:trPr>
          <w:trHeight w:val="20"/>
        </w:trPr>
        <w:tc>
          <w:tcPr>
            <w:tcW w:w="6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table above reflects $2.1 billion and $3.6 billion of non-current intercompany receivables due to the Issuer from non-guarantor subsidiaries as of January 31, 2021 and April 30,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21463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 w:hanging="263"/>
        <w:spacing w:after="0"/>
        <w:tabs>
          <w:tab w:leader="none" w:pos="360" w:val="left"/>
        </w:tabs>
        <w:numPr>
          <w:ilvl w:val="0"/>
          <w:numId w:val="23"/>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On November 17, 2017, the Consumer Financial Protection Bureau (CFPB) published its final rule changing the regulation of certain consumer credit products, including payday loans, vehicle title loans, and high-cost installment loans (Payday Rule). Certain limited provisions of the Payday Rule became effective on January 16, 2018, but most provisions were scheduled to go into effect on August 19, 2019. On November 6, 2018, a judge from the U.S. District Court for the Western District of Texas issued a stay of the Payday Rule's August 19, 2019 compliance date, which stay remains in effect until further notice from the Court. On July 7, 2020, the CFPB issued a final rule revoking the mandatory underwriting provisions of the Payday Rule.</w:t>
      </w:r>
    </w:p>
    <w:p>
      <w:pPr>
        <w:spacing w:after="0" w:line="100" w:lineRule="exact"/>
        <w:rPr>
          <w:sz w:val="20"/>
          <w:szCs w:val="20"/>
          <w:color w:val="auto"/>
        </w:rPr>
      </w:pPr>
    </w:p>
    <w:p>
      <w:pPr>
        <w:jc w:val="both"/>
        <w:ind w:firstLine="243"/>
        <w:spacing w:after="0" w:line="234" w:lineRule="auto"/>
        <w:rPr>
          <w:sz w:val="20"/>
          <w:szCs w:val="20"/>
          <w:color w:val="auto"/>
        </w:rPr>
      </w:pPr>
      <w:r>
        <w:rPr>
          <w:rFonts w:ascii="Arial" w:cs="Arial" w:eastAsia="Arial" w:hAnsi="Arial"/>
          <w:sz w:val="18"/>
          <w:szCs w:val="18"/>
          <w:color w:val="212529"/>
        </w:rPr>
        <w:t>Given these developments and the recent change in administration, we are unsure whether, when, or in what form the Payday Rule will go into effect. The timing to resolve the litigation is unclear. We do not currently expect the Payday Rule to have a material adverse impact on the Emerald Advance</w:t>
      </w:r>
      <w:r>
        <w:rPr>
          <w:rFonts w:ascii="Arial" w:cs="Arial" w:eastAsia="Arial" w:hAnsi="Arial"/>
          <w:sz w:val="23"/>
          <w:szCs w:val="23"/>
          <w:color w:val="212529"/>
          <w:vertAlign w:val="superscript"/>
        </w:rPr>
        <w:t>SM</w:t>
      </w:r>
      <w:r>
        <w:rPr>
          <w:rFonts w:ascii="Arial" w:cs="Arial" w:eastAsia="Arial" w:hAnsi="Arial"/>
          <w:sz w:val="18"/>
          <w:szCs w:val="18"/>
          <w:color w:val="212529"/>
        </w:rPr>
        <w:t xml:space="preserve"> product, our business, or our consolidated financial position, results of operations, and cash flows. We will continue to monitor and analyze the potential impact of any further Payday Rule developments on the Company.</w:t>
      </w:r>
    </w:p>
    <w:p>
      <w:pPr>
        <w:spacing w:after="0" w:line="109"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There have been no other material changes in our regulatory environment from what was reported as of April 30, 2020 in our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6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spacing w:after="0" w:line="5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adjusted EBITDA from continuing operations, EBITDA margin from continuing operations, adjusted EBITDA margin from continuing operations, adjusted diluted earnings per share from continuing operations and free cash flow. We also use EBITDA from continuing operations and pretax income of continuing operations, each subject to permitted adjustments, as performance metrics in incentive compensation calculations for our employees.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reconciliation of net loss to EBITDA from continuing operations, which is a non-GAAP financial measure: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6"/>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gridSpan w:val="5"/>
          </w:tcPr>
          <w:p>
            <w:pPr>
              <w:ind w:left="160"/>
              <w:spacing w:after="0"/>
              <w:rPr>
                <w:sz w:val="20"/>
                <w:szCs w:val="20"/>
                <w:color w:val="auto"/>
              </w:rPr>
            </w:pPr>
            <w:r>
              <w:rPr>
                <w:rFonts w:ascii="Arial" w:cs="Arial" w:eastAsia="Arial" w:hAnsi="Arial"/>
                <w:sz w:val="16"/>
                <w:szCs w:val="16"/>
                <w:color w:val="auto"/>
              </w:rPr>
              <w:t>Three months ended January 31,</w:t>
            </w:r>
          </w:p>
        </w:tc>
        <w:tc>
          <w:tcPr>
            <w:tcW w:w="300" w:type="dxa"/>
            <w:vAlign w:val="bottom"/>
          </w:tcPr>
          <w:p>
            <w:pPr>
              <w:spacing w:after="0"/>
              <w:rPr>
                <w:sz w:val="17"/>
                <w:szCs w:val="17"/>
                <w:color w:val="auto"/>
              </w:rPr>
            </w:pPr>
          </w:p>
        </w:tc>
        <w:tc>
          <w:tcPr>
            <w:tcW w:w="2980" w:type="dxa"/>
            <w:vAlign w:val="bottom"/>
            <w:gridSpan w:val="4"/>
          </w:tcPr>
          <w:p>
            <w:pPr>
              <w:jc w:val="right"/>
              <w:ind w:right="420"/>
              <w:spacing w:after="0"/>
              <w:rPr>
                <w:sz w:val="20"/>
                <w:szCs w:val="20"/>
                <w:color w:val="auto"/>
              </w:rPr>
            </w:pPr>
            <w:r>
              <w:rPr>
                <w:rFonts w:ascii="Arial" w:cs="Arial" w:eastAsia="Arial" w:hAnsi="Arial"/>
                <w:sz w:val="16"/>
                <w:szCs w:val="16"/>
                <w:color w:val="auto"/>
              </w:rPr>
              <w:t>Nine months ended January 31,</w:t>
            </w:r>
          </w:p>
        </w:tc>
      </w:tr>
      <w:tr>
        <w:trPr>
          <w:trHeight w:val="212"/>
        </w:trPr>
        <w:tc>
          <w:tcPr>
            <w:tcW w:w="4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1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 as reported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(232,994)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(129,683)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(365,461)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(467,929)</w:t>
            </w:r>
          </w:p>
        </w:tc>
      </w:tr>
      <w:tr>
        <w:trPr>
          <w:trHeight w:val="215"/>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Discontinued operations, net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4,706</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10,625</w:t>
            </w:r>
          </w:p>
        </w:tc>
      </w:tr>
      <w:tr>
        <w:trPr>
          <w:trHeight w:val="21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 as reported</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(231,831)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(128,026)</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(360,755)</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(457,304)</w:t>
            </w:r>
          </w:p>
        </w:tc>
      </w:tr>
      <w:tr>
        <w:trPr>
          <w:trHeight w:val="19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Add back:</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9"/>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 benefit of continuing operations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(51,669)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(35,730)</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(188,146)</w:t>
            </w:r>
          </w:p>
        </w:tc>
      </w:tr>
      <w:tr>
        <w:trPr>
          <w:trHeight w:val="215"/>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Interest expense of continuing operations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22,333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26,305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85,319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68,682</w:t>
            </w:r>
          </w:p>
        </w:tc>
      </w:tr>
      <w:tr>
        <w:trPr>
          <w:trHeight w:val="216"/>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of continuing operations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39,856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44,147</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117,163</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125,409</w:t>
            </w:r>
          </w:p>
        </w:tc>
      </w:tr>
      <w:tr>
        <w:trPr>
          <w:trHeight w:val="209"/>
        </w:trPr>
        <w:tc>
          <w:tcPr>
            <w:tcW w:w="4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21,448</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166,752</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5,945</w:t>
            </w:r>
          </w:p>
        </w:tc>
      </w:tr>
      <w:tr>
        <w:trPr>
          <w:trHeight w:val="21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 from continuing operations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(221,311)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(106,578)</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(194,003)</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(451,359)</w:t>
            </w:r>
          </w:p>
        </w:tc>
      </w:tr>
      <w:tr>
        <w:trPr>
          <w:trHeight w:val="34"/>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702945</wp:posOffset>
            </wp:positionV>
            <wp:extent cx="222885"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following is a reconciliation of our results from continuing operations to our adjusted results from continuing operations, which are non-GAAP financial measures:</w:t>
      </w:r>
    </w:p>
    <w:p>
      <w:pPr>
        <w:spacing w:after="0" w:line="122"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(in 000s, except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5"/>
          </w:tcPr>
          <w:p>
            <w:pPr>
              <w:ind w:left="160"/>
              <w:spacing w:after="0"/>
              <w:rPr>
                <w:sz w:val="20"/>
                <w:szCs w:val="20"/>
                <w:color w:val="auto"/>
              </w:rPr>
            </w:pPr>
            <w:r>
              <w:rPr>
                <w:rFonts w:ascii="Arial" w:cs="Arial" w:eastAsia="Arial" w:hAnsi="Arial"/>
                <w:sz w:val="16"/>
                <w:szCs w:val="16"/>
                <w:color w:val="auto"/>
              </w:rPr>
              <w:t>Three months ended January 31,</w:t>
            </w:r>
          </w:p>
        </w:tc>
        <w:tc>
          <w:tcPr>
            <w:tcW w:w="30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4"/>
          </w:tcPr>
          <w:p>
            <w:pPr>
              <w:jc w:val="right"/>
              <w:ind w:right="399"/>
              <w:spacing w:after="0"/>
              <w:rPr>
                <w:sz w:val="20"/>
                <w:szCs w:val="20"/>
                <w:color w:val="auto"/>
              </w:rPr>
            </w:pPr>
            <w:r>
              <w:rPr>
                <w:rFonts w:ascii="Arial" w:cs="Arial" w:eastAsia="Arial" w:hAnsi="Arial"/>
                <w:sz w:val="16"/>
                <w:szCs w:val="16"/>
                <w:color w:val="auto"/>
              </w:rPr>
              <w:t>Nine months ended January 31,</w:t>
            </w:r>
          </w:p>
        </w:tc>
      </w:tr>
      <w:tr>
        <w:trPr>
          <w:trHeight w:val="212"/>
        </w:trPr>
        <w:tc>
          <w:tcPr>
            <w:tcW w:w="4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35"/>
        </w:trPr>
        <w:tc>
          <w:tcPr>
            <w:tcW w:w="4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 as reported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(231,831)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(360,755)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(457,304)</w:t>
            </w:r>
          </w:p>
        </w:tc>
      </w:tr>
      <w:tr>
        <w:trPr>
          <w:trHeight w:val="54"/>
        </w:trPr>
        <w:tc>
          <w:tcPr>
            <w:tcW w:w="4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Amortization of intangibles related to acquisitions (pretax)</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16,293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19,179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52,176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54,997</w:t>
            </w:r>
          </w:p>
        </w:tc>
      </w:tr>
      <w:tr>
        <w:trPr>
          <w:trHeight w:val="217"/>
        </w:trPr>
        <w:tc>
          <w:tcPr>
            <w:tcW w:w="462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 xml:space="preserve">Tax effect of adjustments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(4,143)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(13,667)</w:t>
            </w:r>
          </w:p>
        </w:tc>
      </w:tr>
      <w:tr>
        <w:trPr>
          <w:trHeight w:val="249"/>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Adjusted net loss from continuing operations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(214,526)</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(113,803)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(312,722)</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(415,974)</w:t>
            </w:r>
          </w:p>
        </w:tc>
      </w:tr>
      <w:tr>
        <w:trPr>
          <w:trHeight w:val="215"/>
        </w:trPr>
        <w:tc>
          <w:tcPr>
            <w:tcW w:w="462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color w:val="auto"/>
              </w:rPr>
              <w:t>Diluted loss per share - as reported</w:t>
            </w:r>
          </w:p>
        </w:tc>
        <w:tc>
          <w:tcPr>
            <w:tcW w:w="260" w:type="dxa"/>
            <w:vAlign w:val="bottom"/>
            <w:tcBorders>
              <w:top w:val="single" w:sz="8" w:color="CCEEFF"/>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(1.92)</w:t>
            </w: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(2.31)</w:t>
            </w:r>
          </w:p>
        </w:tc>
      </w:tr>
      <w:tr>
        <w:trPr>
          <w:trHeight w:val="21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net of tax</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0.10</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0.26</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r>
      <w:tr>
        <w:trPr>
          <w:trHeight w:val="249"/>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Adjusted loss per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44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Tax effect of adjustments is the difference between the tax provision calculated on a GAAP basis and on an adjusted non-GAAP basis.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the coronavirus (COVID–19) pandemic, including, without limitation, the impact on economic and financial markets, the Company's capital resources and financial condition, future expenditures, potential regulatory actions, such as extensions of tax filing deadlines or other related relief, changes in consumer behaviors and modifications to the Company's operations relating thereto.</w:t>
      </w:r>
    </w:p>
    <w:p>
      <w:pPr>
        <w:spacing w:after="0" w:line="10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and future actions of the Company. Investors should understand that it is not possible to predict or identify all such factors and, consequently, should not consider any such list to be a complete set of all potential risks or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21463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60" w:hanging="263"/>
        <w:spacing w:after="0"/>
        <w:tabs>
          <w:tab w:leader="none" w:pos="360" w:val="left"/>
        </w:tabs>
        <w:numPr>
          <w:ilvl w:val="0"/>
          <w:numId w:val="24"/>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Details about risks, uncertainties and assumptions that could affect various aspects of our business are included throughout our Annual Report on Form 10-K for the fiscal year ended April 30, 2020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April 30, 2020.</w:t>
      </w:r>
    </w:p>
    <w:p>
      <w:pPr>
        <w:spacing w:after="0" w:line="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market risks from those reported at April 30, 2020 in our Annual Report on Form 10-K.</w:t>
      </w:r>
    </w:p>
    <w:p>
      <w:pPr>
        <w:spacing w:after="0" w:line="9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tab/>
        <w:t>CONTROLS AND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As of the end of the period covered by this Form 10-Q,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were no changes during the last fiscal quarter that</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affected, or are reasonably likely to materially affect, our internal control over financial reporting.</w:t>
      </w:r>
    </w:p>
    <w:p>
      <w:pPr>
        <w:spacing w:after="0" w:line="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3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description of our material pending legal proceedings, see discussion in </w:t>
      </w:r>
      <w:hyperlink w:anchor="page17">
        <w:r>
          <w:rPr>
            <w:rFonts w:ascii="Arial" w:cs="Arial" w:eastAsia="Arial" w:hAnsi="Arial"/>
            <w:sz w:val="18"/>
            <w:szCs w:val="18"/>
            <w:u w:val="single" w:color="auto"/>
            <w:color w:val="0000FF"/>
          </w:rPr>
          <w:t>Part I, Item 1, 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We face legal actions in connection with our various business activities, and current or future legal actions may damage our reputation, impair our product offerings, or result in material liabilities and losses.</w:t>
      </w:r>
    </w:p>
    <w:p>
      <w:pPr>
        <w:spacing w:after="0" w:line="67" w:lineRule="exact"/>
        <w:rPr>
          <w:sz w:val="20"/>
          <w:szCs w:val="20"/>
          <w:color w:val="auto"/>
        </w:rPr>
      </w:pPr>
    </w:p>
    <w:p>
      <w:pPr>
        <w:jc w:val="both"/>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We have been named, and from time to time will likely continue to be named, in various legal actions, including arbitrations, class or representative actions, actions or inquiries by state attorneys general and other regulators, and other litigation arising in connection with our various business activities, including relating to our various service and product offerings. For example, as previously reported, we are subject to litigation and have received and are responding to certain governmental inquiries relating to the IRS Free File program. These inquiries include requests for information and, in some cases, subpoenas from regulators and state attorneys general. On July 15, 2020, the New York State Department of Financial Services issued a press release and report on its investigation of certain tax preparers, including us, related to the IRS Free File program. We cannot predict whether this report or other inquiries could lead to further inquiries, further litigation, fines, injunctions or other regulatory or legislative actions or impacts on our brand, reputation and business. See discussion in </w:t>
      </w:r>
      <w:hyperlink w:anchor="page17">
        <w:r>
          <w:rPr>
            <w:rFonts w:ascii="Arial" w:cs="Arial" w:eastAsia="Arial" w:hAnsi="Arial"/>
            <w:sz w:val="18"/>
            <w:szCs w:val="18"/>
            <w:u w:val="single" w:color="auto"/>
            <w:color w:val="0000FF"/>
          </w:rPr>
          <w:t>Part I, Item 1,</w:t>
        </w:r>
      </w:hyperlink>
      <w:r>
        <w:rPr>
          <w:rFonts w:ascii="Arial" w:cs="Arial" w:eastAsia="Arial" w:hAnsi="Arial"/>
          <w:sz w:val="18"/>
          <w:szCs w:val="18"/>
          <w:color w:val="auto"/>
        </w:rPr>
        <w:t xml:space="preserve"> </w:t>
      </w:r>
      <w:hyperlink w:anchor="page17">
        <w:r>
          <w:rPr>
            <w:rFonts w:ascii="Arial" w:cs="Arial" w:eastAsia="Arial" w:hAnsi="Arial"/>
            <w:sz w:val="18"/>
            <w:szCs w:val="18"/>
            <w:u w:val="single" w:color="auto"/>
            <w:color w:val="0000FF"/>
          </w:rPr>
          <w:t>note 10</w:t>
        </w:r>
        <w:r>
          <w:rPr>
            <w:rFonts w:ascii="Arial" w:cs="Arial" w:eastAsia="Arial" w:hAnsi="Arial"/>
            <w:sz w:val="18"/>
            <w:szCs w:val="18"/>
            <w:color w:val="0000FF"/>
          </w:rPr>
          <w:t xml:space="preserve">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consolidated financial statements, and Item 8, note 13 to the consolidated financial statements in our Annual Report on Form</w:t>
      </w:r>
      <w:r>
        <w:rPr>
          <w:rFonts w:ascii="Arial" w:cs="Arial" w:eastAsia="Arial" w:hAnsi="Arial"/>
          <w:sz w:val="18"/>
          <w:szCs w:val="18"/>
          <w:color w:val="0000FF"/>
        </w:rPr>
        <w:t xml:space="preserve"> </w:t>
      </w:r>
      <w:r>
        <w:rPr>
          <w:rFonts w:ascii="Arial" w:cs="Arial" w:eastAsia="Arial" w:hAnsi="Arial"/>
          <w:sz w:val="18"/>
          <w:szCs w:val="18"/>
          <w:color w:val="000000"/>
        </w:rPr>
        <w:t>10-K for the fiscal year ended April 30, 2020. We also grant our franchisees a limited license to use our registered trademarks and, accordingly, there is risk that one or more of the franchisees may be alleged to be controlled by us. Third parties, regulators or courts may seek to hold us responsible for the actions or failures to act by our franchisees. Adverse outcomes related to legal actions could result in substantial damages and could cause our earnings to decline. Negative public opinion could also result from our or our franchisees’ actual or alleged conduct in such claims, possibly damaging our reputation, which, in turn, could adversely affect our business prospects and cause the market price of our securities to decline.</w:t>
      </w:r>
    </w:p>
    <w:p>
      <w:pPr>
        <w:spacing w:after="0" w:line="10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Except as indicated above, there have been no material changes in our risk factors from those reported at April 30, 2020 in our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631825</wp:posOffset>
            </wp:positionV>
            <wp:extent cx="222885"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purchases of H&amp;R Block common stock during the third quarter of fiscal year 2021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25"/>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Maximum Dollar Value of</w:t>
            </w: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rPr>
              <w:t>Average</w:t>
            </w:r>
          </w:p>
        </w:tc>
        <w:tc>
          <w:tcPr>
            <w:tcW w:w="2460" w:type="dxa"/>
            <w:vAlign w:val="bottom"/>
          </w:tcPr>
          <w:p>
            <w:pPr>
              <w:jc w:val="right"/>
              <w:spacing w:after="0" w:line="162" w:lineRule="exact"/>
              <w:rPr>
                <w:sz w:val="20"/>
                <w:szCs w:val="20"/>
                <w:color w:val="auto"/>
              </w:rPr>
            </w:pPr>
            <w:r>
              <w:rPr>
                <w:rFonts w:ascii="Arial" w:cs="Arial" w:eastAsia="Arial" w:hAnsi="Arial"/>
                <w:sz w:val="16"/>
                <w:szCs w:val="16"/>
                <w:color w:val="auto"/>
              </w:rPr>
              <w:t>Purchased as Part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tcPr>
          <w:p>
            <w:pPr>
              <w:jc w:val="right"/>
              <w:spacing w:after="0" w:line="162" w:lineRule="exact"/>
              <w:rPr>
                <w:sz w:val="20"/>
                <w:szCs w:val="20"/>
                <w:color w:val="auto"/>
              </w:rPr>
            </w:pPr>
            <w:r>
              <w:rPr>
                <w:rFonts w:ascii="Arial" w:cs="Arial" w:eastAsia="Arial" w:hAnsi="Arial"/>
                <w:sz w:val="16"/>
                <w:szCs w:val="16"/>
                <w:color w:val="auto"/>
              </w:rPr>
              <w:t>Shares that May Yet Be</w:t>
            </w:r>
          </w:p>
        </w:tc>
      </w:tr>
      <w:tr>
        <w:trPr>
          <w:trHeight w:val="147"/>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40"/>
              <w:spacing w:after="0" w:line="147" w:lineRule="exact"/>
              <w:rPr>
                <w:sz w:val="20"/>
                <w:szCs w:val="20"/>
                <w:color w:val="auto"/>
              </w:rPr>
            </w:pPr>
            <w:r>
              <w:rPr>
                <w:rFonts w:ascii="Arial" w:cs="Arial" w:eastAsia="Arial" w:hAnsi="Arial"/>
                <w:sz w:val="16"/>
                <w:szCs w:val="16"/>
                <w:color w:val="auto"/>
              </w:rPr>
              <w:t>Price Paid</w:t>
            </w:r>
          </w:p>
        </w:tc>
        <w:tc>
          <w:tcPr>
            <w:tcW w:w="2460" w:type="dxa"/>
            <w:vAlign w:val="bottom"/>
          </w:tcPr>
          <w:p>
            <w:pPr>
              <w:jc w:val="right"/>
              <w:spacing w:after="0" w:line="147" w:lineRule="exact"/>
              <w:rPr>
                <w:sz w:val="20"/>
                <w:szCs w:val="20"/>
                <w:color w:val="auto"/>
              </w:rPr>
            </w:pPr>
            <w:r>
              <w:rPr>
                <w:rFonts w:ascii="Arial" w:cs="Arial" w:eastAsia="Arial" w:hAnsi="Arial"/>
                <w:sz w:val="16"/>
                <w:szCs w:val="16"/>
                <w:color w:val="auto"/>
              </w:rPr>
              <w:t>Publicly Announced Plans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tcPr>
          <w:p>
            <w:pPr>
              <w:jc w:val="right"/>
              <w:spacing w:after="0" w:line="147" w:lineRule="exact"/>
              <w:rPr>
                <w:sz w:val="20"/>
                <w:szCs w:val="20"/>
                <w:color w:val="auto"/>
              </w:rPr>
            </w:pPr>
            <w:r>
              <w:rPr>
                <w:rFonts w:ascii="Arial" w:cs="Arial" w:eastAsia="Arial" w:hAnsi="Arial"/>
                <w:sz w:val="16"/>
                <w:szCs w:val="16"/>
                <w:color w:val="auto"/>
              </w:rPr>
              <w:t>Purchased Under the Plans</w:t>
            </w:r>
          </w:p>
        </w:tc>
      </w:tr>
      <w:tr>
        <w:trPr>
          <w:trHeight w:val="216"/>
        </w:trPr>
        <w:tc>
          <w:tcPr>
            <w:tcW w:w="2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Shares Purchased </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per Share</w:t>
            </w:r>
          </w:p>
        </w:tc>
        <w:tc>
          <w:tcPr>
            <w:tcW w:w="12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1"/>
                <w:szCs w:val="2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1"/>
                <w:szCs w:val="21"/>
                <w:color w:val="auto"/>
                <w:vertAlign w:val="superscript"/>
              </w:rPr>
              <w:t>(2)</w:t>
            </w:r>
          </w:p>
        </w:tc>
      </w:tr>
      <w:tr>
        <w:trPr>
          <w:trHeight w:val="21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November 1 - November 30</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ind w:left="2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601,837</w:t>
            </w:r>
          </w:p>
        </w:tc>
      </w:tr>
      <w:tr>
        <w:trPr>
          <w:trHeight w:val="215"/>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December 1 - December 31</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18.33</w:t>
            </w:r>
          </w:p>
        </w:tc>
        <w:tc>
          <w:tcPr>
            <w:tcW w:w="120" w:type="dxa"/>
            <w:vAlign w:val="bottom"/>
          </w:tcPr>
          <w:p>
            <w:pPr>
              <w:spacing w:after="0"/>
              <w:rPr>
                <w:sz w:val="18"/>
                <w:szCs w:val="18"/>
                <w:color w:val="auto"/>
              </w:rPr>
            </w:pPr>
          </w:p>
        </w:tc>
        <w:tc>
          <w:tcPr>
            <w:tcW w:w="2460" w:type="dxa"/>
            <w:vAlign w:val="bottom"/>
          </w:tcPr>
          <w:p>
            <w:pPr>
              <w:ind w:left="222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601,837</w:t>
            </w:r>
          </w:p>
        </w:tc>
      </w:tr>
      <w:tr>
        <w:trPr>
          <w:trHeight w:val="21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1 - January 31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ind w:left="222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601,837</w:t>
            </w:r>
          </w:p>
        </w:tc>
      </w:tr>
      <w:tr>
        <w:trPr>
          <w:trHeight w:val="248"/>
        </w:trPr>
        <w:tc>
          <w:tcPr>
            <w:tcW w:w="2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18.33</w:t>
            </w:r>
          </w:p>
        </w:tc>
        <w:tc>
          <w:tcPr>
            <w:tcW w:w="120" w:type="dxa"/>
            <w:vAlign w:val="bottom"/>
            <w:tcBorders>
              <w:bottom w:val="single" w:sz="8" w:color="CCEEFF"/>
            </w:tcBorders>
          </w:tcPr>
          <w:p>
            <w:pPr>
              <w:spacing w:after="0"/>
              <w:rPr>
                <w:sz w:val="21"/>
                <w:szCs w:val="21"/>
                <w:color w:val="auto"/>
              </w:rPr>
            </w:pPr>
          </w:p>
        </w:tc>
        <w:tc>
          <w:tcPr>
            <w:tcW w:w="2460" w:type="dxa"/>
            <w:vAlign w:val="bottom"/>
            <w:tcBorders>
              <w:bottom w:val="single" w:sz="8" w:color="auto"/>
            </w:tcBorders>
          </w:tcPr>
          <w:p>
            <w:pPr>
              <w:ind w:left="22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40" w:type="dxa"/>
            <w:vAlign w:val="bottom"/>
            <w:tcBorders>
              <w:bottom w:val="single" w:sz="8" w:color="CCEEFF"/>
            </w:tcBorders>
          </w:tcPr>
          <w:p>
            <w:pPr>
              <w:spacing w:after="0"/>
              <w:rPr>
                <w:sz w:val="21"/>
                <w:szCs w:val="21"/>
                <w:color w:val="auto"/>
              </w:rPr>
            </w:pPr>
          </w:p>
        </w:tc>
      </w:tr>
      <w:tr>
        <w:trPr>
          <w:trHeight w:val="20"/>
        </w:trPr>
        <w:tc>
          <w:tcPr>
            <w:tcW w:w="26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4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2440" w:type="dxa"/>
            <w:vAlign w:val="bottom"/>
            <w:tcBorders>
              <w:top w:val="single" w:sz="8" w:color="CCEEFF"/>
            </w:tcBorders>
            <w:shd w:val="clear" w:color="auto" w:fill="000000"/>
          </w:tcPr>
          <w:p>
            <w:pPr>
              <w:spacing w:after="0" w:line="20" w:lineRule="exact"/>
              <w:rPr>
                <w:sz w:val="1"/>
                <w:szCs w:val="1"/>
                <w:color w:val="auto"/>
              </w:rPr>
            </w:pPr>
          </w:p>
        </w:tc>
      </w:tr>
    </w:tbl>
    <w:p>
      <w:pPr>
        <w:spacing w:after="0" w:line="86" w:lineRule="exact"/>
        <w:rPr>
          <w:sz w:val="20"/>
          <w:szCs w:val="20"/>
          <w:color w:val="auto"/>
        </w:rPr>
      </w:pPr>
    </w:p>
    <w:p>
      <w:pPr>
        <w:ind w:left="180" w:hanging="172"/>
        <w:spacing w:after="0" w:line="241" w:lineRule="auto"/>
        <w:tabs>
          <w:tab w:leader="none" w:pos="186" w:val="left"/>
        </w:tabs>
        <w:numPr>
          <w:ilvl w:val="0"/>
          <w:numId w:val="25"/>
        </w:numPr>
        <w:rPr>
          <w:rFonts w:ascii="Arial" w:cs="Arial" w:eastAsia="Arial" w:hAnsi="Arial"/>
          <w:sz w:val="9"/>
          <w:szCs w:val="9"/>
          <w:color w:val="auto"/>
        </w:rPr>
      </w:pPr>
      <w:r>
        <w:rPr>
          <w:rFonts w:ascii="Arial" w:cs="Arial" w:eastAsia="Arial" w:hAnsi="Arial"/>
          <w:sz w:val="14"/>
          <w:szCs w:val="14"/>
          <w:color w:val="auto"/>
        </w:rPr>
        <w:t>We purchased approximately 1 thousand shares in connection with funding employee income tax withholding obligations arising upon the lapse of restrictions on restricted share units.</w:t>
      </w:r>
    </w:p>
    <w:p>
      <w:pPr>
        <w:ind w:left="180" w:hanging="172"/>
        <w:spacing w:after="0" w:line="258" w:lineRule="auto"/>
        <w:tabs>
          <w:tab w:leader="none" w:pos="186" w:val="left"/>
        </w:tabs>
        <w:numPr>
          <w:ilvl w:val="0"/>
          <w:numId w:val="25"/>
        </w:numPr>
        <w:rPr>
          <w:rFonts w:ascii="Arial" w:cs="Arial" w:eastAsia="Arial" w:hAnsi="Arial"/>
          <w:sz w:val="9"/>
          <w:szCs w:val="9"/>
          <w:color w:val="auto"/>
        </w:rPr>
      </w:pPr>
      <w:r>
        <w:rPr>
          <w:rFonts w:ascii="Arial" w:cs="Arial" w:eastAsia="Arial" w:hAnsi="Arial"/>
          <w:sz w:val="14"/>
          <w:szCs w:val="14"/>
          <w:color w:val="auto"/>
        </w:rPr>
        <w:t>In September 2015, we announced that our Board of Directors approved a $3.5 billion share repurchase program, effective through June 2019. In June 2019, our Board of Directors extended the share repurchase program through June 2022.</w:t>
      </w:r>
    </w:p>
    <w:p>
      <w:pPr>
        <w:spacing w:after="0" w:line="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shd w:val="clear" w:color="auto" w:fill="CCEEFF"/>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31.1</w:t>
              </w:r>
            </w:hyperlink>
          </w:p>
        </w:tc>
        <w:tc>
          <w:tcPr>
            <w:tcW w:w="10060" w:type="dxa"/>
            <w:vAlign w:val="bottom"/>
            <w:gridSpan w:val="4"/>
            <w:shd w:val="clear" w:color="auto" w:fill="CCEEFF"/>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by Chief Executive Officer pursuant to Section 302 of the Sarbanes-Oxley Act of 2002.</w:t>
              </w:r>
            </w:hyperlink>
          </w:p>
        </w:tc>
      </w:tr>
      <w:tr>
        <w:trPr>
          <w:trHeight w:val="230"/>
        </w:trPr>
        <w:tc>
          <w:tcPr>
            <w:tcW w:w="104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31.2</w:t>
              </w:r>
            </w:hyperlink>
          </w:p>
        </w:tc>
        <w:tc>
          <w:tcPr>
            <w:tcW w:w="10060" w:type="dxa"/>
            <w:vAlign w:val="bottom"/>
            <w:gridSpan w:val="4"/>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Certification by Chief Financial Officer pursuant to Section 302 of the Sarbanes-Oxley Act of 2002.</w:t>
              </w:r>
            </w:hyperlink>
          </w:p>
        </w:tc>
      </w:tr>
      <w:tr>
        <w:trPr>
          <w:trHeight w:val="189"/>
        </w:trPr>
        <w:tc>
          <w:tcPr>
            <w:tcW w:w="1040" w:type="dxa"/>
            <w:vAlign w:val="bottom"/>
            <w:shd w:val="clear" w:color="auto" w:fill="CCEEFF"/>
          </w:tcPr>
          <w:p>
            <w:pPr>
              <w:ind w:left="20"/>
              <w:spacing w:after="0" w:line="189" w:lineRule="exact"/>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32.1</w:t>
              </w:r>
            </w:hyperlink>
          </w:p>
        </w:tc>
        <w:tc>
          <w:tcPr>
            <w:tcW w:w="10060" w:type="dxa"/>
            <w:vAlign w:val="bottom"/>
            <w:gridSpan w:val="4"/>
            <w:shd w:val="clear" w:color="auto" w:fill="CCEEFF"/>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Certification by Chief Executive Officer pursuant to 18 U.S.C. 1350, as adopted by Section 906 of the Sarbanes-Oxley Act of</w:t>
              </w:r>
            </w:hyperlink>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2002.</w:t>
              </w:r>
            </w:hyperlink>
          </w:p>
        </w:tc>
        <w:tc>
          <w:tcPr>
            <w:tcW w:w="6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9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ind w:left="20"/>
              <w:spacing w:after="0" w:line="189" w:lineRule="exact"/>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32.2</w:t>
              </w:r>
            </w:hyperlink>
          </w:p>
        </w:tc>
        <w:tc>
          <w:tcPr>
            <w:tcW w:w="10060" w:type="dxa"/>
            <w:vAlign w:val="bottom"/>
            <w:gridSpan w:val="4"/>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Certification by Chief Financial Officer pursuant to 18 U.S.C. 1350, as adopted by Section 906 of the Sarbanes-Oxley Act of</w:t>
              </w:r>
            </w:hyperlink>
          </w:p>
        </w:tc>
      </w:tr>
      <w:tr>
        <w:trPr>
          <w:trHeight w:val="155"/>
        </w:trPr>
        <w:tc>
          <w:tcPr>
            <w:tcW w:w="1040" w:type="dxa"/>
            <w:vAlign w:val="bottom"/>
          </w:tcPr>
          <w:p>
            <w:pPr>
              <w:spacing w:after="0"/>
              <w:rPr>
                <w:sz w:val="13"/>
                <w:szCs w:val="13"/>
                <w:color w:val="auto"/>
              </w:rPr>
            </w:pPr>
          </w:p>
        </w:tc>
        <w:tc>
          <w:tcPr>
            <w:tcW w:w="98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2002.</w:t>
              </w:r>
            </w:hyperlink>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104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101.INS</w:t>
            </w:r>
          </w:p>
        </w:tc>
        <w:tc>
          <w:tcPr>
            <w:tcW w:w="100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17"/>
        </w:trPr>
        <w:tc>
          <w:tcPr>
            <w:tcW w:w="1040" w:type="dxa"/>
            <w:vAlign w:val="bottom"/>
            <w:shd w:val="clear" w:color="auto" w:fill="CCEEFF"/>
          </w:tcPr>
          <w:p>
            <w:pPr>
              <w:spacing w:after="0"/>
              <w:rPr>
                <w:sz w:val="18"/>
                <w:szCs w:val="18"/>
                <w:color w:val="auto"/>
              </w:rPr>
            </w:pPr>
          </w:p>
        </w:tc>
        <w:tc>
          <w:tcPr>
            <w:tcW w:w="10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0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Extension Calculation Linkbase</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00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0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10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1463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hanging="263"/>
        <w:spacing w:after="0"/>
        <w:tabs>
          <w:tab w:leader="none" w:pos="360" w:val="left"/>
        </w:tabs>
        <w:numPr>
          <w:ilvl w:val="0"/>
          <w:numId w:val="26"/>
        </w:numPr>
        <w:rPr>
          <w:rFonts w:ascii="Arial" w:cs="Arial" w:eastAsia="Arial" w:hAnsi="Arial"/>
          <w:sz w:val="14"/>
          <w:szCs w:val="14"/>
          <w:color w:val="FFFFFF"/>
          <w:highlight w:val="black"/>
        </w:rPr>
      </w:pPr>
      <w:r>
        <w:rPr>
          <w:rFonts w:ascii="Arial" w:cs="Arial" w:eastAsia="Arial" w:hAnsi="Arial"/>
          <w:sz w:val="14"/>
          <w:szCs w:val="14"/>
          <w:color w:val="auto"/>
        </w:rPr>
        <w:t xml:space="preserve">Q3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H&amp;R BLOCK, INC.</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Jeffrey J. Jones II</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March 9, 2021</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Tony G. Bowen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March 9, 2021</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Kellie J. Logerwell</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March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503555</wp:posOffset>
            </wp:positionV>
            <wp:extent cx="222885"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33</w:t>
      </w:r>
    </w:p>
    <w:p>
      <w:pPr>
        <w:sectPr>
          <w:pgSz w:w="11900" w:h="16838" w:orient="portrait"/>
          <w:cols w:equalWidth="0" w:num="1">
            <w:col w:w="11220"/>
          </w:cols>
          <w:pgMar w:left="320" w:top="249"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252"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sz w:val="20"/>
          <w:szCs w:val="20"/>
          <w:color w:val="auto"/>
        </w:rPr>
      </w:pPr>
    </w:p>
    <w:p>
      <w:pPr>
        <w:ind w:right="480" w:firstLine="8"/>
        <w:spacing w:after="0" w:line="256"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4"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sz w:val="20"/>
          <w:szCs w:val="20"/>
          <w:color w:val="auto"/>
        </w:rPr>
      </w:pPr>
    </w:p>
    <w:p>
      <w:pPr>
        <w:ind w:right="480" w:firstLine="8"/>
        <w:spacing w:after="0" w:line="256" w:lineRule="auto"/>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sz w:val="20"/>
          <w:szCs w:val="20"/>
          <w:color w:val="auto"/>
        </w:rPr>
      </w:pPr>
    </w:p>
    <w:p>
      <w:pPr>
        <w:ind w:right="640" w:firstLine="8"/>
        <w:spacing w:after="0" w:line="261"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March 9, 2021</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J. Jones II</w:t>
            </w:r>
          </w:p>
        </w:tc>
      </w:tr>
      <w:tr>
        <w:trPr>
          <w:trHeight w:val="223"/>
        </w:trPr>
        <w:tc>
          <w:tcPr>
            <w:tcW w:w="67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Jeffrey J. Jones II</w:t>
            </w:r>
          </w:p>
        </w:tc>
      </w:tr>
      <w:tr>
        <w:trPr>
          <w:trHeight w:val="188"/>
        </w:trPr>
        <w:tc>
          <w:tcPr>
            <w:tcW w:w="67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8"/>
                <w:szCs w:val="18"/>
                <w:color w:val="auto"/>
              </w:rPr>
              <w:t>Chief Executive Officer</w:t>
            </w:r>
          </w:p>
        </w:tc>
      </w:tr>
      <w:tr>
        <w:trPr>
          <w:trHeight w:val="217"/>
        </w:trPr>
        <w:tc>
          <w:tcPr>
            <w:tcW w:w="67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4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252"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sz w:val="20"/>
          <w:szCs w:val="20"/>
          <w:color w:val="auto"/>
        </w:rPr>
      </w:pPr>
    </w:p>
    <w:p>
      <w:pPr>
        <w:ind w:right="480" w:firstLine="8"/>
        <w:spacing w:after="0" w:line="256"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4"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sz w:val="20"/>
          <w:szCs w:val="20"/>
          <w:color w:val="auto"/>
        </w:rPr>
      </w:pPr>
    </w:p>
    <w:p>
      <w:pPr>
        <w:ind w:right="480" w:firstLine="8"/>
        <w:spacing w:after="0" w:line="256"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sz w:val="20"/>
          <w:szCs w:val="20"/>
          <w:color w:val="auto"/>
        </w:rPr>
      </w:pPr>
    </w:p>
    <w:p>
      <w:pPr>
        <w:ind w:right="640" w:firstLine="8"/>
        <w:spacing w:after="0" w:line="261"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March 9, 2021</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G. Bowen</w:t>
            </w:r>
          </w:p>
        </w:tc>
      </w:tr>
      <w:tr>
        <w:trPr>
          <w:trHeight w:val="223"/>
        </w:trPr>
        <w:tc>
          <w:tcPr>
            <w:tcW w:w="67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Tony G. Bowen</w:t>
            </w:r>
          </w:p>
        </w:tc>
      </w:tr>
      <w:tr>
        <w:trPr>
          <w:trHeight w:val="188"/>
        </w:trPr>
        <w:tc>
          <w:tcPr>
            <w:tcW w:w="67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17"/>
        </w:trPr>
        <w:tc>
          <w:tcPr>
            <w:tcW w:w="67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4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4" w:lineRule="exact"/>
        <w:rPr>
          <w:sz w:val="20"/>
          <w:szCs w:val="20"/>
          <w:color w:val="auto"/>
        </w:rPr>
      </w:pPr>
    </w:p>
    <w:p>
      <w:pPr>
        <w:jc w:val="both"/>
        <w:ind w:firstLine="210"/>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January 31, 2021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244" w:lineRule="exact"/>
        <w:rPr>
          <w:sz w:val="20"/>
          <w:szCs w:val="20"/>
          <w:color w:val="auto"/>
        </w:rPr>
      </w:pPr>
    </w:p>
    <w:p>
      <w:pPr>
        <w:ind w:left="1320" w:hanging="66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61" w:lineRule="auto"/>
        <w:tabs>
          <w:tab w:leader="none" w:pos="131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6350</wp:posOffset>
            </wp:positionV>
            <wp:extent cx="2108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color w:val="auto"/>
        </w:rPr>
        <w:t>Jeffrey J. Jones II</w:t>
      </w:r>
    </w:p>
    <w:p>
      <w:pPr>
        <w:ind w:left="7940"/>
        <w:spacing w:after="0" w:line="203" w:lineRule="auto"/>
        <w:rPr>
          <w:sz w:val="20"/>
          <w:szCs w:val="20"/>
          <w:color w:val="auto"/>
        </w:rPr>
      </w:pPr>
      <w:r>
        <w:rPr>
          <w:rFonts w:ascii="Arial" w:cs="Arial" w:eastAsia="Arial" w:hAnsi="Arial"/>
          <w:sz w:val="18"/>
          <w:szCs w:val="18"/>
          <w:color w:val="auto"/>
        </w:rPr>
        <w:t>Chief Executive Officer</w:t>
      </w:r>
    </w:p>
    <w:p>
      <w:pPr>
        <w:ind w:left="7940"/>
        <w:spacing w:after="0"/>
        <w:rPr>
          <w:sz w:val="20"/>
          <w:szCs w:val="20"/>
          <w:color w:val="auto"/>
        </w:rPr>
      </w:pPr>
      <w:r>
        <w:rPr>
          <w:rFonts w:ascii="Arial" w:cs="Arial" w:eastAsia="Arial" w:hAnsi="Arial"/>
          <w:sz w:val="18"/>
          <w:szCs w:val="18"/>
          <w:color w:val="auto"/>
        </w:rPr>
        <w:t>H&amp;R Block, Inc.</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March 9, 2021</w:t>
      </w:r>
    </w:p>
    <w:p>
      <w:pPr>
        <w:sectPr>
          <w:pgSz w:w="11900" w:h="16838" w:orient="portrait"/>
          <w:cols w:equalWidth="0" w:num="1">
            <w:col w:w="11240"/>
          </w:cols>
          <w:pgMar w:left="320" w:top="14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4" w:lineRule="exact"/>
        <w:rPr>
          <w:sz w:val="20"/>
          <w:szCs w:val="20"/>
          <w:color w:val="auto"/>
        </w:rPr>
      </w:pPr>
    </w:p>
    <w:p>
      <w:pPr>
        <w:jc w:val="both"/>
        <w:ind w:firstLine="210"/>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January 31, 2021 as filed with the Securities and Exchange Commission on the date hereof (the “Report”), I, Tony G. Bowen, Chief Financial Officer of the Company, certify pursuant to 18 U.S.C. § 1350, as adopted pursuant to § 906 of the Sarbanes-Oxley Act of 2002, that:</w:t>
      </w:r>
    </w:p>
    <w:p>
      <w:pPr>
        <w:spacing w:after="0" w:line="244" w:lineRule="exact"/>
        <w:rPr>
          <w:sz w:val="20"/>
          <w:szCs w:val="20"/>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61" w:lineRule="auto"/>
        <w:tabs>
          <w:tab w:leader="none" w:pos="13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6350</wp:posOffset>
            </wp:positionV>
            <wp:extent cx="2108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color w:val="auto"/>
        </w:rPr>
        <w:t>Tony G. Bowen</w:t>
      </w:r>
    </w:p>
    <w:p>
      <w:pPr>
        <w:ind w:left="7940"/>
        <w:spacing w:after="0" w:line="203" w:lineRule="auto"/>
        <w:rPr>
          <w:sz w:val="20"/>
          <w:szCs w:val="20"/>
          <w:color w:val="auto"/>
        </w:rPr>
      </w:pPr>
      <w:r>
        <w:rPr>
          <w:rFonts w:ascii="Arial" w:cs="Arial" w:eastAsia="Arial" w:hAnsi="Arial"/>
          <w:sz w:val="18"/>
          <w:szCs w:val="18"/>
          <w:color w:val="auto"/>
        </w:rPr>
        <w:t>Chief Financial Officer</w:t>
      </w:r>
    </w:p>
    <w:p>
      <w:pPr>
        <w:ind w:left="7940"/>
        <w:spacing w:after="0"/>
        <w:rPr>
          <w:sz w:val="20"/>
          <w:szCs w:val="20"/>
          <w:color w:val="auto"/>
        </w:rPr>
      </w:pPr>
      <w:r>
        <w:rPr>
          <w:rFonts w:ascii="Arial" w:cs="Arial" w:eastAsia="Arial" w:hAnsi="Arial"/>
          <w:sz w:val="18"/>
          <w:szCs w:val="18"/>
          <w:color w:val="auto"/>
        </w:rPr>
        <w:t>H&amp;R Block, Inc.</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March 9, 2021</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2"/>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4"/>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6"/>
      <w:numFmt w:val="bullet"/>
      <w:start w:val="1"/>
    </w:lvl>
  </w:abstractNum>
  <w:abstractNum w:abstractNumId="7">
    <w:nsid w:val="721DA317"/>
    <w:multiLevelType w:val="hybridMultilevel"/>
    <w:lvl w:ilvl="0">
      <w:lvlJc w:val="left"/>
      <w:lvlText w:val="8"/>
      <w:numFmt w:val="bullet"/>
      <w:start w:val="1"/>
    </w:lvl>
  </w:abstractNum>
  <w:abstractNum w:abstractNumId="8">
    <w:nsid w:val="2443A858"/>
    <w:multiLevelType w:val="hybridMultilevel"/>
    <w:lvl w:ilvl="0">
      <w:lvlJc w:val="left"/>
      <w:lvlText w:val="%1"/>
      <w:numFmt w:val="decimal"/>
      <w:start w:val="10"/>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2"/>
    </w:lvl>
  </w:abstractNum>
  <w:abstractNum w:abstractNumId="11">
    <w:nsid w:val="75A2A8D4"/>
    <w:multiLevelType w:val="hybridMultilevel"/>
    <w:lvl w:ilvl="0">
      <w:lvlJc w:val="left"/>
      <w:lvlText w:val="%1"/>
      <w:numFmt w:val="decimal"/>
      <w:start w:val="14"/>
    </w:lvl>
  </w:abstractNum>
  <w:abstractNum w:abstractNumId="12">
    <w:nsid w:val="8EDBDAB"/>
    <w:multiLevelType w:val="hybridMultilevel"/>
    <w:lvl w:ilvl="0">
      <w:lvlJc w:val="left"/>
      <w:lvlText w:val="%1"/>
      <w:numFmt w:val="decimal"/>
      <w:start w:val="16"/>
    </w:lvl>
  </w:abstractNum>
  <w:abstractNum w:abstractNumId="13">
    <w:nsid w:val="79838CB2"/>
    <w:multiLevelType w:val="hybridMultilevel"/>
    <w:lvl w:ilvl="0">
      <w:lvlJc w:val="left"/>
      <w:lvlText w:val="%1"/>
      <w:numFmt w:val="decimal"/>
      <w:start w:val="18"/>
    </w:lvl>
  </w:abstractNum>
  <w:abstractNum w:abstractNumId="14">
    <w:nsid w:val="4353D0CD"/>
    <w:multiLevelType w:val="hybridMultilevel"/>
    <w:lvl w:ilvl="0">
      <w:lvlJc w:val="left"/>
      <w:lvlText w:val="%1"/>
      <w:numFmt w:val="decimal"/>
      <w:start w:val="20"/>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22"/>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24"/>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26"/>
    </w:lvl>
  </w:abstractNum>
  <w:abstractNum w:abstractNumId="22">
    <w:nsid w:val="3A95F874"/>
    <w:multiLevelType w:val="hybridMultilevel"/>
    <w:lvl w:ilvl="0">
      <w:lvlJc w:val="left"/>
      <w:lvlText w:val="%1"/>
      <w:numFmt w:val="decimal"/>
      <w:start w:val="28"/>
    </w:lvl>
  </w:abstractNum>
  <w:abstractNum w:abstractNumId="23">
    <w:nsid w:val="8138641"/>
    <w:multiLevelType w:val="hybridMultilevel"/>
    <w:lvl w:ilvl="0">
      <w:lvlJc w:val="left"/>
      <w:lvlText w:val="%1"/>
      <w:numFmt w:val="decimal"/>
      <w:start w:val="30"/>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32"/>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2021-03-09T16:26:57Z</dcterms:created>
  <dcterms:modified xsi:type="dcterms:W3CDTF">2021-03-09T16:26:57Z</dcterms:modified>
</cp:coreProperties>
</file>