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598805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557530</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Calibri" w:cs="Calibri" w:eastAsia="Calibri" w:hAnsi="Calibri"/>
          <w:sz w:val="17"/>
          <w:szCs w:val="17"/>
          <w:b w:val="1"/>
          <w:bCs w:val="1"/>
          <w:color w:val="auto"/>
        </w:rPr>
        <w:t>UNITED STATES</w:t>
      </w:r>
    </w:p>
    <w:p>
      <w:pPr>
        <w:jc w:val="center"/>
        <w:ind w:right="-19"/>
        <w:spacing w:after="0" w:line="238" w:lineRule="auto"/>
        <w:rPr>
          <w:sz w:val="20"/>
          <w:szCs w:val="20"/>
          <w:color w:val="auto"/>
        </w:rPr>
      </w:pPr>
      <w:r>
        <w:rPr>
          <w:rFonts w:ascii="Calibri" w:cs="Calibri" w:eastAsia="Calibri" w:hAnsi="Calibri"/>
          <w:sz w:val="17"/>
          <w:szCs w:val="17"/>
          <w:b w:val="1"/>
          <w:bCs w:val="1"/>
          <w:color w:val="auto"/>
        </w:rPr>
        <w:t>SECURITIES AND EXCHANGE COMMISSION</w:t>
      </w:r>
    </w:p>
    <w:p>
      <w:pPr>
        <w:jc w:val="center"/>
        <w:spacing w:after="0"/>
        <w:rPr>
          <w:sz w:val="20"/>
          <w:szCs w:val="20"/>
          <w:color w:val="auto"/>
        </w:rPr>
      </w:pPr>
      <w:r>
        <w:rPr>
          <w:rFonts w:ascii="Calibri" w:cs="Calibri" w:eastAsia="Calibri" w:hAnsi="Calibri"/>
          <w:sz w:val="17"/>
          <w:szCs w:val="17"/>
          <w:b w:val="1"/>
          <w:bCs w:val="1"/>
          <w:color w:val="auto"/>
        </w:rPr>
        <w:t>Washington, D.C. 20549</w:t>
      </w:r>
    </w:p>
    <w:p>
      <w:pPr>
        <w:jc w:val="center"/>
        <w:ind w:right="-19"/>
        <w:spacing w:after="0" w:line="237" w:lineRule="auto"/>
        <w:rPr>
          <w:sz w:val="20"/>
          <w:szCs w:val="20"/>
          <w:color w:val="auto"/>
        </w:rPr>
      </w:pPr>
      <w:r>
        <w:rPr>
          <w:rFonts w:ascii="Calibri" w:cs="Calibri" w:eastAsia="Calibri" w:hAnsi="Calibri"/>
          <w:sz w:val="17"/>
          <w:szCs w:val="17"/>
          <w:b w:val="1"/>
          <w:bCs w:val="1"/>
          <w:color w:val="auto"/>
        </w:rPr>
        <w:t>FORM 10-Q</w:t>
      </w:r>
    </w:p>
    <w:p>
      <w:pPr>
        <w:spacing w:after="0" w:line="128" w:lineRule="exact"/>
        <w:rPr>
          <w:sz w:val="24"/>
          <w:szCs w:val="24"/>
          <w:color w:val="auto"/>
        </w:rPr>
      </w:pPr>
    </w:p>
    <w:p>
      <w:pPr>
        <w:ind w:left="20"/>
        <w:spacing w:after="0"/>
        <w:rPr>
          <w:sz w:val="20"/>
          <w:szCs w:val="20"/>
          <w:color w:val="auto"/>
        </w:rPr>
      </w:pPr>
      <w:r>
        <w:rPr>
          <w:rFonts w:ascii="Calibri" w:cs="Calibri" w:eastAsia="Calibri" w:hAnsi="Calibri"/>
          <w:sz w:val="17"/>
          <w:szCs w:val="17"/>
          <w:color w:val="auto"/>
        </w:rPr>
        <w:t>(Mark One)</w:t>
      </w:r>
    </w:p>
    <w:p>
      <w:pPr>
        <w:spacing w:after="0" w:line="14" w:lineRule="exact"/>
        <w:rPr>
          <w:sz w:val="24"/>
          <w:szCs w:val="24"/>
          <w:color w:val="auto"/>
        </w:rPr>
      </w:pPr>
    </w:p>
    <w:p>
      <w:pPr>
        <w:ind w:left="1080" w:hanging="677"/>
        <w:spacing w:after="0"/>
        <w:tabs>
          <w:tab w:leader="none" w:pos="1080" w:val="left"/>
        </w:tabs>
        <w:numPr>
          <w:ilvl w:val="0"/>
          <w:numId w:val="1"/>
        </w:numPr>
        <w:rPr>
          <w:rFonts w:ascii="MS PGothic" w:cs="MS PGothic" w:eastAsia="MS PGothic" w:hAnsi="MS PGothic"/>
          <w:sz w:val="15"/>
          <w:szCs w:val="15"/>
          <w:color w:val="auto"/>
        </w:rPr>
      </w:pPr>
      <w:r>
        <w:rPr>
          <w:rFonts w:ascii="Calibri" w:cs="Calibri" w:eastAsia="Calibri" w:hAnsi="Calibri"/>
          <w:sz w:val="16"/>
          <w:szCs w:val="16"/>
          <w:color w:val="auto"/>
        </w:rPr>
        <w:t>QUARTERLY REPORT PURSUANT TO SECTION 13 OR 15(d) OF THE SECURITIES EXCHANGE ACT OF 1934</w:t>
      </w:r>
    </w:p>
    <w:p>
      <w:pPr>
        <w:spacing w:after="0" w:line="21" w:lineRule="exact"/>
        <w:rPr>
          <w:sz w:val="24"/>
          <w:szCs w:val="24"/>
          <w:color w:val="auto"/>
        </w:rPr>
      </w:pPr>
    </w:p>
    <w:p>
      <w:pPr>
        <w:ind w:left="1080"/>
        <w:spacing w:after="0"/>
        <w:tabs>
          <w:tab w:leader="none" w:pos="4260" w:val="left"/>
        </w:tabs>
        <w:rPr>
          <w:sz w:val="20"/>
          <w:szCs w:val="20"/>
          <w:color w:val="auto"/>
        </w:rPr>
      </w:pPr>
      <w:r>
        <w:rPr>
          <w:rFonts w:ascii="Calibri" w:cs="Calibri" w:eastAsia="Calibri" w:hAnsi="Calibri"/>
          <w:sz w:val="17"/>
          <w:szCs w:val="17"/>
          <w:b w:val="1"/>
          <w:bCs w:val="1"/>
          <w:color w:val="auto"/>
        </w:rPr>
        <w:t>For the quarterly period ended</w:t>
      </w:r>
      <w:r>
        <w:rPr>
          <w:sz w:val="20"/>
          <w:szCs w:val="20"/>
          <w:color w:val="auto"/>
        </w:rPr>
        <w:tab/>
      </w:r>
      <w:r>
        <w:rPr>
          <w:rFonts w:ascii="Calibri" w:cs="Calibri" w:eastAsia="Calibri" w:hAnsi="Calibri"/>
          <w:sz w:val="16"/>
          <w:szCs w:val="16"/>
          <w:b w:val="1"/>
          <w:bCs w:val="1"/>
          <w:color w:val="auto"/>
        </w:rPr>
        <w:t>March 31, 2024</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17"/>
          <w:szCs w:val="17"/>
          <w:color w:val="auto"/>
        </w:rPr>
        <w:t>OR</w:t>
      </w:r>
    </w:p>
    <w:p>
      <w:pPr>
        <w:spacing w:after="0" w:line="14" w:lineRule="exact"/>
        <w:rPr>
          <w:sz w:val="24"/>
          <w:szCs w:val="24"/>
          <w:color w:val="auto"/>
        </w:rPr>
      </w:pPr>
    </w:p>
    <w:p>
      <w:pPr>
        <w:ind w:left="1080" w:hanging="684"/>
        <w:spacing w:after="0"/>
        <w:tabs>
          <w:tab w:leader="none" w:pos="1080" w:val="left"/>
        </w:tabs>
        <w:numPr>
          <w:ilvl w:val="0"/>
          <w:numId w:val="2"/>
        </w:numPr>
        <w:rPr>
          <w:rFonts w:ascii="MS PGothic" w:cs="MS PGothic" w:eastAsia="MS PGothic" w:hAnsi="MS PGothic"/>
          <w:sz w:val="16"/>
          <w:szCs w:val="16"/>
          <w:color w:val="auto"/>
        </w:rPr>
      </w:pPr>
      <w:r>
        <w:rPr>
          <w:rFonts w:ascii="Calibri" w:cs="Calibri" w:eastAsia="Calibri" w:hAnsi="Calibri"/>
          <w:sz w:val="16"/>
          <w:szCs w:val="16"/>
          <w:color w:val="auto"/>
        </w:rPr>
        <w:t>TRANSITION REPORT PURSUANT TO SECTION 13 OR 15(d) OF THE SECURITIES EXCHANGE ACT OF 1934</w:t>
      </w:r>
    </w:p>
    <w:p>
      <w:pPr>
        <w:spacing w:after="0" w:line="57" w:lineRule="exact"/>
        <w:rPr>
          <w:rFonts w:ascii="MS PGothic" w:cs="MS PGothic" w:eastAsia="MS PGothic" w:hAnsi="MS PGothic"/>
          <w:sz w:val="16"/>
          <w:szCs w:val="16"/>
          <w:color w:val="auto"/>
        </w:rPr>
      </w:pPr>
    </w:p>
    <w:p>
      <w:pPr>
        <w:ind w:left="1080"/>
        <w:spacing w:after="0" w:line="197" w:lineRule="auto"/>
        <w:rPr>
          <w:rFonts w:ascii="MS PGothic" w:cs="MS PGothic" w:eastAsia="MS PGothic" w:hAnsi="MS PGothic"/>
          <w:sz w:val="16"/>
          <w:szCs w:val="16"/>
          <w:color w:val="auto"/>
        </w:rPr>
      </w:pPr>
      <w:r>
        <w:rPr>
          <w:rFonts w:ascii="Calibri" w:cs="Calibri" w:eastAsia="Calibri" w:hAnsi="Calibri"/>
          <w:sz w:val="17"/>
          <w:szCs w:val="17"/>
          <w:b w:val="1"/>
          <w:bCs w:val="1"/>
          <w:color w:val="auto"/>
        </w:rPr>
        <w:t>For the transiton period from to</w:t>
      </w:r>
    </w:p>
    <w:p>
      <w:pPr>
        <w:spacing w:after="0" w:line="193" w:lineRule="exact"/>
        <w:rPr>
          <w:sz w:val="24"/>
          <w:szCs w:val="24"/>
          <w:color w:val="auto"/>
        </w:rPr>
      </w:pPr>
    </w:p>
    <w:p>
      <w:pPr>
        <w:jc w:val="center"/>
        <w:spacing w:after="0"/>
        <w:rPr>
          <w:sz w:val="20"/>
          <w:szCs w:val="20"/>
          <w:color w:val="auto"/>
        </w:rPr>
      </w:pPr>
      <w:r>
        <w:rPr>
          <w:rFonts w:ascii="Calibri" w:cs="Calibri" w:eastAsia="Calibri" w:hAnsi="Calibri"/>
          <w:sz w:val="17"/>
          <w:szCs w:val="17"/>
          <w:b w:val="1"/>
          <w:bCs w:val="1"/>
          <w:color w:val="auto"/>
        </w:rPr>
        <w:t>Commission fle number 1-06089</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Calibri" w:cs="Calibri" w:eastAsia="Calibri" w:hAnsi="Calibri"/>
          <w:sz w:val="17"/>
          <w:szCs w:val="17"/>
          <w:b w:val="1"/>
          <w:bCs w:val="1"/>
          <w:color w:val="auto"/>
        </w:rPr>
        <w:t>H&amp;R Block, Inc.</w:t>
      </w:r>
    </w:p>
    <w:p>
      <w:pPr>
        <w:jc w:val="center"/>
        <w:spacing w:after="0" w:line="224" w:lineRule="auto"/>
        <w:rPr>
          <w:sz w:val="20"/>
          <w:szCs w:val="20"/>
          <w:color w:val="auto"/>
        </w:rPr>
      </w:pPr>
      <w:r>
        <w:rPr>
          <w:rFonts w:ascii="Calibri" w:cs="Calibri" w:eastAsia="Calibri" w:hAnsi="Calibri"/>
          <w:sz w:val="14"/>
          <w:szCs w:val="14"/>
          <w:color w:val="auto"/>
        </w:rPr>
        <w:t>(Exact name of registrant as specifed in its charter)</w:t>
      </w:r>
    </w:p>
    <w:p>
      <w:pPr>
        <w:sectPr>
          <w:pgSz w:w="11900" w:h="16838" w:orient="portrait"/>
          <w:cols w:equalWidth="0" w:num="1">
            <w:col w:w="11240"/>
          </w:cols>
          <w:pgMar w:left="320" w:top="226" w:right="339" w:bottom="1440" w:gutter="0" w:footer="0" w:header="0"/>
        </w:sectPr>
      </w:pPr>
    </w:p>
    <w:p>
      <w:pPr>
        <w:spacing w:after="0" w:line="126" w:lineRule="exact"/>
        <w:rPr>
          <w:sz w:val="24"/>
          <w:szCs w:val="24"/>
          <w:color w:val="auto"/>
        </w:rPr>
      </w:pPr>
    </w:p>
    <w:p>
      <w:pPr>
        <w:ind w:left="2500"/>
        <w:spacing w:after="0"/>
        <w:rPr>
          <w:sz w:val="20"/>
          <w:szCs w:val="20"/>
          <w:color w:val="auto"/>
        </w:rPr>
      </w:pPr>
      <w:r>
        <w:rPr>
          <w:rFonts w:ascii="Calibri" w:cs="Calibri" w:eastAsia="Calibri" w:hAnsi="Calibri"/>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Calibri" w:cs="Calibri" w:eastAsia="Calibri" w:hAnsi="Calibri"/>
          <w:sz w:val="16"/>
          <w:szCs w:val="16"/>
          <w:b w:val="1"/>
          <w:bCs w:val="1"/>
          <w:color w:val="auto"/>
        </w:rPr>
        <w:t>44-0607856</w:t>
      </w:r>
    </w:p>
    <w:p>
      <w:pPr>
        <w:spacing w:after="0" w:line="11" w:lineRule="exact"/>
        <w:rPr>
          <w:sz w:val="24"/>
          <w:szCs w:val="24"/>
          <w:color w:val="auto"/>
        </w:rPr>
      </w:pPr>
    </w:p>
    <w:p>
      <w:pPr>
        <w:sectPr>
          <w:pgSz w:w="11900" w:h="16838" w:orient="portrait"/>
          <w:cols w:equalWidth="0" w:num="2">
            <w:col w:w="7340" w:space="720"/>
            <w:col w:w="3180"/>
          </w:cols>
          <w:pgMar w:left="320" w:top="226" w:right="339" w:bottom="1440" w:gutter="0" w:footer="0" w:header="0"/>
          <w:type w:val="continuous"/>
        </w:sectPr>
      </w:pPr>
    </w:p>
    <w:p>
      <w:pPr>
        <w:ind w:left="1980"/>
        <w:spacing w:after="0"/>
        <w:rPr>
          <w:sz w:val="20"/>
          <w:szCs w:val="20"/>
          <w:color w:val="auto"/>
        </w:rPr>
      </w:pPr>
      <w:r>
        <w:rPr>
          <w:rFonts w:ascii="Calibri" w:cs="Calibri" w:eastAsia="Calibri" w:hAnsi="Calibri"/>
          <w:sz w:val="14"/>
          <w:szCs w:val="14"/>
          <w:color w:val="auto"/>
        </w:rPr>
        <w:t>(State or other jurisdicton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3"/>
          <w:szCs w:val="13"/>
          <w:color w:val="auto"/>
        </w:rPr>
        <w:t>(I.R.S. Employer</w:t>
      </w:r>
    </w:p>
    <w:p>
      <w:pPr>
        <w:spacing w:after="0" w:line="26" w:lineRule="exact"/>
        <w:rPr>
          <w:sz w:val="24"/>
          <w:szCs w:val="24"/>
          <w:color w:val="auto"/>
        </w:rPr>
      </w:pPr>
    </w:p>
    <w:p>
      <w:pPr>
        <w:sectPr>
          <w:pgSz w:w="11900" w:h="16838" w:orient="portrait"/>
          <w:cols w:equalWidth="0" w:num="2">
            <w:col w:w="7320" w:space="720"/>
            <w:col w:w="3200"/>
          </w:cols>
          <w:pgMar w:left="320" w:top="226" w:right="339" w:bottom="1440" w:gutter="0" w:footer="0" w:header="0"/>
          <w:type w:val="continuous"/>
        </w:sectPr>
      </w:pPr>
    </w:p>
    <w:p>
      <w:pPr>
        <w:ind w:left="1960"/>
        <w:spacing w:after="0"/>
        <w:rPr>
          <w:sz w:val="20"/>
          <w:szCs w:val="20"/>
          <w:color w:val="auto"/>
        </w:rPr>
      </w:pPr>
      <w:r>
        <w:rPr>
          <w:rFonts w:ascii="Calibri" w:cs="Calibri" w:eastAsia="Calibri" w:hAnsi="Calibri"/>
          <w:sz w:val="14"/>
          <w:szCs w:val="14"/>
          <w:color w:val="auto"/>
        </w:rPr>
        <w:t>incorporaton or organizaton)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Identfcaton No.)</w:t>
      </w:r>
    </w:p>
    <w:p>
      <w:pPr>
        <w:spacing w:after="0" w:line="161" w:lineRule="exact"/>
        <w:rPr>
          <w:sz w:val="24"/>
          <w:szCs w:val="24"/>
          <w:color w:val="auto"/>
        </w:rPr>
      </w:pPr>
    </w:p>
    <w:p>
      <w:pPr>
        <w:sectPr>
          <w:pgSz w:w="11900" w:h="16838" w:orient="portrait"/>
          <w:cols w:equalWidth="0" w:num="2">
            <w:col w:w="7260" w:space="720"/>
            <w:col w:w="3260"/>
          </w:cols>
          <w:pgMar w:left="320" w:top="226" w:right="339" w:bottom="1440" w:gutter="0" w:footer="0" w:header="0"/>
          <w:type w:val="continuous"/>
        </w:sectPr>
      </w:pPr>
    </w:p>
    <w:p>
      <w:pPr>
        <w:jc w:val="center"/>
        <w:ind w:right="-19"/>
        <w:spacing w:after="0"/>
        <w:rPr>
          <w:sz w:val="20"/>
          <w:szCs w:val="20"/>
          <w:color w:val="auto"/>
        </w:rPr>
      </w:pPr>
      <w:r>
        <w:rPr>
          <w:rFonts w:ascii="Calibri" w:cs="Calibri" w:eastAsia="Calibri" w:hAnsi="Calibri"/>
          <w:sz w:val="17"/>
          <w:szCs w:val="17"/>
          <w:b w:val="1"/>
          <w:bCs w:val="1"/>
          <w:color w:val="auto"/>
        </w:rPr>
        <w:t>One H&amp;R Block Way, Kansas City, Missouri 64105</w:t>
      </w:r>
    </w:p>
    <w:p>
      <w:pPr>
        <w:jc w:val="center"/>
        <w:spacing w:after="0" w:line="224" w:lineRule="auto"/>
        <w:rPr>
          <w:sz w:val="20"/>
          <w:szCs w:val="20"/>
          <w:color w:val="auto"/>
        </w:rPr>
      </w:pPr>
      <w:r>
        <w:rPr>
          <w:rFonts w:ascii="Calibri" w:cs="Calibri" w:eastAsia="Calibri" w:hAnsi="Calibri"/>
          <w:sz w:val="14"/>
          <w:szCs w:val="14"/>
          <w:color w:val="auto"/>
        </w:rPr>
        <w:t>(Address of principal executve ofces, including zip code)</w:t>
      </w:r>
    </w:p>
    <w:p>
      <w:pPr>
        <w:spacing w:after="0" w:line="58" w:lineRule="exact"/>
        <w:rPr>
          <w:sz w:val="24"/>
          <w:szCs w:val="24"/>
          <w:color w:val="auto"/>
        </w:rPr>
      </w:pPr>
    </w:p>
    <w:p>
      <w:pPr>
        <w:jc w:val="center"/>
        <w:ind w:right="-19"/>
        <w:spacing w:after="0"/>
        <w:rPr>
          <w:sz w:val="20"/>
          <w:szCs w:val="20"/>
          <w:color w:val="auto"/>
        </w:rPr>
      </w:pPr>
      <w:r>
        <w:rPr>
          <w:rFonts w:ascii="Calibri" w:cs="Calibri" w:eastAsia="Calibri" w:hAnsi="Calibri"/>
          <w:sz w:val="17"/>
          <w:szCs w:val="17"/>
          <w:b w:val="1"/>
          <w:bCs w:val="1"/>
          <w:color w:val="auto"/>
        </w:rPr>
        <w:t>(816) 854-3000</w:t>
      </w:r>
    </w:p>
    <w:p>
      <w:pPr>
        <w:jc w:val="center"/>
        <w:spacing w:after="0" w:line="224" w:lineRule="auto"/>
        <w:rPr>
          <w:sz w:val="20"/>
          <w:szCs w:val="20"/>
          <w:color w:val="auto"/>
        </w:rPr>
      </w:pPr>
      <w:r>
        <w:rPr>
          <w:rFonts w:ascii="Calibri" w:cs="Calibri" w:eastAsia="Calibri" w:hAnsi="Calibri"/>
          <w:sz w:val="14"/>
          <w:szCs w:val="14"/>
          <w:color w:val="auto"/>
        </w:rPr>
        <w:t>(Registrant's telephone number, including area code)</w:t>
      </w:r>
    </w:p>
    <w:p>
      <w:pPr>
        <w:spacing w:after="0" w:line="52" w:lineRule="exact"/>
        <w:rPr>
          <w:sz w:val="24"/>
          <w:szCs w:val="24"/>
          <w:color w:val="auto"/>
        </w:rPr>
      </w:pPr>
    </w:p>
    <w:p>
      <w:pPr>
        <w:jc w:val="center"/>
        <w:spacing w:after="0"/>
        <w:rPr>
          <w:sz w:val="20"/>
          <w:szCs w:val="20"/>
          <w:color w:val="auto"/>
        </w:rPr>
      </w:pPr>
      <w:r>
        <w:rPr>
          <w:rFonts w:ascii="Calibri" w:cs="Calibri" w:eastAsia="Calibri" w:hAnsi="Calibri"/>
          <w:sz w:val="15"/>
          <w:szCs w:val="15"/>
          <w:b w:val="1"/>
          <w:bCs w:val="1"/>
          <w:color w:val="auto"/>
        </w:rPr>
        <w:t>Securites registered pursuant to Secton 12(b) of the Act:</w:t>
      </w:r>
    </w:p>
    <w:p>
      <w:pPr>
        <w:sectPr>
          <w:pgSz w:w="11900" w:h="16838" w:orient="portrait"/>
          <w:cols w:equalWidth="0" w:num="1">
            <w:col w:w="11240"/>
          </w:cols>
          <w:pgMar w:left="320" w:top="226" w:right="339" w:bottom="1440" w:gutter="0" w:footer="0" w:header="0"/>
          <w:type w:val="continuous"/>
        </w:sectPr>
      </w:pPr>
    </w:p>
    <w:p>
      <w:pPr>
        <w:spacing w:after="0" w:line="117" w:lineRule="exact"/>
        <w:rPr>
          <w:sz w:val="24"/>
          <w:szCs w:val="24"/>
          <w:color w:val="auto"/>
        </w:rPr>
      </w:pPr>
    </w:p>
    <w:p>
      <w:pPr>
        <w:ind w:left="1840"/>
        <w:spacing w:after="0"/>
        <w:rPr>
          <w:sz w:val="20"/>
          <w:szCs w:val="20"/>
          <w:color w:val="auto"/>
        </w:rPr>
      </w:pPr>
      <w:r>
        <w:rPr>
          <w:rFonts w:ascii="Calibri" w:cs="Calibri" w:eastAsia="Calibri" w:hAnsi="Calibri"/>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Calibri" w:cs="Calibri" w:eastAsia="Calibri" w:hAnsi="Calibri"/>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Calibri" w:cs="Calibri" w:eastAsia="Calibri" w:hAnsi="Calibri"/>
          <w:sz w:val="13"/>
          <w:szCs w:val="13"/>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400" w:space="720"/>
            <w:col w:w="1820" w:space="720"/>
            <w:col w:w="3580"/>
          </w:cols>
          <w:pgMar w:left="320" w:top="226" w:right="339" w:bottom="1440" w:gutter="0" w:footer="0" w:header="0"/>
          <w:type w:val="continuous"/>
        </w:sectPr>
      </w:pPr>
    </w:p>
    <w:p>
      <w:pPr>
        <w:ind w:left="1260"/>
        <w:spacing w:after="0"/>
        <w:rPr>
          <w:sz w:val="20"/>
          <w:szCs w:val="20"/>
          <w:color w:val="auto"/>
        </w:rPr>
      </w:pPr>
      <w:r>
        <w:rPr>
          <w:rFonts w:ascii="Calibri" w:cs="Calibri" w:eastAsia="Calibri" w:hAnsi="Calibri"/>
          <w:sz w:val="15"/>
          <w:szCs w:val="15"/>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5"/>
          <w:szCs w:val="15"/>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5"/>
          <w:szCs w:val="15"/>
          <w:color w:val="auto"/>
        </w:rPr>
        <w:t>New York Stock Exchange</w:t>
      </w:r>
    </w:p>
    <w:p>
      <w:pPr>
        <w:spacing w:after="0" w:line="200" w:lineRule="exact"/>
        <w:rPr>
          <w:sz w:val="24"/>
          <w:szCs w:val="24"/>
          <w:color w:val="auto"/>
        </w:rPr>
      </w:pPr>
    </w:p>
    <w:p>
      <w:pPr>
        <w:sectPr>
          <w:pgSz w:w="11900" w:h="16838" w:orient="portrait"/>
          <w:cols w:equalWidth="0" w:num="3">
            <w:col w:w="4760" w:space="720"/>
            <w:col w:w="1920" w:space="720"/>
            <w:col w:w="3120"/>
          </w:cols>
          <w:pgMar w:left="320" w:top="226" w:right="339" w:bottom="1440" w:gutter="0" w:footer="0" w:header="0"/>
          <w:type w:val="continuous"/>
        </w:sectPr>
      </w:pPr>
    </w:p>
    <w:p>
      <w:pPr>
        <w:spacing w:after="0" w:line="4" w:lineRule="exact"/>
        <w:rPr>
          <w:sz w:val="24"/>
          <w:szCs w:val="24"/>
          <w:color w:val="auto"/>
        </w:rPr>
      </w:pPr>
    </w:p>
    <w:p>
      <w:pPr>
        <w:spacing w:after="0" w:line="238" w:lineRule="auto"/>
        <w:rPr>
          <w:sz w:val="20"/>
          <w:szCs w:val="20"/>
          <w:color w:val="auto"/>
        </w:rPr>
      </w:pPr>
      <w:r>
        <w:rPr>
          <w:rFonts w:ascii="Calibri" w:cs="Calibri" w:eastAsia="Calibri" w:hAnsi="Calibri"/>
          <w:sz w:val="15"/>
          <w:szCs w:val="15"/>
          <w:color w:val="auto"/>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w:t>
      </w:r>
    </w:p>
    <w:p>
      <w:pPr>
        <w:spacing w:after="0" w:line="23" w:lineRule="exact"/>
        <w:rPr>
          <w:sz w:val="24"/>
          <w:szCs w:val="24"/>
          <w:color w:val="auto"/>
        </w:rPr>
      </w:pPr>
    </w:p>
    <w:p>
      <w:pPr>
        <w:spacing w:after="0" w:line="208" w:lineRule="exact"/>
        <w:tabs>
          <w:tab w:leader="none" w:pos="540" w:val="left"/>
        </w:tabs>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line="252" w:lineRule="auto"/>
        <w:rPr>
          <w:sz w:val="20"/>
          <w:szCs w:val="20"/>
          <w:color w:val="auto"/>
        </w:rPr>
      </w:pPr>
      <w:r>
        <w:rPr>
          <w:rFonts w:ascii="Calibri" w:cs="Calibri" w:eastAsia="Calibri" w:hAnsi="Calibri"/>
          <w:sz w:val="15"/>
          <w:szCs w:val="15"/>
          <w:color w:val="auto"/>
        </w:rPr>
        <w:t>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w:t>
      </w:r>
    </w:p>
    <w:p>
      <w:pPr>
        <w:spacing w:after="0" w:line="1" w:lineRule="exact"/>
        <w:rPr>
          <w:sz w:val="24"/>
          <w:szCs w:val="24"/>
          <w:color w:val="auto"/>
        </w:rPr>
      </w:pPr>
    </w:p>
    <w:p>
      <w:pPr>
        <w:spacing w:after="0" w:line="208" w:lineRule="exact"/>
        <w:tabs>
          <w:tab w:leader="none" w:pos="540" w:val="left"/>
        </w:tabs>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line="254" w:lineRule="auto"/>
        <w:rPr>
          <w:sz w:val="20"/>
          <w:szCs w:val="20"/>
          <w:color w:val="auto"/>
        </w:rPr>
      </w:pPr>
      <w:r>
        <w:rPr>
          <w:rFonts w:ascii="Calibri" w:cs="Calibri" w:eastAsia="Calibri" w:hAnsi="Calibri"/>
          <w:sz w:val="15"/>
          <w:szCs w:val="15"/>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 (Check one)</w:t>
      </w:r>
    </w:p>
    <w:p>
      <w:pPr>
        <w:spacing w:after="0" w:line="50" w:lineRule="exact"/>
        <w:rPr>
          <w:sz w:val="24"/>
          <w:szCs w:val="24"/>
          <w:color w:val="auto"/>
        </w:rPr>
      </w:pPr>
    </w:p>
    <w:p>
      <w:pPr>
        <w:spacing w:after="0" w:line="208" w:lineRule="exact"/>
        <w:tabs>
          <w:tab w:leader="none" w:pos="1640" w:val="left"/>
          <w:tab w:leader="none" w:pos="3040" w:val="left"/>
          <w:tab w:leader="none" w:pos="4620" w:val="left"/>
          <w:tab w:leader="none" w:pos="6340" w:val="left"/>
        </w:tabs>
        <w:rPr>
          <w:sz w:val="20"/>
          <w:szCs w:val="20"/>
          <w:color w:val="auto"/>
        </w:rPr>
      </w:pPr>
      <w:r>
        <w:rPr>
          <w:rFonts w:ascii="Calibri" w:cs="Calibri" w:eastAsia="Calibri" w:hAnsi="Calibri"/>
          <w:sz w:val="13"/>
          <w:szCs w:val="13"/>
          <w:color w:val="auto"/>
        </w:rPr>
        <w:t xml:space="preserve">Large accelerated fler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3"/>
          <w:szCs w:val="13"/>
          <w:color w:val="auto"/>
        </w:rPr>
        <w:t xml:space="preserve">Accelerated fler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3"/>
          <w:szCs w:val="13"/>
          <w:color w:val="auto"/>
        </w:rPr>
        <w:t xml:space="preserve">Non-accelerated fler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3"/>
          <w:szCs w:val="13"/>
          <w:color w:val="auto"/>
        </w:rPr>
        <w:t xml:space="preserve">Smaller reportng company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2"/>
          <w:szCs w:val="12"/>
          <w:color w:val="auto"/>
        </w:rPr>
        <w:t xml:space="preserve">Emerging growth company </w:t>
      </w:r>
      <w:r>
        <w:rPr>
          <w:rFonts w:ascii="MS PGothic" w:cs="MS PGothic" w:eastAsia="MS PGothic" w:hAnsi="MS PGothic"/>
          <w:sz w:val="16"/>
          <w:szCs w:val="16"/>
          <w:color w:val="auto"/>
        </w:rPr>
        <w:t>☐</w:t>
      </w:r>
    </w:p>
    <w:p>
      <w:pPr>
        <w:spacing w:after="0" w:line="245" w:lineRule="exact"/>
        <w:rPr>
          <w:sz w:val="24"/>
          <w:szCs w:val="24"/>
          <w:color w:val="auto"/>
        </w:rPr>
      </w:pPr>
    </w:p>
    <w:p>
      <w:pPr>
        <w:spacing w:after="0" w:line="222" w:lineRule="exact"/>
        <w:rPr>
          <w:sz w:val="20"/>
          <w:szCs w:val="20"/>
          <w:color w:val="auto"/>
        </w:rPr>
      </w:pPr>
      <w:r>
        <w:rPr>
          <w:rFonts w:ascii="Calibri" w:cs="Calibri" w:eastAsia="Calibri" w:hAnsi="Calibri"/>
          <w:sz w:val="15"/>
          <w:szCs w:val="15"/>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60" w:lineRule="exact"/>
        <w:rPr>
          <w:sz w:val="24"/>
          <w:szCs w:val="24"/>
          <w:color w:val="auto"/>
        </w:rPr>
      </w:pPr>
    </w:p>
    <w:p>
      <w:pPr>
        <w:spacing w:after="0"/>
        <w:rPr>
          <w:sz w:val="20"/>
          <w:szCs w:val="20"/>
          <w:color w:val="auto"/>
        </w:rPr>
      </w:pPr>
      <w:r>
        <w:rPr>
          <w:rFonts w:ascii="Calibri" w:cs="Calibri" w:eastAsia="Calibri" w:hAnsi="Calibri"/>
          <w:sz w:val="15"/>
          <w:szCs w:val="15"/>
          <w:color w:val="auto"/>
        </w:rPr>
        <w:t>Indicate by check mark whether the registrant is a shell company (as defned in Rule 12b-2 of the Exchange Act).</w:t>
      </w:r>
    </w:p>
    <w:p>
      <w:pPr>
        <w:spacing w:after="0" w:line="9" w:lineRule="exact"/>
        <w:rPr>
          <w:sz w:val="24"/>
          <w:szCs w:val="24"/>
          <w:color w:val="auto"/>
        </w:rPr>
      </w:pPr>
    </w:p>
    <w:p>
      <w:pPr>
        <w:spacing w:after="0" w:line="208" w:lineRule="exact"/>
        <w:tabs>
          <w:tab w:leader="none" w:pos="540" w:val="left"/>
        </w:tabs>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rFonts w:ascii="Calibri" w:cs="Calibri" w:eastAsia="Calibri" w:hAnsi="Calibri"/>
          <w:sz w:val="15"/>
          <w:szCs w:val="15"/>
          <w:color w:val="auto"/>
        </w:rPr>
        <w:tab/>
        <w:t xml:space="preserve">No </w:t>
      </w:r>
      <w:r>
        <w:rPr>
          <w:rFonts w:ascii="MS PGothic" w:cs="MS PGothic" w:eastAsia="MS PGothic" w:hAnsi="MS PGothic"/>
          <w:sz w:val="17"/>
          <w:szCs w:val="17"/>
          <w:color w:val="auto"/>
        </w:rPr>
        <w:t>☑</w:t>
      </w:r>
    </w:p>
    <w:p>
      <w:pPr>
        <w:spacing w:after="0" w:line="154" w:lineRule="exact"/>
        <w:rPr>
          <w:sz w:val="24"/>
          <w:szCs w:val="24"/>
          <w:color w:val="auto"/>
        </w:rPr>
      </w:pPr>
    </w:p>
    <w:p>
      <w:pPr>
        <w:spacing w:after="0"/>
        <w:rPr>
          <w:sz w:val="20"/>
          <w:szCs w:val="20"/>
          <w:color w:val="auto"/>
        </w:rPr>
      </w:pPr>
      <w:r>
        <w:rPr>
          <w:rFonts w:ascii="Calibri" w:cs="Calibri" w:eastAsia="Calibri" w:hAnsi="Calibri"/>
          <w:sz w:val="15"/>
          <w:szCs w:val="15"/>
          <w:color w:val="auto"/>
        </w:rPr>
        <w:t>The number of shares outstanding of the registrant's Common Stock, without par value, at the close of business on April 30, 2024: 139,529,924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782320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90805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580"/>
        <w:spacing w:after="0"/>
        <w:rPr>
          <w:sz w:val="20"/>
          <w:szCs w:val="20"/>
          <w:color w:val="auto"/>
        </w:rPr>
      </w:pPr>
      <w:r>
        <w:rPr>
          <w:rFonts w:ascii="Calibri" w:cs="Calibri" w:eastAsia="Calibri" w:hAnsi="Calibri"/>
          <w:sz w:val="21"/>
          <w:szCs w:val="21"/>
          <w:b w:val="1"/>
          <w:bCs w:val="1"/>
          <w:color w:val="auto"/>
        </w:rPr>
        <w:t>Form 10-Q for the Period ended March 31, 2024</w:t>
      </w:r>
    </w:p>
    <w:p>
      <w:pPr>
        <w:spacing w:after="0" w:line="105" w:lineRule="exact"/>
        <w:rPr>
          <w:sz w:val="20"/>
          <w:szCs w:val="20"/>
          <w:color w:val="auto"/>
        </w:rPr>
      </w:pPr>
    </w:p>
    <w:p>
      <w:pPr>
        <w:ind w:left="4880"/>
        <w:spacing w:after="0"/>
        <w:rPr>
          <w:sz w:val="20"/>
          <w:szCs w:val="20"/>
          <w:color w:val="auto"/>
        </w:rPr>
      </w:pPr>
      <w:r>
        <w:rPr>
          <w:rFonts w:ascii="Calibri" w:cs="Calibri" w:eastAsia="Calibri" w:hAnsi="Calibri"/>
          <w:sz w:val="21"/>
          <w:szCs w:val="21"/>
          <w:b w:val="1"/>
          <w:bCs w:val="1"/>
          <w:color w:val="auto"/>
        </w:rPr>
        <w:t>Table of Contents</w:t>
      </w:r>
    </w:p>
    <w:p>
      <w:pPr>
        <w:spacing w:after="0" w:line="105" w:lineRule="exact"/>
        <w:rPr>
          <w:sz w:val="20"/>
          <w:szCs w:val="20"/>
          <w:color w:val="auto"/>
        </w:rPr>
      </w:pPr>
    </w:p>
    <w:p>
      <w:pPr>
        <w:ind w:left="5320"/>
        <w:spacing w:after="0"/>
        <w:rPr>
          <w:sz w:val="20"/>
          <w:szCs w:val="20"/>
          <w:color w:val="auto"/>
        </w:rPr>
      </w:pPr>
      <w:r>
        <w:rPr>
          <w:rFonts w:ascii="Calibri" w:cs="Calibri" w:eastAsia="Calibri" w:hAnsi="Calibri"/>
          <w:sz w:val="21"/>
          <w:szCs w:val="21"/>
          <w:b w:val="1"/>
          <w:bCs w:val="1"/>
          <w:color w:val="auto"/>
        </w:rPr>
        <w:t>PART I</w:t>
      </w:r>
    </w:p>
    <w:tbl>
      <w:tblPr>
        <w:tblLayout w:type="fixed"/>
        <w:tblInd w:w="0" w:type="dxa"/>
        <w:tblCellMar>
          <w:top w:w="0" w:type="dxa"/>
          <w:left w:w="0" w:type="dxa"/>
          <w:bottom w:w="0" w:type="dxa"/>
          <w:right w:w="0" w:type="dxa"/>
        </w:tblCellMar>
      </w:tblPr>
      <w:tr>
        <w:trPr>
          <w:trHeight w:val="221"/>
        </w:trPr>
        <w:tc>
          <w:tcPr>
            <w:tcW w:w="1160" w:type="dxa"/>
            <w:vAlign w:val="bottom"/>
            <w:gridSpan w:val="4"/>
            <w:shd w:val="clear" w:color="auto" w:fill="CCEEFF"/>
          </w:tcPr>
          <w:p>
            <w:pPr>
              <w:ind w:left="20"/>
              <w:spacing w:after="0" w:line="221" w:lineRule="exact"/>
              <w:rPr>
                <w:sz w:val="20"/>
                <w:szCs w:val="20"/>
                <w:color w:val="auto"/>
              </w:rPr>
            </w:pPr>
            <w:r>
              <w:rPr>
                <w:rFonts w:ascii="Calibri" w:cs="Calibri" w:eastAsia="Calibri" w:hAnsi="Calibri"/>
                <w:sz w:val="21"/>
                <w:szCs w:val="21"/>
                <w:color w:val="0000FF"/>
              </w:rPr>
              <w:t>Item 1.</w:t>
            </w:r>
          </w:p>
        </w:tc>
        <w:tc>
          <w:tcPr>
            <w:tcW w:w="7320" w:type="dxa"/>
            <w:vAlign w:val="bottom"/>
            <w:gridSpan w:val="22"/>
            <w:shd w:val="clear" w:color="auto" w:fill="CCEEFF"/>
          </w:tcPr>
          <w:p>
            <w:pPr>
              <w:spacing w:after="0" w:line="221" w:lineRule="exact"/>
              <w:rPr>
                <w:sz w:val="20"/>
                <w:szCs w:val="20"/>
                <w:color w:val="auto"/>
              </w:rPr>
            </w:pPr>
            <w:r>
              <w:rPr>
                <w:rFonts w:ascii="Calibri" w:cs="Calibri" w:eastAsia="Calibri" w:hAnsi="Calibri"/>
                <w:sz w:val="21"/>
                <w:szCs w:val="21"/>
                <w:color w:val="0000FF"/>
              </w:rPr>
              <w:t>Consolidated Statements of Operatons and Comprehensive Income</w:t>
            </w:r>
          </w:p>
        </w:tc>
        <w:tc>
          <w:tcPr>
            <w:tcW w:w="2260" w:type="dxa"/>
            <w:vAlign w:val="bottom"/>
            <w:gridSpan w:val="4"/>
            <w:shd w:val="clear" w:color="auto" w:fill="CCEEFF"/>
          </w:tcPr>
          <w:p>
            <w:pPr>
              <w:jc w:val="center"/>
              <w:ind w:left="1957"/>
              <w:spacing w:after="0" w:line="221" w:lineRule="exact"/>
              <w:rPr>
                <w:sz w:val="20"/>
                <w:szCs w:val="20"/>
                <w:color w:val="auto"/>
              </w:rPr>
            </w:pPr>
            <w:r>
              <w:rPr>
                <w:rFonts w:ascii="Calibri" w:cs="Calibri" w:eastAsia="Calibri" w:hAnsi="Calibri"/>
                <w:sz w:val="21"/>
                <w:szCs w:val="21"/>
                <w:color w:val="0000FF"/>
              </w:rPr>
              <w:t>1</w:t>
            </w:r>
          </w:p>
        </w:tc>
        <w:tc>
          <w:tcPr>
            <w:tcW w:w="500" w:type="dxa"/>
            <w:vAlign w:val="bottom"/>
            <w:shd w:val="clear" w:color="auto" w:fill="CCEEFF"/>
          </w:tcPr>
          <w:p>
            <w:pPr>
              <w:spacing w:after="0"/>
              <w:rPr>
                <w:sz w:val="19"/>
                <w:szCs w:val="19"/>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5560" w:type="dxa"/>
            <w:vAlign w:val="bottom"/>
            <w:tcBorders>
              <w:top w:val="single" w:sz="8" w:color="0000FF"/>
            </w:tcBorders>
            <w:gridSpan w:val="20"/>
            <w:shd w:val="clear" w:color="auto" w:fill="CCEEFF"/>
          </w:tcPr>
          <w:p>
            <w:pPr>
              <w:spacing w:after="0" w:line="187" w:lineRule="exact"/>
              <w:rPr>
                <w:sz w:val="20"/>
                <w:szCs w:val="20"/>
                <w:color w:val="auto"/>
              </w:rPr>
            </w:pPr>
            <w:r>
              <w:rPr>
                <w:rFonts w:ascii="Calibri" w:cs="Calibri" w:eastAsia="Calibri" w:hAnsi="Calibri"/>
                <w:sz w:val="20"/>
                <w:szCs w:val="20"/>
                <w:color w:val="0000FF"/>
              </w:rPr>
              <w:t>Three and nine months ended March 31, 2024 and 2023</w:t>
            </w:r>
          </w:p>
        </w:tc>
        <w:tc>
          <w:tcPr>
            <w:tcW w:w="16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Consolidated Balance Sheets</w:t>
            </w:r>
          </w:p>
        </w:tc>
        <w:tc>
          <w:tcPr>
            <w:tcW w:w="2260" w:type="dxa"/>
            <w:vAlign w:val="bottom"/>
            <w:gridSpan w:val="4"/>
          </w:tcPr>
          <w:p>
            <w:pPr>
              <w:jc w:val="center"/>
              <w:ind w:left="1957"/>
              <w:spacing w:after="0" w:line="194" w:lineRule="exact"/>
              <w:rPr>
                <w:sz w:val="20"/>
                <w:szCs w:val="20"/>
                <w:color w:val="auto"/>
              </w:rPr>
            </w:pPr>
            <w:r>
              <w:rPr>
                <w:rFonts w:ascii="Calibri" w:cs="Calibri" w:eastAsia="Calibri" w:hAnsi="Calibri"/>
                <w:sz w:val="21"/>
                <w:szCs w:val="21"/>
                <w:color w:val="0000FF"/>
              </w:rPr>
              <w:t>2</w:t>
            </w:r>
          </w:p>
        </w:tc>
        <w:tc>
          <w:tcPr>
            <w:tcW w:w="5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20" w:type="dxa"/>
            <w:vAlign w:val="bottom"/>
            <w:tcBorders>
              <w:top w:val="single" w:sz="8" w:color="0000FF"/>
            </w:tcBorders>
            <w:gridSpan w:val="8"/>
          </w:tcPr>
          <w:p>
            <w:pPr>
              <w:spacing w:after="0" w:line="187" w:lineRule="exact"/>
              <w:rPr>
                <w:sz w:val="20"/>
                <w:szCs w:val="20"/>
                <w:color w:val="auto"/>
              </w:rPr>
            </w:pPr>
            <w:r>
              <w:rPr>
                <w:rFonts w:ascii="Calibri" w:cs="Calibri" w:eastAsia="Calibri" w:hAnsi="Calibri"/>
                <w:sz w:val="20"/>
                <w:szCs w:val="20"/>
                <w:color w:val="0000FF"/>
              </w:rPr>
              <w:t>As of March 31, 2024 and</w:t>
            </w:r>
          </w:p>
        </w:tc>
        <w:tc>
          <w:tcPr>
            <w:tcW w:w="4920" w:type="dxa"/>
            <w:vAlign w:val="bottom"/>
            <w:gridSpan w:val="12"/>
          </w:tcPr>
          <w:p>
            <w:pPr>
              <w:spacing w:after="0" w:line="187" w:lineRule="exact"/>
              <w:rPr>
                <w:sz w:val="20"/>
                <w:szCs w:val="20"/>
                <w:color w:val="auto"/>
              </w:rPr>
            </w:pPr>
            <w:r>
              <w:rPr>
                <w:rFonts w:ascii="Calibri" w:cs="Calibri" w:eastAsia="Calibri" w:hAnsi="Calibri"/>
                <w:sz w:val="20"/>
                <w:szCs w:val="20"/>
                <w:color w:val="0000FF"/>
              </w:rPr>
              <w:t>June 30, 2023</w:t>
            </w: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44"/>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Consolidated Statements of Cash Flows</w:t>
            </w:r>
          </w:p>
        </w:tc>
        <w:tc>
          <w:tcPr>
            <w:tcW w:w="2260" w:type="dxa"/>
            <w:vAlign w:val="bottom"/>
            <w:gridSpan w:val="4"/>
            <w:shd w:val="clear" w:color="auto" w:fill="CCEEFF"/>
          </w:tcPr>
          <w:p>
            <w:pPr>
              <w:jc w:val="center"/>
              <w:ind w:left="1957"/>
              <w:spacing w:after="0" w:line="194" w:lineRule="exact"/>
              <w:rPr>
                <w:sz w:val="20"/>
                <w:szCs w:val="20"/>
                <w:color w:val="auto"/>
              </w:rPr>
            </w:pPr>
            <w:r>
              <w:rPr>
                <w:rFonts w:ascii="Calibri" w:cs="Calibri" w:eastAsia="Calibri" w:hAnsi="Calibri"/>
                <w:sz w:val="21"/>
                <w:szCs w:val="21"/>
                <w:color w:val="0000FF"/>
              </w:rPr>
              <w:t>3</w:t>
            </w:r>
          </w:p>
        </w:tc>
        <w:tc>
          <w:tcPr>
            <w:tcW w:w="500" w:type="dxa"/>
            <w:vAlign w:val="bottom"/>
            <w:shd w:val="clear" w:color="auto" w:fill="CCEEFF"/>
          </w:tcPr>
          <w:p>
            <w:pPr>
              <w:spacing w:after="0"/>
              <w:rPr>
                <w:sz w:val="16"/>
                <w:szCs w:val="16"/>
                <w:color w:val="auto"/>
              </w:rPr>
            </w:pPr>
          </w:p>
        </w:tc>
      </w:tr>
      <w:tr>
        <w:trPr>
          <w:trHeight w:val="23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3100" w:type="dxa"/>
            <w:vAlign w:val="bottom"/>
            <w:tcBorders>
              <w:top w:val="single" w:sz="8" w:color="0000FF"/>
              <w:bottom w:val="single" w:sz="8" w:color="0000FF"/>
            </w:tcBorders>
            <w:gridSpan w:val="10"/>
            <w:shd w:val="clear" w:color="auto" w:fill="CCEEFF"/>
          </w:tcPr>
          <w:p>
            <w:pPr>
              <w:spacing w:after="0" w:line="187" w:lineRule="exact"/>
              <w:rPr>
                <w:sz w:val="20"/>
                <w:szCs w:val="20"/>
                <w:color w:val="auto"/>
              </w:rPr>
            </w:pPr>
            <w:r>
              <w:rPr>
                <w:rFonts w:ascii="Calibri" w:cs="Calibri" w:eastAsia="Calibri" w:hAnsi="Calibri"/>
                <w:sz w:val="20"/>
                <w:szCs w:val="20"/>
                <w:color w:val="0000FF"/>
              </w:rPr>
              <w:t>Nine months ended March 31, 2024</w:t>
            </w:r>
          </w:p>
        </w:tc>
        <w:tc>
          <w:tcPr>
            <w:tcW w:w="740" w:type="dxa"/>
            <w:vAlign w:val="bottom"/>
            <w:tcBorders>
              <w:top w:val="single" w:sz="8" w:color="CCEEFF"/>
              <w:bottom w:val="single" w:sz="8" w:color="0000FF"/>
            </w:tcBorders>
            <w:gridSpan w:val="3"/>
            <w:shd w:val="clear" w:color="auto" w:fill="CCEEFF"/>
          </w:tcPr>
          <w:p>
            <w:pPr>
              <w:spacing w:after="0" w:line="187" w:lineRule="exact"/>
              <w:rPr>
                <w:sz w:val="20"/>
                <w:szCs w:val="20"/>
                <w:color w:val="auto"/>
              </w:rPr>
            </w:pPr>
            <w:r>
              <w:rPr>
                <w:rFonts w:ascii="Calibri" w:cs="Calibri" w:eastAsia="Calibri" w:hAnsi="Calibri"/>
                <w:sz w:val="20"/>
                <w:szCs w:val="20"/>
                <w:color w:val="0000FF"/>
                <w:w w:val="95"/>
              </w:rPr>
              <w:t>and 2023</w:t>
            </w:r>
          </w:p>
        </w:tc>
        <w:tc>
          <w:tcPr>
            <w:tcW w:w="3300" w:type="dxa"/>
            <w:vAlign w:val="bottom"/>
            <w:tcBorders>
              <w:top w:val="single" w:sz="8" w:color="CCEEFF"/>
              <w:bottom w:val="single" w:sz="8" w:color="CCEEFF"/>
            </w:tcBorders>
            <w:gridSpan w:val="7"/>
            <w:shd w:val="clear" w:color="auto" w:fill="CCEEFF"/>
          </w:tcPr>
          <w:p>
            <w:pPr>
              <w:spacing w:after="0"/>
              <w:rPr>
                <w:sz w:val="20"/>
                <w:szCs w:val="20"/>
                <w:color w:val="auto"/>
              </w:rPr>
            </w:pPr>
          </w:p>
        </w:tc>
        <w:tc>
          <w:tcPr>
            <w:tcW w:w="20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Consolidated Statements of Stockholders' Equity</w:t>
            </w:r>
          </w:p>
        </w:tc>
        <w:tc>
          <w:tcPr>
            <w:tcW w:w="2260" w:type="dxa"/>
            <w:vAlign w:val="bottom"/>
            <w:gridSpan w:val="4"/>
          </w:tcPr>
          <w:p>
            <w:pPr>
              <w:jc w:val="center"/>
              <w:ind w:left="1957"/>
              <w:spacing w:after="0" w:line="194" w:lineRule="exact"/>
              <w:rPr>
                <w:sz w:val="20"/>
                <w:szCs w:val="20"/>
                <w:color w:val="auto"/>
              </w:rPr>
            </w:pPr>
            <w:r>
              <w:rPr>
                <w:rFonts w:ascii="Calibri" w:cs="Calibri" w:eastAsia="Calibri" w:hAnsi="Calibri"/>
                <w:sz w:val="21"/>
                <w:szCs w:val="21"/>
                <w:color w:val="0000FF"/>
              </w:rPr>
              <w:t>4</w:t>
            </w:r>
          </w:p>
        </w:tc>
        <w:tc>
          <w:tcPr>
            <w:tcW w:w="50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940" w:type="dxa"/>
            <w:vAlign w:val="bottom"/>
            <w:tcBorders>
              <w:top w:val="single" w:sz="8" w:color="0000FF"/>
            </w:tcBorders>
            <w:gridSpan w:val="15"/>
          </w:tcPr>
          <w:p>
            <w:pPr>
              <w:ind w:left="80"/>
              <w:spacing w:after="0" w:line="166" w:lineRule="exact"/>
              <w:rPr>
                <w:sz w:val="20"/>
                <w:szCs w:val="20"/>
                <w:color w:val="auto"/>
              </w:rPr>
            </w:pPr>
            <w:r>
              <w:rPr>
                <w:rFonts w:ascii="Calibri" w:cs="Calibri" w:eastAsia="Calibri" w:hAnsi="Calibri"/>
                <w:sz w:val="18"/>
                <w:szCs w:val="18"/>
                <w:color w:val="0000FF"/>
              </w:rPr>
              <w:t>Three and nine months ended March 31, 2024</w:t>
            </w:r>
          </w:p>
        </w:tc>
        <w:tc>
          <w:tcPr>
            <w:tcW w:w="3280" w:type="dxa"/>
            <w:vAlign w:val="bottom"/>
            <w:gridSpan w:val="6"/>
          </w:tcPr>
          <w:p>
            <w:pPr>
              <w:ind w:left="60"/>
              <w:spacing w:after="0" w:line="166" w:lineRule="exact"/>
              <w:rPr>
                <w:sz w:val="20"/>
                <w:szCs w:val="20"/>
                <w:color w:val="auto"/>
              </w:rPr>
            </w:pPr>
            <w:r>
              <w:rPr>
                <w:rFonts w:ascii="Calibri" w:cs="Calibri" w:eastAsia="Calibri" w:hAnsi="Calibri"/>
                <w:sz w:val="18"/>
                <w:szCs w:val="18"/>
                <w:color w:val="0000FF"/>
              </w:rPr>
              <w:t>and 2023</w:t>
            </w: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4"/>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0000FF"/>
            </w:tcBorders>
            <w:gridSpan w:val="14"/>
            <w:shd w:val="clear" w:color="auto" w:fill="CCEEFF"/>
          </w:tcPr>
          <w:p>
            <w:pPr>
              <w:spacing w:after="0" w:line="194" w:lineRule="exact"/>
              <w:rPr>
                <w:sz w:val="20"/>
                <w:szCs w:val="20"/>
                <w:color w:val="auto"/>
              </w:rPr>
            </w:pPr>
            <w:r>
              <w:rPr>
                <w:rFonts w:ascii="Calibri" w:cs="Calibri" w:eastAsia="Calibri" w:hAnsi="Calibri"/>
                <w:sz w:val="21"/>
                <w:szCs w:val="21"/>
                <w:color w:val="0000FF"/>
                <w:w w:val="97"/>
              </w:rPr>
              <w:t>Notes to Consolidated Financial Statements</w:t>
            </w:r>
          </w:p>
        </w:tc>
        <w:tc>
          <w:tcPr>
            <w:tcW w:w="3680" w:type="dxa"/>
            <w:vAlign w:val="bottom"/>
            <w:tcBorders>
              <w:bottom w:val="single" w:sz="8" w:color="CCEEFF"/>
            </w:tcBorders>
            <w:gridSpan w:val="8"/>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0000FF"/>
            </w:tcBorders>
            <w:shd w:val="clear" w:color="auto" w:fill="CCEEFF"/>
          </w:tcPr>
          <w:p>
            <w:pPr>
              <w:jc w:val="center"/>
              <w:spacing w:after="0" w:line="194" w:lineRule="exact"/>
              <w:rPr>
                <w:sz w:val="20"/>
                <w:szCs w:val="20"/>
                <w:color w:val="auto"/>
              </w:rPr>
            </w:pPr>
            <w:r>
              <w:rPr>
                <w:rFonts w:ascii="Calibri" w:cs="Calibri" w:eastAsia="Calibri" w:hAnsi="Calibri"/>
                <w:sz w:val="21"/>
                <w:szCs w:val="21"/>
                <w:color w:val="0000FF"/>
              </w:rPr>
              <w:t>6</w:t>
            </w: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193"/>
        </w:trPr>
        <w:tc>
          <w:tcPr>
            <w:tcW w:w="1160" w:type="dxa"/>
            <w:vAlign w:val="bottom"/>
            <w:gridSpan w:val="4"/>
          </w:tcPr>
          <w:p>
            <w:pPr>
              <w:ind w:left="20"/>
              <w:spacing w:after="0" w:line="194" w:lineRule="exact"/>
              <w:rPr>
                <w:sz w:val="20"/>
                <w:szCs w:val="20"/>
                <w:color w:val="auto"/>
              </w:rPr>
            </w:pPr>
            <w:r>
              <w:rPr>
                <w:rFonts w:ascii="Calibri" w:cs="Calibri" w:eastAsia="Calibri" w:hAnsi="Calibri"/>
                <w:sz w:val="21"/>
                <w:szCs w:val="21"/>
                <w:color w:val="0000FF"/>
              </w:rPr>
              <w:t>Item 2.</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w w:val="99"/>
              </w:rPr>
              <w:t>Management's Discussion and Analysis of Financial Conditon and Results of Operatons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15</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1660" w:type="dxa"/>
            <w:vAlign w:val="bottom"/>
            <w:tcBorders>
              <w:top w:val="single" w:sz="8" w:color="0000FF"/>
            </w:tcBorders>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spacing w:after="0" w:line="194" w:lineRule="exact"/>
              <w:rPr>
                <w:sz w:val="20"/>
                <w:szCs w:val="20"/>
                <w:color w:val="auto"/>
              </w:rPr>
            </w:pPr>
            <w:r>
              <w:rPr>
                <w:rFonts w:ascii="Calibri" w:cs="Calibri" w:eastAsia="Calibri" w:hAnsi="Calibri"/>
                <w:sz w:val="21"/>
                <w:szCs w:val="21"/>
                <w:color w:val="0000FF"/>
              </w:rPr>
              <w:t>Item 3.</w:t>
            </w: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Quanttatve and Qualitatve Disclosures About Market Risk</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25</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Calibri" w:cs="Calibri" w:eastAsia="Calibri" w:hAnsi="Calibri"/>
                <w:sz w:val="21"/>
                <w:szCs w:val="21"/>
                <w:color w:val="0000FF"/>
              </w:rPr>
              <w:t>Item 4.</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Controls and Procedures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25</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258"/>
        </w:trPr>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80" w:type="dxa"/>
            <w:vAlign w:val="bottom"/>
            <w:gridSpan w:val="6"/>
            <w:shd w:val="clear" w:color="auto" w:fill="CCEEFF"/>
          </w:tcPr>
          <w:p>
            <w:pPr>
              <w:ind w:left="80"/>
              <w:spacing w:after="0" w:line="245" w:lineRule="exact"/>
              <w:rPr>
                <w:sz w:val="20"/>
                <w:szCs w:val="20"/>
                <w:color w:val="auto"/>
              </w:rPr>
            </w:pPr>
            <w:r>
              <w:rPr>
                <w:rFonts w:ascii="Calibri" w:cs="Calibri" w:eastAsia="Calibri" w:hAnsi="Calibri"/>
                <w:sz w:val="21"/>
                <w:szCs w:val="21"/>
                <w:b w:val="1"/>
                <w:bCs w:val="1"/>
                <w:color w:val="auto"/>
              </w:rPr>
              <w:t>PART II</w:t>
            </w:r>
          </w:p>
        </w:tc>
        <w:tc>
          <w:tcPr>
            <w:tcW w:w="20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193"/>
        </w:trPr>
        <w:tc>
          <w:tcPr>
            <w:tcW w:w="1160" w:type="dxa"/>
            <w:vAlign w:val="bottom"/>
            <w:gridSpan w:val="4"/>
          </w:tcPr>
          <w:p>
            <w:pPr>
              <w:ind w:left="20"/>
              <w:spacing w:after="0" w:line="194" w:lineRule="exact"/>
              <w:rPr>
                <w:sz w:val="20"/>
                <w:szCs w:val="20"/>
                <w:color w:val="auto"/>
              </w:rPr>
            </w:pPr>
            <w:r>
              <w:rPr>
                <w:rFonts w:ascii="Calibri" w:cs="Calibri" w:eastAsia="Calibri" w:hAnsi="Calibri"/>
                <w:sz w:val="21"/>
                <w:szCs w:val="21"/>
                <w:color w:val="0000FF"/>
              </w:rPr>
              <w:t>Item 1.</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Legal Proceedings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spacing w:after="0" w:line="194" w:lineRule="exact"/>
              <w:rPr>
                <w:sz w:val="20"/>
                <w:szCs w:val="20"/>
                <w:color w:val="auto"/>
              </w:rPr>
            </w:pPr>
            <w:r>
              <w:rPr>
                <w:rFonts w:ascii="Calibri" w:cs="Calibri" w:eastAsia="Calibri" w:hAnsi="Calibri"/>
                <w:sz w:val="21"/>
                <w:szCs w:val="21"/>
                <w:color w:val="0000FF"/>
                <w:w w:val="96"/>
              </w:rPr>
              <w:t>Item 1A.</w:t>
            </w:r>
          </w:p>
        </w:tc>
        <w:tc>
          <w:tcPr>
            <w:tcW w:w="42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line="194" w:lineRule="exact"/>
              <w:rPr>
                <w:sz w:val="20"/>
                <w:szCs w:val="20"/>
                <w:color w:val="auto"/>
              </w:rPr>
            </w:pPr>
            <w:r>
              <w:rPr>
                <w:rFonts w:ascii="Calibri" w:cs="Calibri" w:eastAsia="Calibri" w:hAnsi="Calibri"/>
                <w:sz w:val="21"/>
                <w:szCs w:val="21"/>
                <w:color w:val="0000FF"/>
                <w:w w:val="95"/>
              </w:rPr>
              <w:t>Risk Factors</w:t>
            </w:r>
          </w:p>
        </w:tc>
        <w:tc>
          <w:tcPr>
            <w:tcW w:w="6340" w:type="dxa"/>
            <w:vAlign w:val="bottom"/>
            <w:gridSpan w:val="17"/>
            <w:shd w:val="clear" w:color="auto" w:fill="CCEEFF"/>
          </w:tcPr>
          <w:p>
            <w:pPr>
              <w:spacing w:after="0"/>
              <w:rPr>
                <w:sz w:val="16"/>
                <w:szCs w:val="16"/>
                <w:color w:val="auto"/>
              </w:rPr>
            </w:pP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720" w:type="dxa"/>
            <w:vAlign w:val="bottom"/>
            <w:gridSpan w:val="2"/>
          </w:tcPr>
          <w:p>
            <w:pPr>
              <w:spacing w:after="0" w:line="194" w:lineRule="exact"/>
              <w:rPr>
                <w:sz w:val="20"/>
                <w:szCs w:val="20"/>
                <w:color w:val="auto"/>
              </w:rPr>
            </w:pPr>
            <w:r>
              <w:rPr>
                <w:rFonts w:ascii="Calibri" w:cs="Calibri" w:eastAsia="Calibri" w:hAnsi="Calibri"/>
                <w:sz w:val="21"/>
                <w:szCs w:val="21"/>
                <w:color w:val="0000FF"/>
              </w:rPr>
              <w:t>Item 2.</w:t>
            </w:r>
          </w:p>
        </w:tc>
        <w:tc>
          <w:tcPr>
            <w:tcW w:w="420" w:type="dxa"/>
            <w:vAlign w:val="bottom"/>
          </w:tcPr>
          <w:p>
            <w:pPr>
              <w:spacing w:after="0"/>
              <w:rPr>
                <w:sz w:val="16"/>
                <w:szCs w:val="16"/>
                <w:color w:val="auto"/>
              </w:rPr>
            </w:pP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Unregistered Sales of Equity Securites and Use of Proceeds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spacing w:after="0" w:line="194" w:lineRule="exact"/>
              <w:rPr>
                <w:sz w:val="20"/>
                <w:szCs w:val="20"/>
                <w:color w:val="auto"/>
              </w:rPr>
            </w:pPr>
            <w:r>
              <w:rPr>
                <w:rFonts w:ascii="Calibri" w:cs="Calibri" w:eastAsia="Calibri" w:hAnsi="Calibri"/>
                <w:sz w:val="21"/>
                <w:szCs w:val="21"/>
                <w:color w:val="0000FF"/>
              </w:rPr>
              <w:t>Item 3.</w:t>
            </w: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Defaults Upon Senior Securites</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Calibri" w:cs="Calibri" w:eastAsia="Calibri" w:hAnsi="Calibri"/>
                <w:sz w:val="21"/>
                <w:szCs w:val="21"/>
                <w:color w:val="0000FF"/>
              </w:rPr>
              <w:t>Item 4.</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Mine Safety Disclosures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spacing w:after="0" w:line="194" w:lineRule="exact"/>
              <w:rPr>
                <w:sz w:val="20"/>
                <w:szCs w:val="20"/>
                <w:color w:val="auto"/>
              </w:rPr>
            </w:pPr>
            <w:r>
              <w:rPr>
                <w:rFonts w:ascii="Calibri" w:cs="Calibri" w:eastAsia="Calibri" w:hAnsi="Calibri"/>
                <w:sz w:val="21"/>
                <w:szCs w:val="21"/>
                <w:color w:val="0000FF"/>
              </w:rPr>
              <w:t>Item 5.</w:t>
            </w: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Other Informaton</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Calibri" w:cs="Calibri" w:eastAsia="Calibri" w:hAnsi="Calibri"/>
                <w:sz w:val="21"/>
                <w:szCs w:val="21"/>
                <w:color w:val="0000FF"/>
              </w:rPr>
              <w:t>Item 6.</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Exhibits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27</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238"/>
        </w:trPr>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Signatures</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28</w:t>
            </w:r>
          </w:p>
        </w:tc>
      </w:tr>
      <w:tr>
        <w:trPr>
          <w:trHeight w:val="1772"/>
        </w:trPr>
        <w:tc>
          <w:tcPr>
            <w:tcW w:w="2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1660" w:type="dxa"/>
            <w:vAlign w:val="bottom"/>
            <w:tcBorders>
              <w:top w:val="single" w:sz="8" w:color="CCEEFF"/>
              <w:bottom w:val="single" w:sz="8" w:color="9A9A9A"/>
            </w:tcBorders>
          </w:tcPr>
          <w:p>
            <w:pPr>
              <w:spacing w:after="0"/>
              <w:rPr>
                <w:sz w:val="24"/>
                <w:szCs w:val="24"/>
                <w:color w:val="auto"/>
              </w:rPr>
            </w:pPr>
          </w:p>
        </w:tc>
        <w:tc>
          <w:tcPr>
            <w:tcW w:w="20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60" w:type="dxa"/>
            <w:vAlign w:val="bottom"/>
          </w:tcPr>
          <w:p>
            <w:pPr>
              <w:spacing w:after="0"/>
              <w:rPr>
                <w:sz w:val="20"/>
                <w:szCs w:val="20"/>
                <w:color w:val="auto"/>
              </w:rPr>
            </w:pPr>
            <w:r>
              <w:rPr>
                <w:rFonts w:ascii="Calibri" w:cs="Calibri" w:eastAsia="Calibri" w:hAnsi="Calibri"/>
                <w:sz w:val="24"/>
                <w:szCs w:val="24"/>
                <w:b w:val="1"/>
                <w:bCs w:val="1"/>
                <w:color w:val="14AA40"/>
              </w:rPr>
              <w:t>PART I</w:t>
            </w:r>
          </w:p>
        </w:tc>
        <w:tc>
          <w:tcPr>
            <w:tcW w:w="3980" w:type="dxa"/>
            <w:vAlign w:val="bottom"/>
          </w:tcPr>
          <w:p>
            <w:pPr>
              <w:spacing w:after="0"/>
              <w:rPr>
                <w:sz w:val="20"/>
                <w:szCs w:val="20"/>
                <w:color w:val="auto"/>
              </w:rPr>
            </w:pPr>
            <w:r>
              <w:rPr>
                <w:rFonts w:ascii="Calibri" w:cs="Calibri" w:eastAsia="Calibri" w:hAnsi="Calibri"/>
                <w:sz w:val="24"/>
                <w:szCs w:val="24"/>
                <w:b w:val="1"/>
                <w:bCs w:val="1"/>
                <w:color w:val="14AA40"/>
              </w:rPr>
              <w:t>FINANCIAL INFORMATION</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60" w:type="dxa"/>
            <w:vAlign w:val="bottom"/>
          </w:tcPr>
          <w:p>
            <w:pPr>
              <w:spacing w:after="0"/>
              <w:rPr>
                <w:sz w:val="20"/>
                <w:szCs w:val="20"/>
                <w:color w:val="auto"/>
              </w:rPr>
            </w:pPr>
            <w:r>
              <w:rPr>
                <w:rFonts w:ascii="Calibri" w:cs="Calibri" w:eastAsia="Calibri" w:hAnsi="Calibri"/>
                <w:sz w:val="24"/>
                <w:szCs w:val="24"/>
                <w:b w:val="1"/>
                <w:bCs w:val="1"/>
                <w:color w:val="14AA40"/>
              </w:rPr>
              <w:t>ITEM 1.</w:t>
            </w:r>
          </w:p>
        </w:tc>
        <w:tc>
          <w:tcPr>
            <w:tcW w:w="3980" w:type="dxa"/>
            <w:vAlign w:val="bottom"/>
          </w:tcPr>
          <w:p>
            <w:pPr>
              <w:ind w:left="120"/>
              <w:spacing w:after="0"/>
              <w:rPr>
                <w:sz w:val="20"/>
                <w:szCs w:val="20"/>
                <w:color w:val="auto"/>
              </w:rPr>
            </w:pPr>
            <w:r>
              <w:rPr>
                <w:rFonts w:ascii="Calibri" w:cs="Calibri" w:eastAsia="Calibri" w:hAnsi="Calibri"/>
                <w:sz w:val="24"/>
                <w:szCs w:val="24"/>
                <w:b w:val="1"/>
                <w:bCs w:val="1"/>
                <w:color w:val="14AA40"/>
              </w:rPr>
              <w:t>FINANCIAL STATEMENTS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6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0" w:type="dxa"/>
            <w:vAlign w:val="bottom"/>
            <w:gridSpan w:val="8"/>
            <w:vMerge w:val="restart"/>
          </w:tcPr>
          <w:p>
            <w:pPr>
              <w:ind w:left="20"/>
              <w:spacing w:after="0" w:line="281" w:lineRule="exact"/>
              <w:rPr>
                <w:sz w:val="20"/>
                <w:szCs w:val="20"/>
                <w:color w:val="auto"/>
              </w:rPr>
            </w:pPr>
            <w:r>
              <w:rPr>
                <w:rFonts w:ascii="Calibri" w:cs="Calibri" w:eastAsia="Calibri" w:hAnsi="Calibri"/>
                <w:sz w:val="24"/>
                <w:szCs w:val="24"/>
                <w:b w:val="1"/>
                <w:bCs w:val="1"/>
                <w:color w:val="auto"/>
              </w:rPr>
              <w:t>CONSOLIDATED STATEMENTS OF OPERATIONS AND COMPREHENSIVE INCOME:</w:t>
            </w: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60" w:type="dxa"/>
            <w:vAlign w:val="bottom"/>
            <w:gridSpan w:val="3"/>
          </w:tcPr>
          <w:p>
            <w:pPr>
              <w:jc w:val="right"/>
              <w:spacing w:after="0" w:line="109" w:lineRule="exact"/>
              <w:rPr>
                <w:sz w:val="20"/>
                <w:szCs w:val="20"/>
                <w:color w:val="auto"/>
              </w:rPr>
            </w:pPr>
            <w:r>
              <w:rPr>
                <w:rFonts w:ascii="Calibri" w:cs="Calibri" w:eastAsia="Calibri" w:hAnsi="Calibri"/>
                <w:sz w:val="11"/>
                <w:szCs w:val="11"/>
                <w:color w:val="auto"/>
              </w:rPr>
              <w:t>(unaudited, in 000s, except</w:t>
            </w:r>
          </w:p>
        </w:tc>
        <w:tc>
          <w:tcPr>
            <w:tcW w:w="0" w:type="dxa"/>
            <w:vAlign w:val="bottom"/>
          </w:tcPr>
          <w:p>
            <w:pPr>
              <w:spacing w:after="0"/>
              <w:rPr>
                <w:sz w:val="1"/>
                <w:szCs w:val="1"/>
                <w:color w:val="auto"/>
              </w:rPr>
            </w:pPr>
          </w:p>
        </w:tc>
      </w:tr>
      <w:tr>
        <w:trPr>
          <w:trHeight w:val="172"/>
        </w:trPr>
        <w:tc>
          <w:tcPr>
            <w:tcW w:w="8200" w:type="dxa"/>
            <w:vAlign w:val="bottom"/>
            <w:gridSpan w:val="8"/>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line="164" w:lineRule="exact"/>
              <w:rPr>
                <w:sz w:val="20"/>
                <w:szCs w:val="20"/>
                <w:color w:val="auto"/>
              </w:rPr>
            </w:pPr>
            <w:r>
              <w:rPr>
                <w:rFonts w:ascii="Calibri" w:cs="Calibri" w:eastAsia="Calibri" w:hAnsi="Calibri"/>
                <w:sz w:val="14"/>
                <w:szCs w:val="14"/>
                <w:color w:val="auto"/>
              </w:rPr>
              <w:t>per share amounts)</w:t>
            </w:r>
          </w:p>
        </w:tc>
        <w:tc>
          <w:tcPr>
            <w:tcW w:w="0" w:type="dxa"/>
            <w:vAlign w:val="bottom"/>
          </w:tcPr>
          <w:p>
            <w:pPr>
              <w:spacing w:after="0"/>
              <w:rPr>
                <w:sz w:val="1"/>
                <w:szCs w:val="1"/>
                <w:color w:val="auto"/>
              </w:rPr>
            </w:pPr>
          </w:p>
        </w:tc>
      </w:tr>
      <w:tr>
        <w:trPr>
          <w:trHeight w:val="34"/>
        </w:trPr>
        <w:tc>
          <w:tcPr>
            <w:tcW w:w="8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gridSpan w:val="5"/>
          </w:tcPr>
          <w:p>
            <w:pPr>
              <w:ind w:left="280"/>
              <w:spacing w:after="0" w:line="177" w:lineRule="exact"/>
              <w:rPr>
                <w:sz w:val="20"/>
                <w:szCs w:val="20"/>
                <w:color w:val="auto"/>
              </w:rPr>
            </w:pPr>
            <w:r>
              <w:rPr>
                <w:rFonts w:ascii="Calibri" w:cs="Calibri" w:eastAsia="Calibri" w:hAnsi="Calibri"/>
                <w:sz w:val="15"/>
                <w:szCs w:val="15"/>
                <w:color w:val="auto"/>
              </w:rPr>
              <w:t>Three months ended March 31,</w:t>
            </w:r>
          </w:p>
        </w:tc>
        <w:tc>
          <w:tcPr>
            <w:tcW w:w="340" w:type="dxa"/>
            <w:vAlign w:val="bottom"/>
          </w:tcPr>
          <w:p>
            <w:pPr>
              <w:spacing w:after="0"/>
              <w:rPr>
                <w:sz w:val="15"/>
                <w:szCs w:val="15"/>
                <w:color w:val="auto"/>
              </w:rPr>
            </w:pPr>
          </w:p>
        </w:tc>
        <w:tc>
          <w:tcPr>
            <w:tcW w:w="2700" w:type="dxa"/>
            <w:vAlign w:val="bottom"/>
            <w:gridSpan w:val="4"/>
          </w:tcPr>
          <w:p>
            <w:pPr>
              <w:jc w:val="right"/>
              <w:ind w:right="483"/>
              <w:spacing w:after="0" w:line="177" w:lineRule="exact"/>
              <w:rPr>
                <w:sz w:val="20"/>
                <w:szCs w:val="20"/>
                <w:color w:val="auto"/>
              </w:rPr>
            </w:pPr>
            <w:r>
              <w:rPr>
                <w:rFonts w:ascii="Calibri" w:cs="Calibri" w:eastAsia="Calibri" w:hAnsi="Calibri"/>
                <w:sz w:val="15"/>
                <w:szCs w:val="15"/>
                <w:color w:val="auto"/>
              </w:rPr>
              <w:t>Nine months ended March 31,</w:t>
            </w:r>
          </w:p>
        </w:tc>
        <w:tc>
          <w:tcPr>
            <w:tcW w:w="0" w:type="dxa"/>
            <w:vAlign w:val="bottom"/>
          </w:tcPr>
          <w:p>
            <w:pPr>
              <w:spacing w:after="0"/>
              <w:rPr>
                <w:sz w:val="1"/>
                <w:szCs w:val="1"/>
                <w:color w:val="auto"/>
              </w:rPr>
            </w:pPr>
          </w:p>
        </w:tc>
      </w:tr>
      <w:tr>
        <w:trPr>
          <w:trHeight w:val="22"/>
        </w:trPr>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0" w:type="dxa"/>
            <w:vAlign w:val="bottom"/>
          </w:tcPr>
          <w:p>
            <w:pPr>
              <w:spacing w:after="0"/>
              <w:rPr>
                <w:sz w:val="1"/>
                <w:szCs w:val="1"/>
                <w:color w:val="auto"/>
              </w:rPr>
            </w:pPr>
          </w:p>
        </w:tc>
      </w:tr>
      <w:tr>
        <w:trPr>
          <w:trHeight w:val="22"/>
        </w:trPr>
        <w:tc>
          <w:tcPr>
            <w:tcW w:w="860" w:type="dxa"/>
            <w:vAlign w:val="bottom"/>
            <w:vMerge w:val="restart"/>
          </w:tcPr>
          <w:p>
            <w:pPr>
              <w:ind w:left="20"/>
              <w:spacing w:after="0"/>
              <w:rPr>
                <w:sz w:val="20"/>
                <w:szCs w:val="20"/>
                <w:color w:val="auto"/>
              </w:rPr>
            </w:pPr>
            <w:r>
              <w:rPr>
                <w:rFonts w:ascii="Calibri" w:cs="Calibri" w:eastAsia="Calibri" w:hAnsi="Calibri"/>
                <w:sz w:val="15"/>
                <w:szCs w:val="15"/>
                <w:b w:val="1"/>
                <w:bCs w:val="1"/>
                <w:color w:val="auto"/>
              </w:rPr>
              <w:t>REVENUES:</w:t>
            </w:r>
          </w:p>
        </w:tc>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86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8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Service revenues</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1,993,556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1,885,035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2,314,363</w:t>
            </w:r>
          </w:p>
        </w:tc>
        <w:tc>
          <w:tcPr>
            <w:tcW w:w="320" w:type="dxa"/>
            <w:vAlign w:val="bottom"/>
            <w:tcBorders>
              <w:bottom w:val="single" w:sz="8" w:color="CCEEFF"/>
            </w:tcBorders>
            <w:gridSpan w:val="2"/>
            <w:shd w:val="clear" w:color="auto" w:fill="CCEEFF"/>
          </w:tcPr>
          <w:p>
            <w:pPr>
              <w:jc w:val="right"/>
              <w:ind w:right="63"/>
              <w:spacing w:after="0"/>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2,191,794</w:t>
            </w:r>
          </w:p>
        </w:tc>
        <w:tc>
          <w:tcPr>
            <w:tcW w:w="0" w:type="dxa"/>
            <w:vAlign w:val="bottom"/>
          </w:tcPr>
          <w:p>
            <w:pPr>
              <w:spacing w:after="0"/>
              <w:rPr>
                <w:sz w:val="1"/>
                <w:szCs w:val="1"/>
                <w:color w:val="auto"/>
              </w:rPr>
            </w:pPr>
          </w:p>
        </w:tc>
      </w:tr>
      <w:tr>
        <w:trPr>
          <w:trHeight w:val="184"/>
        </w:trPr>
        <w:tc>
          <w:tcPr>
            <w:tcW w:w="4840" w:type="dxa"/>
            <w:vAlign w:val="bottom"/>
            <w:gridSpan w:val="2"/>
          </w:tcPr>
          <w:p>
            <w:pPr>
              <w:ind w:left="140"/>
              <w:spacing w:after="0"/>
              <w:rPr>
                <w:sz w:val="20"/>
                <w:szCs w:val="20"/>
                <w:color w:val="auto"/>
              </w:rPr>
            </w:pPr>
            <w:r>
              <w:rPr>
                <w:rFonts w:ascii="Calibri" w:cs="Calibri" w:eastAsia="Calibri" w:hAnsi="Calibri"/>
                <w:sz w:val="15"/>
                <w:szCs w:val="15"/>
                <w:color w:val="auto"/>
              </w:rPr>
              <w:t>Royalty, product and other revenues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191,278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208,614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alibri" w:cs="Calibri" w:eastAsia="Calibri" w:hAnsi="Calibri"/>
                <w:sz w:val="15"/>
                <w:szCs w:val="15"/>
                <w:b w:val="1"/>
                <w:bCs w:val="1"/>
                <w:color w:val="auto"/>
              </w:rPr>
              <w:t>233,354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248,245</w:t>
            </w:r>
          </w:p>
        </w:tc>
        <w:tc>
          <w:tcPr>
            <w:tcW w:w="0" w:type="dxa"/>
            <w:vAlign w:val="bottom"/>
          </w:tcPr>
          <w:p>
            <w:pPr>
              <w:spacing w:after="0"/>
              <w:rPr>
                <w:sz w:val="1"/>
                <w:szCs w:val="1"/>
                <w:color w:val="auto"/>
              </w:rPr>
            </w:pPr>
          </w:p>
        </w:tc>
      </w:tr>
      <w:tr>
        <w:trPr>
          <w:trHeight w:val="22"/>
        </w:trPr>
        <w:tc>
          <w:tcPr>
            <w:tcW w:w="86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860" w:type="dxa"/>
            <w:vAlign w:val="bottom"/>
            <w:tcBorders>
              <w:bottom w:val="single" w:sz="8" w:color="CCEEFF"/>
            </w:tcBorders>
            <w:shd w:val="clear" w:color="auto" w:fill="CCEEFF"/>
          </w:tcPr>
          <w:p>
            <w:pPr>
              <w:spacing w:after="0"/>
              <w:rPr>
                <w:sz w:val="17"/>
                <w:szCs w:val="17"/>
                <w:color w:val="auto"/>
              </w:rPr>
            </w:pPr>
          </w:p>
        </w:tc>
        <w:tc>
          <w:tcPr>
            <w:tcW w:w="39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2,184,834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2,093,649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2,547,717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2,440,039</w:t>
            </w:r>
          </w:p>
        </w:tc>
        <w:tc>
          <w:tcPr>
            <w:tcW w:w="0" w:type="dxa"/>
            <w:vAlign w:val="bottom"/>
          </w:tcPr>
          <w:p>
            <w:pPr>
              <w:spacing w:after="0"/>
              <w:rPr>
                <w:sz w:val="1"/>
                <w:szCs w:val="1"/>
                <w:color w:val="auto"/>
              </w:rPr>
            </w:pPr>
          </w:p>
        </w:tc>
      </w:tr>
      <w:tr>
        <w:trPr>
          <w:trHeight w:val="164"/>
        </w:trPr>
        <w:tc>
          <w:tcPr>
            <w:tcW w:w="484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OPERATING EXPENSES:</w:t>
            </w: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Costs of revenues</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926,008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883,686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1,485,193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1,442,693</w:t>
            </w:r>
          </w:p>
        </w:tc>
        <w:tc>
          <w:tcPr>
            <w:tcW w:w="0" w:type="dxa"/>
            <w:vAlign w:val="bottom"/>
          </w:tcPr>
          <w:p>
            <w:pPr>
              <w:spacing w:after="0"/>
              <w:rPr>
                <w:sz w:val="1"/>
                <w:szCs w:val="1"/>
                <w:color w:val="auto"/>
              </w:rPr>
            </w:pPr>
          </w:p>
        </w:tc>
      </w:tr>
      <w:tr>
        <w:trPr>
          <w:trHeight w:val="184"/>
        </w:trPr>
        <w:tc>
          <w:tcPr>
            <w:tcW w:w="4840" w:type="dxa"/>
            <w:vAlign w:val="bottom"/>
            <w:gridSpan w:val="2"/>
          </w:tcPr>
          <w:p>
            <w:pPr>
              <w:ind w:left="140"/>
              <w:spacing w:after="0"/>
              <w:rPr>
                <w:sz w:val="20"/>
                <w:szCs w:val="20"/>
                <w:color w:val="auto"/>
              </w:rPr>
            </w:pPr>
            <w:r>
              <w:rPr>
                <w:rFonts w:ascii="Calibri" w:cs="Calibri" w:eastAsia="Calibri" w:hAnsi="Calibri"/>
                <w:sz w:val="15"/>
                <w:szCs w:val="15"/>
                <w:color w:val="auto"/>
              </w:rPr>
              <w:t>Selling, general and administratve</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330,622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345,461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alibri" w:cs="Calibri" w:eastAsia="Calibri" w:hAnsi="Calibri"/>
                <w:sz w:val="15"/>
                <w:szCs w:val="15"/>
                <w:b w:val="1"/>
                <w:bCs w:val="1"/>
                <w:color w:val="auto"/>
              </w:rPr>
              <w:t>608,078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625,158</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8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Total operatng expenses</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1,256,630</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1,229,147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2,093,271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2,067,851</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 income (expense), net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5,224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13,224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20,982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21,020</w:t>
            </w:r>
          </w:p>
        </w:tc>
        <w:tc>
          <w:tcPr>
            <w:tcW w:w="0" w:type="dxa"/>
            <w:vAlign w:val="bottom"/>
          </w:tcPr>
          <w:p>
            <w:pPr>
              <w:spacing w:after="0"/>
              <w:rPr>
                <w:sz w:val="1"/>
                <w:szCs w:val="1"/>
                <w:color w:val="auto"/>
              </w:rPr>
            </w:pPr>
          </w:p>
        </w:tc>
      </w:tr>
      <w:tr>
        <w:trPr>
          <w:trHeight w:val="184"/>
        </w:trPr>
        <w:tc>
          <w:tcPr>
            <w:tcW w:w="4840" w:type="dxa"/>
            <w:vAlign w:val="bottom"/>
            <w:gridSpan w:val="2"/>
          </w:tcPr>
          <w:p>
            <w:pPr>
              <w:ind w:left="20"/>
              <w:spacing w:after="0"/>
              <w:rPr>
                <w:sz w:val="20"/>
                <w:szCs w:val="20"/>
                <w:color w:val="auto"/>
              </w:rPr>
            </w:pPr>
            <w:r>
              <w:rPr>
                <w:rFonts w:ascii="Calibri" w:cs="Calibri" w:eastAsia="Calibri" w:hAnsi="Calibri"/>
                <w:sz w:val="15"/>
                <w:szCs w:val="15"/>
                <w:color w:val="auto"/>
              </w:rPr>
              <w:t>Interest expense on borrowings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(26,070)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(22,298)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alibri" w:cs="Calibri" w:eastAsia="Calibri" w:hAnsi="Calibri"/>
                <w:sz w:val="15"/>
                <w:szCs w:val="15"/>
                <w:b w:val="1"/>
                <w:bCs w:val="1"/>
                <w:color w:val="auto"/>
              </w:rPr>
              <w:t>(63,304)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(57,107)</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8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Income from contnuing operatons before income taxes</w:t>
            </w: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907,358</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855,428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412,124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336,101</w:t>
            </w:r>
          </w:p>
        </w:tc>
        <w:tc>
          <w:tcPr>
            <w:tcW w:w="0" w:type="dxa"/>
            <w:vAlign w:val="bottom"/>
          </w:tcPr>
          <w:p>
            <w:pPr>
              <w:spacing w:after="0"/>
              <w:rPr>
                <w:sz w:val="1"/>
                <w:szCs w:val="1"/>
                <w:color w:val="auto"/>
              </w:rPr>
            </w:pPr>
          </w:p>
        </w:tc>
      </w:tr>
      <w:tr>
        <w:trPr>
          <w:trHeight w:val="184"/>
        </w:trPr>
        <w:tc>
          <w:tcPr>
            <w:tcW w:w="860" w:type="dxa"/>
            <w:vAlign w:val="bottom"/>
          </w:tcPr>
          <w:p>
            <w:pPr>
              <w:ind w:left="20"/>
              <w:spacing w:after="0"/>
              <w:rPr>
                <w:sz w:val="20"/>
                <w:szCs w:val="20"/>
                <w:color w:val="auto"/>
              </w:rPr>
            </w:pPr>
            <w:r>
              <w:rPr>
                <w:rFonts w:ascii="Calibri" w:cs="Calibri" w:eastAsia="Calibri" w:hAnsi="Calibri"/>
                <w:sz w:val="15"/>
                <w:szCs w:val="15"/>
                <w:color w:val="auto"/>
              </w:rPr>
              <w:t>Income taxes</w:t>
            </w:r>
          </w:p>
        </w:tc>
        <w:tc>
          <w:tcPr>
            <w:tcW w:w="3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215,772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209,351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alibri" w:cs="Calibri" w:eastAsia="Calibri" w:hAnsi="Calibri"/>
                <w:sz w:val="15"/>
                <w:szCs w:val="15"/>
                <w:b w:val="1"/>
                <w:bCs w:val="1"/>
                <w:color w:val="auto"/>
              </w:rPr>
              <w:t>72,527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78,254</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8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income from contnuing operatons</w:t>
            </w: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691,586</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646,077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339,597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257,847</w:t>
            </w:r>
          </w:p>
        </w:tc>
        <w:tc>
          <w:tcPr>
            <w:tcW w:w="0" w:type="dxa"/>
            <w:vAlign w:val="bottom"/>
          </w:tcPr>
          <w:p>
            <w:pPr>
              <w:spacing w:after="0"/>
              <w:rPr>
                <w:sz w:val="1"/>
                <w:szCs w:val="1"/>
                <w:color w:val="auto"/>
              </w:rPr>
            </w:pPr>
          </w:p>
        </w:tc>
      </w:tr>
      <w:tr>
        <w:trPr>
          <w:trHeight w:val="150"/>
        </w:trPr>
        <w:tc>
          <w:tcPr>
            <w:tcW w:w="4840" w:type="dxa"/>
            <w:vAlign w:val="bottom"/>
            <w:gridSpan w:val="2"/>
          </w:tcPr>
          <w:p>
            <w:pPr>
              <w:ind w:left="20"/>
              <w:spacing w:after="0" w:line="151" w:lineRule="exact"/>
              <w:rPr>
                <w:sz w:val="20"/>
                <w:szCs w:val="20"/>
                <w:color w:val="auto"/>
              </w:rPr>
            </w:pPr>
            <w:r>
              <w:rPr>
                <w:rFonts w:ascii="Calibri" w:cs="Calibri" w:eastAsia="Calibri" w:hAnsi="Calibri"/>
                <w:sz w:val="15"/>
                <w:szCs w:val="15"/>
                <w:color w:val="auto"/>
              </w:rPr>
              <w:t>Net loss from discontnued operatons, net of tax benefts of $254, $792,</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40" w:type="dxa"/>
            <w:vAlign w:val="bottom"/>
            <w:gridSpan w:val="2"/>
          </w:tcPr>
          <w:p>
            <w:pPr>
              <w:ind w:left="180"/>
              <w:spacing w:after="0"/>
              <w:rPr>
                <w:sz w:val="20"/>
                <w:szCs w:val="20"/>
                <w:color w:val="auto"/>
              </w:rPr>
            </w:pPr>
            <w:r>
              <w:rPr>
                <w:rFonts w:ascii="Calibri" w:cs="Calibri" w:eastAsia="Calibri" w:hAnsi="Calibri"/>
                <w:sz w:val="15"/>
                <w:szCs w:val="15"/>
                <w:color w:val="auto"/>
              </w:rPr>
              <w:t>$627 and $1,920</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(849)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(2,648)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alibri" w:cs="Calibri" w:eastAsia="Calibri" w:hAnsi="Calibri"/>
                <w:sz w:val="15"/>
                <w:szCs w:val="15"/>
                <w:b w:val="1"/>
                <w:bCs w:val="1"/>
                <w:color w:val="auto"/>
              </w:rPr>
              <w:t>(2,097)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(6,418)</w:t>
            </w:r>
          </w:p>
        </w:tc>
        <w:tc>
          <w:tcPr>
            <w:tcW w:w="0" w:type="dxa"/>
            <w:vAlign w:val="bottom"/>
          </w:tcPr>
          <w:p>
            <w:pPr>
              <w:spacing w:after="0"/>
              <w:rPr>
                <w:sz w:val="1"/>
                <w:szCs w:val="1"/>
                <w:color w:val="auto"/>
              </w:rPr>
            </w:pPr>
          </w:p>
        </w:tc>
      </w:tr>
      <w:tr>
        <w:trPr>
          <w:trHeight w:val="26"/>
        </w:trPr>
        <w:tc>
          <w:tcPr>
            <w:tcW w:w="8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60" w:type="dxa"/>
            <w:vAlign w:val="bottom"/>
            <w:tcBorders>
              <w:bottom w:val="single" w:sz="8" w:color="CCEEFF"/>
            </w:tcBorders>
            <w:shd w:val="clear" w:color="auto" w:fill="CCEEFF"/>
          </w:tcPr>
          <w:p>
            <w:pPr>
              <w:ind w:left="20"/>
              <w:spacing w:after="0" w:line="173" w:lineRule="exact"/>
              <w:rPr>
                <w:sz w:val="20"/>
                <w:szCs w:val="20"/>
                <w:color w:val="auto"/>
              </w:rPr>
            </w:pPr>
            <w:r>
              <w:rPr>
                <w:rFonts w:ascii="Calibri" w:cs="Calibri" w:eastAsia="Calibri" w:hAnsi="Calibri"/>
                <w:sz w:val="15"/>
                <w:szCs w:val="15"/>
                <w:b w:val="1"/>
                <w:bCs w:val="1"/>
                <w:color w:val="auto"/>
              </w:rPr>
              <w:t>NET INCOME</w:t>
            </w:r>
          </w:p>
        </w:tc>
        <w:tc>
          <w:tcPr>
            <w:tcW w:w="39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690,737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643,429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337,500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251,429</w:t>
            </w:r>
          </w:p>
        </w:tc>
        <w:tc>
          <w:tcPr>
            <w:tcW w:w="0" w:type="dxa"/>
            <w:vAlign w:val="bottom"/>
          </w:tcPr>
          <w:p>
            <w:pPr>
              <w:spacing w:after="0"/>
              <w:rPr>
                <w:sz w:val="1"/>
                <w:szCs w:val="1"/>
                <w:color w:val="auto"/>
              </w:rPr>
            </w:pPr>
          </w:p>
        </w:tc>
      </w:tr>
      <w:tr>
        <w:trPr>
          <w:trHeight w:val="164"/>
        </w:trPr>
        <w:tc>
          <w:tcPr>
            <w:tcW w:w="484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BASIC EARNINGS PER SHARE:</w:t>
            </w: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Contnuing operatons</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4.94</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4.22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2.37</w:t>
            </w:r>
          </w:p>
        </w:tc>
        <w:tc>
          <w:tcPr>
            <w:tcW w:w="320" w:type="dxa"/>
            <w:vAlign w:val="bottom"/>
            <w:tcBorders>
              <w:bottom w:val="single" w:sz="8" w:color="CCEEFF"/>
            </w:tcBorders>
            <w:gridSpan w:val="2"/>
            <w:shd w:val="clear" w:color="auto" w:fill="CCEEFF"/>
          </w:tcPr>
          <w:p>
            <w:pPr>
              <w:jc w:val="right"/>
              <w:ind w:right="63"/>
              <w:spacing w:after="0"/>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1.65</w:t>
            </w:r>
          </w:p>
        </w:tc>
        <w:tc>
          <w:tcPr>
            <w:tcW w:w="0" w:type="dxa"/>
            <w:vAlign w:val="bottom"/>
          </w:tcPr>
          <w:p>
            <w:pPr>
              <w:spacing w:after="0"/>
              <w:rPr>
                <w:sz w:val="1"/>
                <w:szCs w:val="1"/>
                <w:color w:val="auto"/>
              </w:rPr>
            </w:pPr>
          </w:p>
        </w:tc>
      </w:tr>
      <w:tr>
        <w:trPr>
          <w:trHeight w:val="184"/>
        </w:trPr>
        <w:tc>
          <w:tcPr>
            <w:tcW w:w="4840" w:type="dxa"/>
            <w:vAlign w:val="bottom"/>
            <w:gridSpan w:val="2"/>
          </w:tcPr>
          <w:p>
            <w:pPr>
              <w:ind w:left="140"/>
              <w:spacing w:after="0"/>
              <w:rPr>
                <w:sz w:val="20"/>
                <w:szCs w:val="20"/>
                <w:color w:val="auto"/>
              </w:rPr>
            </w:pPr>
            <w:r>
              <w:rPr>
                <w:rFonts w:ascii="Calibri" w:cs="Calibri" w:eastAsia="Calibri" w:hAnsi="Calibri"/>
                <w:sz w:val="15"/>
                <w:szCs w:val="15"/>
                <w:color w:val="auto"/>
              </w:rPr>
              <w:t>Discontnued operatons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(0.01)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(0.01)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alibri" w:cs="Calibri" w:eastAsia="Calibri" w:hAnsi="Calibri"/>
                <w:sz w:val="15"/>
                <w:szCs w:val="15"/>
                <w:b w:val="1"/>
                <w:bCs w:val="1"/>
                <w:color w:val="auto"/>
              </w:rPr>
              <w:t>(0.01)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(0.04)</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84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Calibri" w:cs="Calibri" w:eastAsia="Calibri" w:hAnsi="Calibri"/>
                <w:sz w:val="15"/>
                <w:szCs w:val="15"/>
                <w:color w:val="auto"/>
              </w:rPr>
              <w:t>Consolidated</w:t>
            </w: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4.93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4.21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2.36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1.61</w:t>
            </w:r>
          </w:p>
        </w:tc>
        <w:tc>
          <w:tcPr>
            <w:tcW w:w="0" w:type="dxa"/>
            <w:vAlign w:val="bottom"/>
          </w:tcPr>
          <w:p>
            <w:pPr>
              <w:spacing w:after="0"/>
              <w:rPr>
                <w:sz w:val="1"/>
                <w:szCs w:val="1"/>
                <w:color w:val="auto"/>
              </w:rPr>
            </w:pPr>
          </w:p>
        </w:tc>
      </w:tr>
      <w:tr>
        <w:trPr>
          <w:trHeight w:val="164"/>
        </w:trPr>
        <w:tc>
          <w:tcPr>
            <w:tcW w:w="484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DILUTED EARNINGS PER SHARE:</w:t>
            </w: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Contnuing operatons</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4.87</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4.14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2.34</w:t>
            </w:r>
          </w:p>
        </w:tc>
        <w:tc>
          <w:tcPr>
            <w:tcW w:w="320" w:type="dxa"/>
            <w:vAlign w:val="bottom"/>
            <w:tcBorders>
              <w:bottom w:val="single" w:sz="8" w:color="CCEEFF"/>
            </w:tcBorders>
            <w:gridSpan w:val="2"/>
            <w:shd w:val="clear" w:color="auto" w:fill="CCEEFF"/>
          </w:tcPr>
          <w:p>
            <w:pPr>
              <w:jc w:val="right"/>
              <w:ind w:right="63"/>
              <w:spacing w:after="0"/>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1.62</w:t>
            </w:r>
          </w:p>
        </w:tc>
        <w:tc>
          <w:tcPr>
            <w:tcW w:w="0" w:type="dxa"/>
            <w:vAlign w:val="bottom"/>
          </w:tcPr>
          <w:p>
            <w:pPr>
              <w:spacing w:after="0"/>
              <w:rPr>
                <w:sz w:val="1"/>
                <w:szCs w:val="1"/>
                <w:color w:val="auto"/>
              </w:rPr>
            </w:pPr>
          </w:p>
        </w:tc>
      </w:tr>
      <w:tr>
        <w:trPr>
          <w:trHeight w:val="184"/>
        </w:trPr>
        <w:tc>
          <w:tcPr>
            <w:tcW w:w="4840" w:type="dxa"/>
            <w:vAlign w:val="bottom"/>
            <w:gridSpan w:val="2"/>
          </w:tcPr>
          <w:p>
            <w:pPr>
              <w:ind w:left="140"/>
              <w:spacing w:after="0"/>
              <w:rPr>
                <w:sz w:val="20"/>
                <w:szCs w:val="20"/>
                <w:color w:val="auto"/>
              </w:rPr>
            </w:pPr>
            <w:r>
              <w:rPr>
                <w:rFonts w:ascii="Calibri" w:cs="Calibri" w:eastAsia="Calibri" w:hAnsi="Calibri"/>
                <w:sz w:val="15"/>
                <w:szCs w:val="15"/>
                <w:color w:val="auto"/>
              </w:rPr>
              <w:t>Discontnued operatons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(0.01)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(0.02)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alibri" w:cs="Calibri" w:eastAsia="Calibri" w:hAnsi="Calibri"/>
                <w:sz w:val="15"/>
                <w:szCs w:val="15"/>
                <w:b w:val="1"/>
                <w:bCs w:val="1"/>
                <w:color w:val="auto"/>
              </w:rPr>
              <w:t>(0.02)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(0.04)</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84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Calibri" w:cs="Calibri" w:eastAsia="Calibri" w:hAnsi="Calibri"/>
                <w:sz w:val="15"/>
                <w:szCs w:val="15"/>
                <w:color w:val="auto"/>
              </w:rPr>
              <w:t>Consolidated</w:t>
            </w: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4.86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4.12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2.32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1.58</w:t>
            </w:r>
          </w:p>
        </w:tc>
        <w:tc>
          <w:tcPr>
            <w:tcW w:w="0" w:type="dxa"/>
            <w:vAlign w:val="bottom"/>
          </w:tcPr>
          <w:p>
            <w:pPr>
              <w:spacing w:after="0"/>
              <w:rPr>
                <w:sz w:val="1"/>
                <w:szCs w:val="1"/>
                <w:color w:val="auto"/>
              </w:rPr>
            </w:pPr>
          </w:p>
        </w:tc>
      </w:tr>
      <w:tr>
        <w:trPr>
          <w:trHeight w:val="177"/>
        </w:trPr>
        <w:tc>
          <w:tcPr>
            <w:tcW w:w="4840" w:type="dxa"/>
            <w:vAlign w:val="bottom"/>
            <w:gridSpan w:val="2"/>
          </w:tcPr>
          <w:p>
            <w:pPr>
              <w:ind w:left="20"/>
              <w:spacing w:after="0" w:line="173" w:lineRule="exact"/>
              <w:rPr>
                <w:sz w:val="20"/>
                <w:szCs w:val="20"/>
                <w:color w:val="auto"/>
              </w:rPr>
            </w:pPr>
            <w:r>
              <w:rPr>
                <w:rFonts w:ascii="Calibri" w:cs="Calibri" w:eastAsia="Calibri" w:hAnsi="Calibri"/>
                <w:sz w:val="15"/>
                <w:szCs w:val="15"/>
                <w:b w:val="1"/>
                <w:bCs w:val="1"/>
                <w:color w:val="auto"/>
              </w:rPr>
              <w:t>DIVIDENDS DECLARED PER SHARE</w:t>
            </w: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0.32</w:t>
            </w:r>
          </w:p>
        </w:tc>
        <w:tc>
          <w:tcPr>
            <w:tcW w:w="100" w:type="dxa"/>
            <w:vAlign w:val="bottom"/>
          </w:tcPr>
          <w:p>
            <w:pPr>
              <w:spacing w:after="0"/>
              <w:rPr>
                <w:sz w:val="15"/>
                <w:szCs w:val="15"/>
                <w:color w:val="auto"/>
              </w:rPr>
            </w:pP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0.29</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6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0.96</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0.87</w:t>
            </w:r>
          </w:p>
        </w:tc>
        <w:tc>
          <w:tcPr>
            <w:tcW w:w="0" w:type="dxa"/>
            <w:vAlign w:val="bottom"/>
          </w:tcPr>
          <w:p>
            <w:pPr>
              <w:spacing w:after="0"/>
              <w:rPr>
                <w:sz w:val="1"/>
                <w:szCs w:val="1"/>
                <w:color w:val="auto"/>
              </w:rPr>
            </w:pPr>
          </w:p>
        </w:tc>
      </w:tr>
      <w:tr>
        <w:trPr>
          <w:trHeight w:val="22"/>
        </w:trPr>
        <w:tc>
          <w:tcPr>
            <w:tcW w:w="4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b w:val="1"/>
                <w:bCs w:val="1"/>
                <w:color w:val="auto"/>
              </w:rPr>
              <w:t>COMPREHENSIVE INCOME:</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60" w:type="dxa"/>
            <w:vAlign w:val="bottom"/>
          </w:tcPr>
          <w:p>
            <w:pPr>
              <w:ind w:left="140"/>
              <w:spacing w:after="0"/>
              <w:rPr>
                <w:sz w:val="20"/>
                <w:szCs w:val="20"/>
                <w:color w:val="auto"/>
              </w:rPr>
            </w:pPr>
            <w:r>
              <w:rPr>
                <w:rFonts w:ascii="Calibri" w:cs="Calibri" w:eastAsia="Calibri" w:hAnsi="Calibri"/>
                <w:sz w:val="15"/>
                <w:szCs w:val="15"/>
                <w:color w:val="auto"/>
                <w:w w:val="99"/>
              </w:rPr>
              <w:t>Net income</w:t>
            </w:r>
          </w:p>
        </w:tc>
        <w:tc>
          <w:tcPr>
            <w:tcW w:w="3980" w:type="dxa"/>
            <w:vAlign w:val="bottom"/>
          </w:tcPr>
          <w:p>
            <w:pPr>
              <w:spacing w:after="0"/>
              <w:rPr>
                <w:sz w:val="16"/>
                <w:szCs w:val="16"/>
                <w:color w:val="auto"/>
              </w:rPr>
            </w:pPr>
          </w:p>
        </w:tc>
        <w:tc>
          <w:tcPr>
            <w:tcW w:w="360" w:type="dxa"/>
            <w:vAlign w:val="bottom"/>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690,737</w:t>
            </w:r>
          </w:p>
        </w:tc>
        <w:tc>
          <w:tcPr>
            <w:tcW w:w="100" w:type="dxa"/>
            <w:vAlign w:val="bottom"/>
          </w:tcPr>
          <w:p>
            <w:pPr>
              <w:spacing w:after="0"/>
              <w:rPr>
                <w:sz w:val="16"/>
                <w:szCs w:val="16"/>
                <w:color w:val="auto"/>
              </w:rPr>
            </w:pPr>
          </w:p>
        </w:tc>
        <w:tc>
          <w:tcPr>
            <w:tcW w:w="500" w:type="dxa"/>
            <w:vAlign w:val="bottom"/>
          </w:tcPr>
          <w:p>
            <w:pPr>
              <w:jc w:val="right"/>
              <w:ind w:right="323"/>
              <w:spacing w:after="0"/>
              <w:rPr>
                <w:sz w:val="20"/>
                <w:szCs w:val="20"/>
                <w:color w:val="auto"/>
              </w:rPr>
            </w:pPr>
            <w:r>
              <w:rPr>
                <w:rFonts w:ascii="Calibri" w:cs="Calibri" w:eastAsia="Calibri" w:hAnsi="Calibri"/>
                <w:sz w:val="15"/>
                <w:szCs w:val="15"/>
                <w:color w:val="auto"/>
              </w:rPr>
              <w:t>$</w:t>
            </w:r>
          </w:p>
        </w:tc>
        <w:tc>
          <w:tcPr>
            <w:tcW w:w="1100" w:type="dxa"/>
            <w:vAlign w:val="bottom"/>
          </w:tcPr>
          <w:p>
            <w:pPr>
              <w:jc w:val="right"/>
              <w:spacing w:after="0"/>
              <w:rPr>
                <w:sz w:val="20"/>
                <w:szCs w:val="20"/>
                <w:color w:val="auto"/>
              </w:rPr>
            </w:pPr>
            <w:r>
              <w:rPr>
                <w:rFonts w:ascii="Calibri" w:cs="Calibri" w:eastAsia="Calibri" w:hAnsi="Calibri"/>
                <w:sz w:val="15"/>
                <w:szCs w:val="15"/>
                <w:color w:val="auto"/>
              </w:rPr>
              <w:t>643,429</w:t>
            </w:r>
          </w:p>
        </w:tc>
        <w:tc>
          <w:tcPr>
            <w:tcW w:w="80" w:type="dxa"/>
            <w:vAlign w:val="bottom"/>
          </w:tcPr>
          <w:p>
            <w:pPr>
              <w:spacing w:after="0"/>
              <w:rPr>
                <w:sz w:val="16"/>
                <w:szCs w:val="16"/>
                <w:color w:val="auto"/>
              </w:rPr>
            </w:pPr>
          </w:p>
        </w:tc>
        <w:tc>
          <w:tcPr>
            <w:tcW w:w="340" w:type="dxa"/>
            <w:vAlign w:val="bottom"/>
          </w:tcPr>
          <w:p>
            <w:pPr>
              <w:jc w:val="right"/>
              <w:ind w:right="163"/>
              <w:spacing w:after="0"/>
              <w:rPr>
                <w:sz w:val="20"/>
                <w:szCs w:val="20"/>
                <w:color w:val="auto"/>
              </w:rPr>
            </w:pPr>
            <w:r>
              <w:rPr>
                <w:rFonts w:ascii="Calibri" w:cs="Calibri" w:eastAsia="Calibri" w:hAnsi="Calibri"/>
                <w:sz w:val="15"/>
                <w:szCs w:val="15"/>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15"/>
                <w:szCs w:val="15"/>
                <w:b w:val="1"/>
                <w:bCs w:val="1"/>
                <w:color w:val="auto"/>
              </w:rPr>
              <w:t>337,500</w:t>
            </w:r>
          </w:p>
        </w:tc>
        <w:tc>
          <w:tcPr>
            <w:tcW w:w="320" w:type="dxa"/>
            <w:vAlign w:val="bottom"/>
            <w:gridSpan w:val="2"/>
          </w:tcPr>
          <w:p>
            <w:pPr>
              <w:jc w:val="right"/>
              <w:ind w:right="63"/>
              <w:spacing w:after="0"/>
              <w:rPr>
                <w:sz w:val="20"/>
                <w:szCs w:val="20"/>
                <w:color w:val="auto"/>
              </w:rPr>
            </w:pPr>
            <w:r>
              <w:rPr>
                <w:rFonts w:ascii="Calibri" w:cs="Calibri" w:eastAsia="Calibri" w:hAnsi="Calibri"/>
                <w:sz w:val="15"/>
                <w:szCs w:val="15"/>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251,429</w:t>
            </w:r>
          </w:p>
        </w:tc>
        <w:tc>
          <w:tcPr>
            <w:tcW w:w="0" w:type="dxa"/>
            <w:vAlign w:val="bottom"/>
          </w:tcPr>
          <w:p>
            <w:pPr>
              <w:spacing w:after="0"/>
              <w:rPr>
                <w:sz w:val="1"/>
                <w:szCs w:val="1"/>
                <w:color w:val="auto"/>
              </w:rPr>
            </w:pPr>
          </w:p>
        </w:tc>
      </w:tr>
      <w:tr>
        <w:trPr>
          <w:trHeight w:val="22"/>
        </w:trPr>
        <w:tc>
          <w:tcPr>
            <w:tcW w:w="4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Change in foreign currency translaton adjustments</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(9,882)</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402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(9,237)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(22,636)</w:t>
            </w:r>
          </w:p>
        </w:tc>
        <w:tc>
          <w:tcPr>
            <w:tcW w:w="0" w:type="dxa"/>
            <w:vAlign w:val="bottom"/>
          </w:tcPr>
          <w:p>
            <w:pPr>
              <w:spacing w:after="0"/>
              <w:rPr>
                <w:sz w:val="1"/>
                <w:szCs w:val="1"/>
                <w:color w:val="auto"/>
              </w:rPr>
            </w:pPr>
          </w:p>
        </w:tc>
      </w:tr>
      <w:tr>
        <w:trPr>
          <w:trHeight w:val="177"/>
        </w:trPr>
        <w:tc>
          <w:tcPr>
            <w:tcW w:w="4840" w:type="dxa"/>
            <w:vAlign w:val="bottom"/>
            <w:gridSpan w:val="2"/>
          </w:tcPr>
          <w:p>
            <w:pPr>
              <w:ind w:left="140"/>
              <w:spacing w:after="0" w:line="173" w:lineRule="exact"/>
              <w:rPr>
                <w:sz w:val="20"/>
                <w:szCs w:val="20"/>
                <w:color w:val="auto"/>
              </w:rPr>
            </w:pPr>
            <w:r>
              <w:rPr>
                <w:rFonts w:ascii="Calibri" w:cs="Calibri" w:eastAsia="Calibri" w:hAnsi="Calibri"/>
                <w:sz w:val="15"/>
                <w:szCs w:val="15"/>
                <w:color w:val="auto"/>
              </w:rPr>
              <w:t>Other comprehensive income (loss)</w:t>
            </w: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(9,882)</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402</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(9,237)</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(22,636)</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84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Calibri" w:cs="Calibri" w:eastAsia="Calibri" w:hAnsi="Calibri"/>
                <w:sz w:val="15"/>
                <w:szCs w:val="15"/>
                <w:color w:val="auto"/>
              </w:rPr>
              <w:t>Comprehensive income</w:t>
            </w: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680,855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643,831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328,263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228,793</w:t>
            </w:r>
          </w:p>
        </w:tc>
        <w:tc>
          <w:tcPr>
            <w:tcW w:w="0" w:type="dxa"/>
            <w:vAlign w:val="bottom"/>
          </w:tcPr>
          <w:p>
            <w:pPr>
              <w:spacing w:after="0"/>
              <w:rPr>
                <w:sz w:val="1"/>
                <w:szCs w:val="1"/>
                <w:color w:val="auto"/>
              </w:rPr>
            </w:pPr>
          </w:p>
        </w:tc>
      </w:tr>
      <w:tr>
        <w:trPr>
          <w:trHeight w:val="32"/>
        </w:trPr>
        <w:tc>
          <w:tcPr>
            <w:tcW w:w="8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68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1"/>
          <w:szCs w:val="11"/>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7280" w:type="dxa"/>
            <w:vAlign w:val="bottom"/>
            <w:tcBorders>
              <w:top w:val="single" w:sz="8" w:color="auto"/>
            </w:tcBorders>
            <w:gridSpan w:val="2"/>
            <w:vMerge w:val="restart"/>
          </w:tcPr>
          <w:p>
            <w:pPr>
              <w:ind w:left="20"/>
              <w:spacing w:after="0"/>
              <w:rPr>
                <w:sz w:val="20"/>
                <w:szCs w:val="20"/>
                <w:color w:val="auto"/>
              </w:rPr>
            </w:pPr>
            <w:r>
              <w:rPr>
                <w:rFonts w:ascii="Calibri" w:cs="Calibri" w:eastAsia="Calibri" w:hAnsi="Calibri"/>
                <w:sz w:val="24"/>
                <w:szCs w:val="24"/>
                <w:b w:val="1"/>
                <w:bCs w:val="1"/>
                <w:color w:val="auto"/>
              </w:rPr>
              <w:t>CONSOLIDATED BALANCE SHEETS</w:t>
            </w:r>
          </w:p>
        </w:tc>
        <w:tc>
          <w:tcPr>
            <w:tcW w:w="5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jc w:val="right"/>
              <w:spacing w:after="0" w:line="129" w:lineRule="exact"/>
              <w:rPr>
                <w:sz w:val="20"/>
                <w:szCs w:val="20"/>
                <w:color w:val="auto"/>
              </w:rPr>
            </w:pPr>
            <w:r>
              <w:rPr>
                <w:rFonts w:ascii="Calibri" w:cs="Calibri" w:eastAsia="Calibri" w:hAnsi="Calibri"/>
                <w:sz w:val="14"/>
                <w:szCs w:val="14"/>
                <w:color w:val="auto"/>
              </w:rPr>
              <w:t>(unaudited, in 000s, except</w:t>
            </w:r>
          </w:p>
        </w:tc>
        <w:tc>
          <w:tcPr>
            <w:tcW w:w="0" w:type="dxa"/>
            <w:vAlign w:val="bottom"/>
          </w:tcPr>
          <w:p>
            <w:pPr>
              <w:spacing w:after="0"/>
              <w:rPr>
                <w:sz w:val="1"/>
                <w:szCs w:val="1"/>
                <w:color w:val="auto"/>
              </w:rPr>
            </w:pPr>
          </w:p>
        </w:tc>
      </w:tr>
      <w:tr>
        <w:trPr>
          <w:trHeight w:val="172"/>
        </w:trPr>
        <w:tc>
          <w:tcPr>
            <w:tcW w:w="72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right"/>
              <w:spacing w:after="0" w:line="164" w:lineRule="exact"/>
              <w:rPr>
                <w:sz w:val="20"/>
                <w:szCs w:val="20"/>
                <w:color w:val="auto"/>
              </w:rPr>
            </w:pPr>
            <w:r>
              <w:rPr>
                <w:rFonts w:ascii="Calibri" w:cs="Calibri" w:eastAsia="Calibri" w:hAnsi="Calibri"/>
                <w:sz w:val="14"/>
                <w:szCs w:val="14"/>
                <w:color w:val="auto"/>
                <w:w w:val="99"/>
              </w:rPr>
              <w:t>share and per share amounts)</w:t>
            </w:r>
          </w:p>
        </w:tc>
        <w:tc>
          <w:tcPr>
            <w:tcW w:w="0" w:type="dxa"/>
            <w:vAlign w:val="bottom"/>
          </w:tcPr>
          <w:p>
            <w:pPr>
              <w:spacing w:after="0"/>
              <w:rPr>
                <w:sz w:val="1"/>
                <w:szCs w:val="1"/>
                <w:color w:val="auto"/>
              </w:rPr>
            </w:pPr>
          </w:p>
        </w:tc>
      </w:tr>
      <w:tr>
        <w:trPr>
          <w:trHeight w:val="34"/>
        </w:trPr>
        <w:tc>
          <w:tcPr>
            <w:tcW w:w="72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728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500" w:type="dxa"/>
            <w:vAlign w:val="bottom"/>
          </w:tcPr>
          <w:p>
            <w:pPr>
              <w:spacing w:after="0"/>
              <w:rPr>
                <w:sz w:val="15"/>
                <w:szCs w:val="15"/>
                <w:color w:val="auto"/>
              </w:rPr>
            </w:pPr>
          </w:p>
        </w:tc>
        <w:tc>
          <w:tcPr>
            <w:tcW w:w="1520" w:type="dxa"/>
            <w:vAlign w:val="bottom"/>
            <w:gridSpan w:val="2"/>
          </w:tcPr>
          <w:p>
            <w:pPr>
              <w:ind w:left="420"/>
              <w:spacing w:after="0" w:line="177" w:lineRule="exact"/>
              <w:rPr>
                <w:sz w:val="20"/>
                <w:szCs w:val="20"/>
                <w:color w:val="auto"/>
              </w:rPr>
            </w:pPr>
            <w:r>
              <w:rPr>
                <w:rFonts w:ascii="Calibri" w:cs="Calibri" w:eastAsia="Calibri" w:hAnsi="Calibri"/>
                <w:sz w:val="15"/>
                <w:szCs w:val="15"/>
                <w:b w:val="1"/>
                <w:bCs w:val="1"/>
                <w:color w:val="auto"/>
              </w:rPr>
              <w:t>March 31, 2024</w:t>
            </w:r>
          </w:p>
        </w:tc>
        <w:tc>
          <w:tcPr>
            <w:tcW w:w="160" w:type="dxa"/>
            <w:vAlign w:val="bottom"/>
          </w:tcPr>
          <w:p>
            <w:pPr>
              <w:spacing w:after="0"/>
              <w:rPr>
                <w:sz w:val="15"/>
                <w:szCs w:val="15"/>
                <w:color w:val="auto"/>
              </w:rPr>
            </w:pPr>
          </w:p>
        </w:tc>
        <w:tc>
          <w:tcPr>
            <w:tcW w:w="1740" w:type="dxa"/>
            <w:vAlign w:val="bottom"/>
          </w:tcPr>
          <w:p>
            <w:pPr>
              <w:jc w:val="right"/>
              <w:spacing w:after="0" w:line="177" w:lineRule="exact"/>
              <w:rPr>
                <w:sz w:val="20"/>
                <w:szCs w:val="20"/>
                <w:color w:val="auto"/>
              </w:rPr>
            </w:pPr>
            <w:r>
              <w:rPr>
                <w:rFonts w:ascii="Calibri" w:cs="Calibri" w:eastAsia="Calibri" w:hAnsi="Calibri"/>
                <w:sz w:val="15"/>
                <w:szCs w:val="15"/>
                <w:color w:val="auto"/>
              </w:rPr>
              <w:t>June 30, 2023</w:t>
            </w:r>
          </w:p>
        </w:tc>
        <w:tc>
          <w:tcPr>
            <w:tcW w:w="0" w:type="dxa"/>
            <w:vAlign w:val="bottom"/>
          </w:tcPr>
          <w:p>
            <w:pPr>
              <w:spacing w:after="0"/>
              <w:rPr>
                <w:sz w:val="1"/>
                <w:szCs w:val="1"/>
                <w:color w:val="auto"/>
              </w:rPr>
            </w:pPr>
          </w:p>
        </w:tc>
      </w:tr>
      <w:tr>
        <w:trPr>
          <w:trHeight w:val="22"/>
        </w:trPr>
        <w:tc>
          <w:tcPr>
            <w:tcW w:w="7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200" w:type="dxa"/>
            <w:vAlign w:val="bottom"/>
          </w:tcPr>
          <w:p>
            <w:pPr>
              <w:ind w:left="3360"/>
              <w:spacing w:after="0" w:line="177" w:lineRule="exact"/>
              <w:rPr>
                <w:sz w:val="20"/>
                <w:szCs w:val="20"/>
                <w:color w:val="auto"/>
              </w:rPr>
            </w:pPr>
            <w:r>
              <w:rPr>
                <w:rFonts w:ascii="Calibri" w:cs="Calibri" w:eastAsia="Calibri" w:hAnsi="Calibri"/>
                <w:sz w:val="15"/>
                <w:szCs w:val="15"/>
                <w:b w:val="1"/>
                <w:bCs w:val="1"/>
                <w:color w:val="auto"/>
              </w:rPr>
              <w:t>ASSETS</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Cash and cash equivalents</w:t>
            </w: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Calibri" w:cs="Calibri" w:eastAsia="Calibri" w:hAnsi="Calibri"/>
                <w:sz w:val="15"/>
                <w:szCs w:val="15"/>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794,617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986,975</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Cash and cash equivalents - restricted</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18,078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28,341</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Receivables, less allowance for credit losses of $56,180 and $55,502</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346,784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59,987</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Prepaid expenses and other current assets</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105,873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112,183</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28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current assets</w:t>
            </w:r>
          </w:p>
        </w:tc>
        <w:tc>
          <w:tcPr>
            <w:tcW w:w="5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1,265,352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1,187,486</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Property and equipment, at cost, less accumulated depreciaton and amortzaton of $884,321 and $846,177</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139,542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130,015</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Operatng lease right of use assets</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392,091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438,299</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Intangible assets, net</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277,218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277,043</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Goodwill</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787,634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775,453</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Deferred tax assets and income taxes receivable</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287,810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211,391</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 noncurrent assets</w:t>
            </w:r>
          </w:p>
        </w:tc>
        <w:tc>
          <w:tcPr>
            <w:tcW w:w="5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63,675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52,571</w:t>
            </w:r>
          </w:p>
        </w:tc>
        <w:tc>
          <w:tcPr>
            <w:tcW w:w="0" w:type="dxa"/>
            <w:vAlign w:val="bottom"/>
          </w:tcPr>
          <w:p>
            <w:pPr>
              <w:spacing w:after="0"/>
              <w:rPr>
                <w:sz w:val="1"/>
                <w:szCs w:val="1"/>
                <w:color w:val="auto"/>
              </w:rPr>
            </w:pPr>
          </w:p>
        </w:tc>
      </w:tr>
      <w:tr>
        <w:trPr>
          <w:trHeight w:val="177"/>
        </w:trPr>
        <w:tc>
          <w:tcPr>
            <w:tcW w:w="728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Total assets</w:t>
            </w: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3,213,322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17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3,072,258</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7280" w:type="dxa"/>
            <w:vAlign w:val="bottom"/>
            <w:tcBorders>
              <w:bottom w:val="single" w:sz="8" w:color="CCEEFF"/>
            </w:tcBorders>
            <w:gridSpan w:val="2"/>
            <w:shd w:val="clear" w:color="auto" w:fill="CCEEFF"/>
          </w:tcPr>
          <w:p>
            <w:pPr>
              <w:ind w:left="2280"/>
              <w:spacing w:after="0" w:line="164" w:lineRule="exact"/>
              <w:rPr>
                <w:sz w:val="20"/>
                <w:szCs w:val="20"/>
                <w:color w:val="auto"/>
              </w:rPr>
            </w:pPr>
            <w:r>
              <w:rPr>
                <w:rFonts w:ascii="Calibri" w:cs="Calibri" w:eastAsia="Calibri" w:hAnsi="Calibri"/>
                <w:sz w:val="15"/>
                <w:szCs w:val="15"/>
                <w:b w:val="1"/>
                <w:bCs w:val="1"/>
                <w:color w:val="auto"/>
              </w:rPr>
              <w:t>LIABILITIES AND STOCKHOLDERS' EQUITY</w:t>
            </w:r>
          </w:p>
        </w:tc>
        <w:tc>
          <w:tcPr>
            <w:tcW w:w="5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28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LIABILITIES:</w:t>
            </w: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Accounts payable and accrued expenses</w:t>
            </w: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Calibri" w:cs="Calibri" w:eastAsia="Calibri" w:hAnsi="Calibri"/>
                <w:sz w:val="15"/>
                <w:szCs w:val="15"/>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247,109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159,901</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Accrued salaries, wages and payroll taxes</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238,864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95,154</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Accrued income taxes and reserves for uncertain tax positons</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351,721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271,800</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Operatng lease liabilites</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185,396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205,391</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Deferred revenue and other current liabilites</w:t>
            </w:r>
          </w:p>
        </w:tc>
        <w:tc>
          <w:tcPr>
            <w:tcW w:w="5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220,466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206,536</w:t>
            </w:r>
          </w:p>
        </w:tc>
        <w:tc>
          <w:tcPr>
            <w:tcW w:w="0" w:type="dxa"/>
            <w:vAlign w:val="bottom"/>
          </w:tcPr>
          <w:p>
            <w:pPr>
              <w:spacing w:after="0"/>
              <w:rPr>
                <w:sz w:val="1"/>
                <w:szCs w:val="1"/>
                <w:color w:val="auto"/>
              </w:rPr>
            </w:pPr>
          </w:p>
        </w:tc>
      </w:tr>
      <w:tr>
        <w:trPr>
          <w:trHeight w:val="177"/>
        </w:trPr>
        <w:tc>
          <w:tcPr>
            <w:tcW w:w="728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Total current liabilites</w:t>
            </w:r>
          </w:p>
        </w:tc>
        <w:tc>
          <w:tcPr>
            <w:tcW w:w="5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1,243,556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938,782</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Long-term debt</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1,490,570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1,488,974</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Deferred tax liabilites and reserves for uncertain tax positons</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277,957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264,567</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Operatng lease liabilites</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214,990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240,543</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Deferred revenue and other noncurrent liabilites</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116,055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107,328</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liabilites</w:t>
            </w:r>
          </w:p>
        </w:tc>
        <w:tc>
          <w:tcPr>
            <w:tcW w:w="5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3,343,128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3,040,194</w:t>
            </w:r>
          </w:p>
        </w:tc>
        <w:tc>
          <w:tcPr>
            <w:tcW w:w="0" w:type="dxa"/>
            <w:vAlign w:val="bottom"/>
          </w:tcPr>
          <w:p>
            <w:pPr>
              <w:spacing w:after="0"/>
              <w:rPr>
                <w:sz w:val="1"/>
                <w:szCs w:val="1"/>
                <w:color w:val="auto"/>
              </w:rPr>
            </w:pPr>
          </w:p>
        </w:tc>
      </w:tr>
      <w:tr>
        <w:trPr>
          <w:trHeight w:val="164"/>
        </w:trPr>
        <w:tc>
          <w:tcPr>
            <w:tcW w:w="728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COMMITMENTS AND CONTINGENCIES</w:t>
            </w:r>
          </w:p>
        </w:tc>
        <w:tc>
          <w:tcPr>
            <w:tcW w:w="5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b w:val="1"/>
                <w:bCs w:val="1"/>
                <w:color w:val="auto"/>
              </w:rPr>
              <w:t>STOCKHOLDERS' EQUITY:</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7280" w:type="dxa"/>
            <w:vAlign w:val="bottom"/>
            <w:gridSpan w:val="2"/>
          </w:tcPr>
          <w:p>
            <w:pPr>
              <w:ind w:left="100"/>
              <w:spacing w:after="0" w:line="151" w:lineRule="exact"/>
              <w:rPr>
                <w:sz w:val="20"/>
                <w:szCs w:val="20"/>
                <w:color w:val="auto"/>
              </w:rPr>
            </w:pPr>
            <w:r>
              <w:rPr>
                <w:rFonts w:ascii="Calibri" w:cs="Calibri" w:eastAsia="Calibri" w:hAnsi="Calibri"/>
                <w:sz w:val="15"/>
                <w:szCs w:val="15"/>
                <w:color w:val="auto"/>
              </w:rPr>
              <w:t>Common stock, no par, stated value $0.01 per share, 800,000,000 shares authorized, shares issued of</w:t>
            </w:r>
          </w:p>
        </w:tc>
        <w:tc>
          <w:tcPr>
            <w:tcW w:w="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280" w:type="dxa"/>
            <w:vAlign w:val="bottom"/>
            <w:gridSpan w:val="2"/>
          </w:tcPr>
          <w:p>
            <w:pPr>
              <w:ind w:left="260"/>
              <w:spacing w:after="0"/>
              <w:rPr>
                <w:sz w:val="20"/>
                <w:szCs w:val="20"/>
                <w:color w:val="auto"/>
              </w:rPr>
            </w:pPr>
            <w:r>
              <w:rPr>
                <w:rFonts w:ascii="Calibri" w:cs="Calibri" w:eastAsia="Calibri" w:hAnsi="Calibri"/>
                <w:sz w:val="15"/>
                <w:szCs w:val="15"/>
                <w:color w:val="auto"/>
              </w:rPr>
              <w:t>170,915,771 and 178,935,578</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1,709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1,789</w:t>
            </w:r>
          </w:p>
        </w:tc>
        <w:tc>
          <w:tcPr>
            <w:tcW w:w="0" w:type="dxa"/>
            <w:vAlign w:val="bottom"/>
          </w:tcPr>
          <w:p>
            <w:pPr>
              <w:spacing w:after="0"/>
              <w:rPr>
                <w:sz w:val="1"/>
                <w:szCs w:val="1"/>
                <w:color w:val="auto"/>
              </w:rPr>
            </w:pPr>
          </w:p>
        </w:tc>
      </w:tr>
      <w:tr>
        <w:trPr>
          <w:trHeight w:val="26"/>
        </w:trPr>
        <w:tc>
          <w:tcPr>
            <w:tcW w:w="7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Calibri" w:cs="Calibri" w:eastAsia="Calibri" w:hAnsi="Calibri"/>
                <w:sz w:val="15"/>
                <w:szCs w:val="15"/>
                <w:color w:val="auto"/>
              </w:rPr>
              <w:t>Additonal paid-in capital</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753,605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770,376</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Accumulated other comprehensive loss</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(46,336)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(37,099)</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Calibri" w:cs="Calibri" w:eastAsia="Calibri" w:hAnsi="Calibri"/>
                <w:sz w:val="15"/>
                <w:szCs w:val="15"/>
                <w:color w:val="auto"/>
              </w:rPr>
              <w:t>Retained defcit</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(200,296)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(48,677)</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Less treasury shares, at cost, of 31,388,403 and 32,785,658</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(638,488)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(654,325)</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stockholders' equity (defciency)</w:t>
            </w:r>
          </w:p>
        </w:tc>
        <w:tc>
          <w:tcPr>
            <w:tcW w:w="5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(129,806)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32,064</w:t>
            </w:r>
          </w:p>
        </w:tc>
        <w:tc>
          <w:tcPr>
            <w:tcW w:w="0" w:type="dxa"/>
            <w:vAlign w:val="bottom"/>
          </w:tcPr>
          <w:p>
            <w:pPr>
              <w:spacing w:after="0"/>
              <w:rPr>
                <w:sz w:val="1"/>
                <w:szCs w:val="1"/>
                <w:color w:val="auto"/>
              </w:rPr>
            </w:pPr>
          </w:p>
        </w:tc>
      </w:tr>
      <w:tr>
        <w:trPr>
          <w:trHeight w:val="177"/>
        </w:trPr>
        <w:tc>
          <w:tcPr>
            <w:tcW w:w="7280" w:type="dxa"/>
            <w:vAlign w:val="bottom"/>
            <w:gridSpan w:val="2"/>
          </w:tcPr>
          <w:p>
            <w:pPr>
              <w:ind w:left="520"/>
              <w:spacing w:after="0" w:line="173" w:lineRule="exact"/>
              <w:rPr>
                <w:sz w:val="20"/>
                <w:szCs w:val="20"/>
                <w:color w:val="auto"/>
              </w:rPr>
            </w:pPr>
            <w:r>
              <w:rPr>
                <w:rFonts w:ascii="Calibri" w:cs="Calibri" w:eastAsia="Calibri" w:hAnsi="Calibri"/>
                <w:sz w:val="15"/>
                <w:szCs w:val="15"/>
                <w:color w:val="auto"/>
              </w:rPr>
              <w:t>Total liabilites and stockholders' equity</w:t>
            </w: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3,213,322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17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3,072,258</w:t>
            </w:r>
          </w:p>
        </w:tc>
        <w:tc>
          <w:tcPr>
            <w:tcW w:w="0" w:type="dxa"/>
            <w:vAlign w:val="bottom"/>
          </w:tcPr>
          <w:p>
            <w:pPr>
              <w:spacing w:after="0"/>
              <w:rPr>
                <w:sz w:val="1"/>
                <w:szCs w:val="1"/>
                <w:color w:val="auto"/>
              </w:rPr>
            </w:pPr>
          </w:p>
        </w:tc>
      </w:tr>
      <w:tr>
        <w:trPr>
          <w:trHeight w:val="59"/>
        </w:trPr>
        <w:tc>
          <w:tcPr>
            <w:tcW w:w="72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4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7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 w:hanging="231"/>
        <w:spacing w:after="0"/>
        <w:tabs>
          <w:tab w:leader="none" w:pos="380" w:val="left"/>
        </w:tabs>
        <w:numPr>
          <w:ilvl w:val="0"/>
          <w:numId w:val="3"/>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29235" cy="122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23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305"/>
        </w:trPr>
        <w:tc>
          <w:tcPr>
            <w:tcW w:w="7760" w:type="dxa"/>
            <w:vAlign w:val="bottom"/>
            <w:tcBorders>
              <w:top w:val="single" w:sz="8" w:color="auto"/>
              <w:bottom w:val="single" w:sz="8" w:color="auto"/>
            </w:tcBorders>
            <w:gridSpan w:val="2"/>
          </w:tcPr>
          <w:p>
            <w:pPr>
              <w:ind w:left="20"/>
              <w:spacing w:after="0"/>
              <w:rPr>
                <w:sz w:val="20"/>
                <w:szCs w:val="20"/>
                <w:color w:val="auto"/>
              </w:rPr>
            </w:pPr>
            <w:r>
              <w:rPr>
                <w:rFonts w:ascii="Calibri" w:cs="Calibri" w:eastAsia="Calibri" w:hAnsi="Calibri"/>
                <w:sz w:val="24"/>
                <w:szCs w:val="24"/>
                <w:b w:val="1"/>
                <w:bCs w:val="1"/>
                <w:color w:val="auto"/>
              </w:rPr>
              <w:t>CONSOLIDATED STATEMENTS OF CASH FLOWS</w:t>
            </w:r>
          </w:p>
        </w:tc>
        <w:tc>
          <w:tcPr>
            <w:tcW w:w="5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(unaudited, in 000s)</w:t>
            </w:r>
          </w:p>
        </w:tc>
      </w:tr>
      <w:tr>
        <w:trPr>
          <w:trHeight w:val="181"/>
        </w:trPr>
        <w:tc>
          <w:tcPr>
            <w:tcW w:w="7760" w:type="dxa"/>
            <w:vAlign w:val="bottom"/>
            <w:gridSpan w:val="2"/>
          </w:tcPr>
          <w:p>
            <w:pPr>
              <w:ind w:left="20"/>
              <w:spacing w:after="0" w:line="181" w:lineRule="exact"/>
              <w:rPr>
                <w:sz w:val="20"/>
                <w:szCs w:val="20"/>
                <w:color w:val="auto"/>
              </w:rPr>
            </w:pPr>
            <w:r>
              <w:rPr>
                <w:rFonts w:ascii="Calibri" w:cs="Calibri" w:eastAsia="Calibri" w:hAnsi="Calibri"/>
                <w:sz w:val="15"/>
                <w:szCs w:val="15"/>
                <w:color w:val="auto"/>
              </w:rPr>
              <w:t>Nine months ended March 31,</w:t>
            </w:r>
          </w:p>
        </w:tc>
        <w:tc>
          <w:tcPr>
            <w:tcW w:w="52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Calibri" w:cs="Calibri" w:eastAsia="Calibri" w:hAnsi="Calibri"/>
                <w:sz w:val="15"/>
                <w:szCs w:val="15"/>
                <w:color w:val="auto"/>
              </w:rPr>
              <w:t>2023</w:t>
            </w:r>
          </w:p>
        </w:tc>
      </w:tr>
      <w:tr>
        <w:trPr>
          <w:trHeight w:val="22"/>
        </w:trPr>
        <w:tc>
          <w:tcPr>
            <w:tcW w:w="7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Pr>
          <w:p>
            <w:pPr>
              <w:ind w:left="20"/>
              <w:spacing w:after="0" w:line="177" w:lineRule="exact"/>
              <w:rPr>
                <w:sz w:val="20"/>
                <w:szCs w:val="20"/>
                <w:color w:val="auto"/>
              </w:rPr>
            </w:pPr>
            <w:r>
              <w:rPr>
                <w:rFonts w:ascii="Calibri" w:cs="Calibri" w:eastAsia="Calibri" w:hAnsi="Calibri"/>
                <w:sz w:val="15"/>
                <w:szCs w:val="15"/>
                <w:b w:val="1"/>
                <w:bCs w:val="1"/>
                <w:color w:val="auto"/>
              </w:rPr>
              <w:t>CASH FLOWS FROM OPERATING ACTIVITIES: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Net income</w:t>
            </w: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Calibri" w:cs="Calibri" w:eastAsia="Calibri" w:hAnsi="Calibri"/>
                <w:sz w:val="15"/>
                <w:szCs w:val="15"/>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337,500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Calibri" w:cs="Calibri" w:eastAsia="Calibri" w:hAnsi="Calibri"/>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251,429</w:t>
            </w:r>
          </w:p>
        </w:tc>
      </w:tr>
      <w:tr>
        <w:trPr>
          <w:trHeight w:val="184"/>
        </w:trPr>
        <w:tc>
          <w:tcPr>
            <w:tcW w:w="7760" w:type="dxa"/>
            <w:vAlign w:val="bottom"/>
            <w:gridSpan w:val="2"/>
          </w:tcPr>
          <w:p>
            <w:pPr>
              <w:ind w:left="240"/>
              <w:spacing w:after="0"/>
              <w:rPr>
                <w:sz w:val="20"/>
                <w:szCs w:val="20"/>
                <w:color w:val="auto"/>
              </w:rPr>
            </w:pPr>
            <w:r>
              <w:rPr>
                <w:rFonts w:ascii="Calibri" w:cs="Calibri" w:eastAsia="Calibri" w:hAnsi="Calibri"/>
                <w:sz w:val="15"/>
                <w:szCs w:val="15"/>
                <w:color w:val="auto"/>
              </w:rPr>
              <w:t>Adjustments to reconcile net income to net cash provided by operatng actvites:</w:t>
            </w: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320"/>
              <w:spacing w:after="0"/>
              <w:rPr>
                <w:sz w:val="20"/>
                <w:szCs w:val="20"/>
                <w:color w:val="auto"/>
              </w:rPr>
            </w:pPr>
            <w:r>
              <w:rPr>
                <w:rFonts w:ascii="Calibri" w:cs="Calibri" w:eastAsia="Calibri" w:hAnsi="Calibri"/>
                <w:sz w:val="15"/>
                <w:szCs w:val="15"/>
                <w:color w:val="auto"/>
              </w:rPr>
              <w:t>Depreciaton and amortzaton</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91,004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98,660</w:t>
            </w:r>
          </w:p>
        </w:tc>
      </w:tr>
      <w:tr>
        <w:trPr>
          <w:trHeight w:val="184"/>
        </w:trPr>
        <w:tc>
          <w:tcPr>
            <w:tcW w:w="7760" w:type="dxa"/>
            <w:vAlign w:val="bottom"/>
            <w:gridSpan w:val="2"/>
          </w:tcPr>
          <w:p>
            <w:pPr>
              <w:ind w:left="320"/>
              <w:spacing w:after="0"/>
              <w:rPr>
                <w:sz w:val="20"/>
                <w:szCs w:val="20"/>
                <w:color w:val="auto"/>
              </w:rPr>
            </w:pPr>
            <w:r>
              <w:rPr>
                <w:rFonts w:ascii="Calibri" w:cs="Calibri" w:eastAsia="Calibri" w:hAnsi="Calibri"/>
                <w:sz w:val="15"/>
                <w:szCs w:val="15"/>
                <w:color w:val="auto"/>
              </w:rPr>
              <w:t>Provision for credit losses</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61,359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49,174</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320"/>
              <w:spacing w:after="0"/>
              <w:rPr>
                <w:sz w:val="20"/>
                <w:szCs w:val="20"/>
                <w:color w:val="auto"/>
              </w:rPr>
            </w:pPr>
            <w:r>
              <w:rPr>
                <w:rFonts w:ascii="Calibri" w:cs="Calibri" w:eastAsia="Calibri" w:hAnsi="Calibri"/>
                <w:sz w:val="15"/>
                <w:szCs w:val="15"/>
                <w:color w:val="auto"/>
              </w:rPr>
              <w:t>Deferred taxes</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(58,223)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6,685</w:t>
            </w:r>
          </w:p>
        </w:tc>
      </w:tr>
      <w:tr>
        <w:trPr>
          <w:trHeight w:val="184"/>
        </w:trPr>
        <w:tc>
          <w:tcPr>
            <w:tcW w:w="7760" w:type="dxa"/>
            <w:vAlign w:val="bottom"/>
            <w:gridSpan w:val="2"/>
          </w:tcPr>
          <w:p>
            <w:pPr>
              <w:ind w:left="320"/>
              <w:spacing w:after="0"/>
              <w:rPr>
                <w:sz w:val="20"/>
                <w:szCs w:val="20"/>
                <w:color w:val="auto"/>
              </w:rPr>
            </w:pPr>
            <w:r>
              <w:rPr>
                <w:rFonts w:ascii="Calibri" w:cs="Calibri" w:eastAsia="Calibri" w:hAnsi="Calibri"/>
                <w:sz w:val="15"/>
                <w:szCs w:val="15"/>
                <w:color w:val="auto"/>
              </w:rPr>
              <w:t>Stock-based compensaton</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25,310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26,785</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320"/>
              <w:spacing w:after="0"/>
              <w:rPr>
                <w:sz w:val="20"/>
                <w:szCs w:val="20"/>
                <w:color w:val="auto"/>
              </w:rPr>
            </w:pPr>
            <w:r>
              <w:rPr>
                <w:rFonts w:ascii="Calibri" w:cs="Calibri" w:eastAsia="Calibri" w:hAnsi="Calibri"/>
                <w:sz w:val="15"/>
                <w:szCs w:val="15"/>
                <w:color w:val="auto"/>
              </w:rPr>
              <w:t>Changes in assets and liabilites, net of acquisitons:</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r>
      <w:tr>
        <w:trPr>
          <w:trHeight w:val="184"/>
        </w:trPr>
        <w:tc>
          <w:tcPr>
            <w:tcW w:w="7760" w:type="dxa"/>
            <w:vAlign w:val="bottom"/>
            <w:gridSpan w:val="2"/>
          </w:tcPr>
          <w:p>
            <w:pPr>
              <w:ind w:left="440"/>
              <w:spacing w:after="0"/>
              <w:rPr>
                <w:sz w:val="20"/>
                <w:szCs w:val="20"/>
                <w:color w:val="auto"/>
              </w:rPr>
            </w:pPr>
            <w:r>
              <w:rPr>
                <w:rFonts w:ascii="Calibri" w:cs="Calibri" w:eastAsia="Calibri" w:hAnsi="Calibri"/>
                <w:sz w:val="15"/>
                <w:szCs w:val="15"/>
                <w:color w:val="auto"/>
              </w:rPr>
              <w:t>Receivables</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(348,106)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(237,395)</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440"/>
              <w:spacing w:after="0"/>
              <w:rPr>
                <w:sz w:val="20"/>
                <w:szCs w:val="20"/>
                <w:color w:val="auto"/>
              </w:rPr>
            </w:pPr>
            <w:r>
              <w:rPr>
                <w:rFonts w:ascii="Calibri" w:cs="Calibri" w:eastAsia="Calibri" w:hAnsi="Calibri"/>
                <w:sz w:val="15"/>
                <w:szCs w:val="15"/>
                <w:color w:val="auto"/>
              </w:rPr>
              <w:t>Prepaid expenses, other current and noncurrent assets</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(18,037)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(17,438)</w:t>
            </w:r>
          </w:p>
        </w:tc>
      </w:tr>
      <w:tr>
        <w:trPr>
          <w:trHeight w:val="184"/>
        </w:trPr>
        <w:tc>
          <w:tcPr>
            <w:tcW w:w="7760" w:type="dxa"/>
            <w:vAlign w:val="bottom"/>
            <w:gridSpan w:val="2"/>
          </w:tcPr>
          <w:p>
            <w:pPr>
              <w:ind w:left="440"/>
              <w:spacing w:after="0"/>
              <w:rPr>
                <w:sz w:val="20"/>
                <w:szCs w:val="20"/>
                <w:color w:val="auto"/>
              </w:rPr>
            </w:pPr>
            <w:r>
              <w:rPr>
                <w:rFonts w:ascii="Calibri" w:cs="Calibri" w:eastAsia="Calibri" w:hAnsi="Calibri"/>
                <w:sz w:val="15"/>
                <w:szCs w:val="15"/>
                <w:color w:val="auto"/>
              </w:rPr>
              <w:t>Accounts payable, accrued expenses, salaries, wages and payroll taxes</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223,045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122,025</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440"/>
              <w:spacing w:after="0"/>
              <w:rPr>
                <w:sz w:val="20"/>
                <w:szCs w:val="20"/>
                <w:color w:val="auto"/>
              </w:rPr>
            </w:pPr>
            <w:r>
              <w:rPr>
                <w:rFonts w:ascii="Calibri" w:cs="Calibri" w:eastAsia="Calibri" w:hAnsi="Calibri"/>
                <w:sz w:val="15"/>
                <w:szCs w:val="15"/>
                <w:color w:val="auto"/>
              </w:rPr>
              <w:t>Deferred revenue, other current and noncurrent liabilites</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12,483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22,054</w:t>
            </w:r>
          </w:p>
        </w:tc>
      </w:tr>
      <w:tr>
        <w:trPr>
          <w:trHeight w:val="184"/>
        </w:trPr>
        <w:tc>
          <w:tcPr>
            <w:tcW w:w="7760" w:type="dxa"/>
            <w:vAlign w:val="bottom"/>
            <w:gridSpan w:val="2"/>
          </w:tcPr>
          <w:p>
            <w:pPr>
              <w:ind w:left="440"/>
              <w:spacing w:after="0"/>
              <w:rPr>
                <w:sz w:val="20"/>
                <w:szCs w:val="20"/>
                <w:color w:val="auto"/>
              </w:rPr>
            </w:pPr>
            <w:r>
              <w:rPr>
                <w:rFonts w:ascii="Calibri" w:cs="Calibri" w:eastAsia="Calibri" w:hAnsi="Calibri"/>
                <w:sz w:val="15"/>
                <w:szCs w:val="15"/>
                <w:color w:val="auto"/>
              </w:rPr>
              <w:t>Income tax receivables, accrued income taxes and income tax reserves</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93,961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179,692</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7760" w:type="dxa"/>
            <w:vAlign w:val="bottom"/>
            <w:tcBorders>
              <w:bottom w:val="single" w:sz="8" w:color="CCEEFF"/>
            </w:tcBorders>
            <w:gridSpan w:val="2"/>
            <w:shd w:val="clear" w:color="auto" w:fill="CCEEFF"/>
          </w:tcPr>
          <w:p>
            <w:pPr>
              <w:ind w:left="440"/>
              <w:spacing w:after="0"/>
              <w:rPr>
                <w:sz w:val="20"/>
                <w:szCs w:val="20"/>
                <w:color w:val="auto"/>
              </w:rPr>
            </w:pPr>
            <w:r>
              <w:rPr>
                <w:rFonts w:ascii="Calibri" w:cs="Calibri" w:eastAsia="Calibri" w:hAnsi="Calibri"/>
                <w:sz w:val="15"/>
                <w:szCs w:val="15"/>
                <w:color w:val="auto"/>
              </w:rPr>
              <w:t>Other, net</w:t>
            </w:r>
          </w:p>
        </w:tc>
        <w:tc>
          <w:tcPr>
            <w:tcW w:w="5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(3,285)</w:t>
            </w:r>
          </w:p>
        </w:tc>
      </w:tr>
      <w:tr>
        <w:trPr>
          <w:trHeight w:val="177"/>
        </w:trPr>
        <w:tc>
          <w:tcPr>
            <w:tcW w:w="7760" w:type="dxa"/>
            <w:vAlign w:val="bottom"/>
            <w:gridSpan w:val="2"/>
          </w:tcPr>
          <w:p>
            <w:pPr>
              <w:ind w:left="520"/>
              <w:spacing w:after="0" w:line="173" w:lineRule="exact"/>
              <w:rPr>
                <w:sz w:val="20"/>
                <w:szCs w:val="20"/>
                <w:color w:val="auto"/>
              </w:rPr>
            </w:pPr>
            <w:r>
              <w:rPr>
                <w:rFonts w:ascii="Calibri" w:cs="Calibri" w:eastAsia="Calibri" w:hAnsi="Calibri"/>
                <w:sz w:val="15"/>
                <w:szCs w:val="15"/>
                <w:color w:val="auto"/>
              </w:rPr>
              <w:t>Net cash provided by operatng actvites</w:t>
            </w:r>
          </w:p>
        </w:tc>
        <w:tc>
          <w:tcPr>
            <w:tcW w:w="5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420,264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498,386</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6"/>
        </w:trPr>
        <w:tc>
          <w:tcPr>
            <w:tcW w:w="77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CASH FLOWS FROM INVESTING ACTIVITIES:</w:t>
            </w:r>
          </w:p>
        </w:tc>
        <w:tc>
          <w:tcPr>
            <w:tcW w:w="5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Capital expenditures</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(53,831)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(56,661)</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Payments made for business acquisitons, net of cash acquired</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(43,163)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(47,740)</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Franchise loans funded</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(18,815)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(21,566)</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Payments from franchisees</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12,884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14,963</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Other, net</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3,282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9,717</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9"/>
        </w:trPr>
        <w:tc>
          <w:tcPr>
            <w:tcW w:w="776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Net cash used in investng actvites</w:t>
            </w:r>
          </w:p>
        </w:tc>
        <w:tc>
          <w:tcPr>
            <w:tcW w:w="5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(99,643)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(101,287)</w:t>
            </w:r>
          </w:p>
        </w:tc>
      </w:tr>
      <w:tr>
        <w:trPr>
          <w:trHeight w:val="164"/>
        </w:trPr>
        <w:tc>
          <w:tcPr>
            <w:tcW w:w="776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CASH FLOWS FROM FINANCING ACTIVITIES:</w:t>
            </w:r>
          </w:p>
        </w:tc>
        <w:tc>
          <w:tcPr>
            <w:tcW w:w="5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Repayments of line of credit borrowings</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(1,025,000)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(970,000)</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Proceeds from line of credit borrowings</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1,025,000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970,000</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Dividends paid</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(135,127)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(133,762)</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Repurchase of common stock, including shares surrendered</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(379,018)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(365,852)</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Other, net</w:t>
            </w:r>
          </w:p>
        </w:tc>
        <w:tc>
          <w:tcPr>
            <w:tcW w:w="5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(6,358)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(5,973)</w:t>
            </w:r>
          </w:p>
        </w:tc>
      </w:tr>
      <w:tr>
        <w:trPr>
          <w:trHeight w:val="177"/>
        </w:trPr>
        <w:tc>
          <w:tcPr>
            <w:tcW w:w="776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Net cash used in fnancing actvites</w:t>
            </w:r>
          </w:p>
        </w:tc>
        <w:tc>
          <w:tcPr>
            <w:tcW w:w="5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(520,503)</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(505,587)</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9"/>
        </w:trPr>
        <w:tc>
          <w:tcPr>
            <w:tcW w:w="77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Efects of exchange rate changes on cash</w:t>
            </w:r>
          </w:p>
        </w:tc>
        <w:tc>
          <w:tcPr>
            <w:tcW w:w="5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(2,739)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(7,880)</w:t>
            </w:r>
          </w:p>
        </w:tc>
      </w:tr>
      <w:tr>
        <w:trPr>
          <w:trHeight w:val="184"/>
        </w:trPr>
        <w:tc>
          <w:tcPr>
            <w:tcW w:w="7760" w:type="dxa"/>
            <w:vAlign w:val="bottom"/>
            <w:gridSpan w:val="2"/>
          </w:tcPr>
          <w:p>
            <w:pPr>
              <w:ind w:left="20"/>
              <w:spacing w:after="0"/>
              <w:rPr>
                <w:sz w:val="20"/>
                <w:szCs w:val="20"/>
                <w:color w:val="auto"/>
              </w:rPr>
            </w:pPr>
            <w:r>
              <w:rPr>
                <w:rFonts w:ascii="Calibri" w:cs="Calibri" w:eastAsia="Calibri" w:hAnsi="Calibri"/>
                <w:sz w:val="15"/>
                <w:szCs w:val="15"/>
                <w:color w:val="auto"/>
              </w:rPr>
              <w:t>Net decrease in cash and cash equivalents, including restricted balances</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(202,621)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(116,368)</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cash equivalents and restricted cash, beginning of period</w:t>
            </w:r>
          </w:p>
        </w:tc>
        <w:tc>
          <w:tcPr>
            <w:tcW w:w="5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1,015,316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1,050,713</w:t>
            </w:r>
          </w:p>
        </w:tc>
      </w:tr>
      <w:tr>
        <w:trPr>
          <w:trHeight w:val="177"/>
        </w:trPr>
        <w:tc>
          <w:tcPr>
            <w:tcW w:w="77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Cash, cash equivalents and restricted cash, end of period</w:t>
            </w:r>
          </w:p>
        </w:tc>
        <w:tc>
          <w:tcPr>
            <w:tcW w:w="520" w:type="dxa"/>
            <w:vAlign w:val="bottom"/>
            <w:tcBorders>
              <w:top w:val="single" w:sz="8" w:color="auto"/>
            </w:tcBorders>
          </w:tcPr>
          <w:p>
            <w:pPr>
              <w:jc w:val="right"/>
              <w:ind w:right="343"/>
              <w:spacing w:after="0" w:line="177" w:lineRule="exact"/>
              <w:rPr>
                <w:sz w:val="20"/>
                <w:szCs w:val="20"/>
                <w:color w:val="auto"/>
              </w:rPr>
            </w:pPr>
            <w:r>
              <w:rPr>
                <w:rFonts w:ascii="Calibri" w:cs="Calibri" w:eastAsia="Calibri" w:hAnsi="Calibri"/>
                <w:sz w:val="15"/>
                <w:szCs w:val="15"/>
                <w:b w:val="1"/>
                <w:bCs w:val="1"/>
                <w:color w:val="auto"/>
              </w:rPr>
              <w:t>$</w:t>
            </w:r>
          </w:p>
        </w:tc>
        <w:tc>
          <w:tcPr>
            <w:tcW w:w="11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812,695</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3"/>
              <w:spacing w:after="0" w:line="177" w:lineRule="exact"/>
              <w:rPr>
                <w:sz w:val="20"/>
                <w:szCs w:val="20"/>
                <w:color w:val="auto"/>
              </w:rPr>
            </w:pPr>
            <w:r>
              <w:rPr>
                <w:rFonts w:ascii="Calibri" w:cs="Calibri" w:eastAsia="Calibri" w:hAnsi="Calibri"/>
                <w:sz w:val="15"/>
                <w:szCs w:val="15"/>
                <w:color w:val="auto"/>
              </w:rPr>
              <w:t>$</w:t>
            </w: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934,345</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6"/>
        </w:trPr>
        <w:tc>
          <w:tcPr>
            <w:tcW w:w="77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SUPPLEMENTARY CASH FLOW DATA:</w:t>
            </w:r>
          </w:p>
        </w:tc>
        <w:tc>
          <w:tcPr>
            <w:tcW w:w="5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Income taxes paid (received), net</w:t>
            </w:r>
          </w:p>
        </w:tc>
        <w:tc>
          <w:tcPr>
            <w:tcW w:w="520" w:type="dxa"/>
            <w:vAlign w:val="bottom"/>
          </w:tcPr>
          <w:p>
            <w:pPr>
              <w:jc w:val="right"/>
              <w:ind w:right="343"/>
              <w:spacing w:after="0"/>
              <w:rPr>
                <w:sz w:val="20"/>
                <w:szCs w:val="20"/>
                <w:color w:val="auto"/>
              </w:rPr>
            </w:pPr>
            <w:r>
              <w:rPr>
                <w:rFonts w:ascii="Calibri" w:cs="Calibri" w:eastAsia="Calibri" w:hAnsi="Calibri"/>
                <w:sz w:val="15"/>
                <w:szCs w:val="15"/>
                <w:b w:val="1"/>
                <w:bCs w:val="1"/>
                <w:color w:val="auto"/>
              </w:rPr>
              <w:t>$</w:t>
            </w: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35,888</w:t>
            </w:r>
          </w:p>
        </w:tc>
        <w:tc>
          <w:tcPr>
            <w:tcW w:w="100" w:type="dxa"/>
            <w:vAlign w:val="bottom"/>
          </w:tcPr>
          <w:p>
            <w:pPr>
              <w:spacing w:after="0"/>
              <w:rPr>
                <w:sz w:val="16"/>
                <w:szCs w:val="16"/>
                <w:color w:val="auto"/>
              </w:rPr>
            </w:pPr>
          </w:p>
        </w:tc>
        <w:tc>
          <w:tcPr>
            <w:tcW w:w="320" w:type="dxa"/>
            <w:vAlign w:val="bottom"/>
          </w:tcPr>
          <w:p>
            <w:pPr>
              <w:jc w:val="right"/>
              <w:ind w:right="143"/>
              <w:spacing w:after="0"/>
              <w:rPr>
                <w:sz w:val="20"/>
                <w:szCs w:val="20"/>
                <w:color w:val="auto"/>
              </w:rPr>
            </w:pPr>
            <w:r>
              <w:rPr>
                <w:rFonts w:ascii="Calibri" w:cs="Calibri" w:eastAsia="Calibri" w:hAnsi="Calibri"/>
                <w:sz w:val="15"/>
                <w:szCs w:val="15"/>
                <w:color w:val="auto"/>
              </w:rPr>
              <w:t>$</w:t>
            </w:r>
          </w:p>
        </w:tc>
        <w:tc>
          <w:tcPr>
            <w:tcW w:w="1360" w:type="dxa"/>
            <w:vAlign w:val="bottom"/>
          </w:tcPr>
          <w:p>
            <w:pPr>
              <w:jc w:val="right"/>
              <w:spacing w:after="0"/>
              <w:rPr>
                <w:sz w:val="20"/>
                <w:szCs w:val="20"/>
                <w:color w:val="auto"/>
              </w:rPr>
            </w:pPr>
            <w:r>
              <w:rPr>
                <w:rFonts w:ascii="Calibri" w:cs="Calibri" w:eastAsia="Calibri" w:hAnsi="Calibri"/>
                <w:sz w:val="15"/>
                <w:szCs w:val="15"/>
                <w:color w:val="auto"/>
              </w:rPr>
              <w:t>(110,028)</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Interest paid on borrowings</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66,464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59,429</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Accrued additons to property and equipment</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1,477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4,378</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New operatng right of use assets and related lease liabilites</w:t>
            </w:r>
          </w:p>
        </w:tc>
        <w:tc>
          <w:tcPr>
            <w:tcW w:w="5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139,872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131,949</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Accrued dividends payable to common shareholders</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5"/>
                <w:szCs w:val="15"/>
                <w:b w:val="1"/>
                <w:bCs w:val="1"/>
                <w:color w:val="auto"/>
              </w:rPr>
              <w:t>44,648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44,163</w:t>
            </w:r>
          </w:p>
        </w:tc>
      </w:tr>
      <w:tr>
        <w:trPr>
          <w:trHeight w:val="54"/>
        </w:trPr>
        <w:tc>
          <w:tcPr>
            <w:tcW w:w="76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r>
      <w:tr>
        <w:trPr>
          <w:trHeight w:val="20"/>
        </w:trPr>
        <w:tc>
          <w:tcPr>
            <w:tcW w:w="7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08"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6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 Q3 FY2024 Form 10-Q</w:t>
      </w:r>
      <w:r>
        <w:rPr>
          <w:sz w:val="20"/>
          <w:szCs w:val="20"/>
          <w:color w:val="auto"/>
        </w:rPr>
        <w:tab/>
      </w:r>
      <w:r>
        <w:rPr>
          <w:rFonts w:ascii="Calibri" w:cs="Calibri" w:eastAsia="Calibri" w:hAnsi="Calibri"/>
          <w:sz w:val="11"/>
          <w:szCs w:val="11"/>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Calibri" w:cs="Calibri" w:eastAsia="Calibri" w:hAnsi="Calibri"/>
          <w:sz w:val="15"/>
          <w:szCs w:val="15"/>
          <w:u w:val="single" w:color="auto"/>
          <w:color w:val="0000FF"/>
        </w:rPr>
        <w:t>Table of Contents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Calibri" w:cs="Calibri" w:eastAsia="Calibri" w:hAnsi="Calibri"/>
          <w:sz w:val="24"/>
          <w:szCs w:val="24"/>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27305</wp:posOffset>
            </wp:positionV>
            <wp:extent cx="7122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-168275</wp:posOffset>
            </wp:positionV>
            <wp:extent cx="7122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13"/>
          <w:szCs w:val="13"/>
          <w:color w:val="auto"/>
        </w:rPr>
        <w:t>(amounts in 000s, except per share amounts)</w:t>
      </w:r>
    </w:p>
    <w:p>
      <w:pPr>
        <w:spacing w:after="0" w:line="142" w:lineRule="exact"/>
        <w:rPr>
          <w:sz w:val="20"/>
          <w:szCs w:val="20"/>
          <w:color w:val="auto"/>
        </w:rPr>
      </w:pPr>
    </w:p>
    <w:p>
      <w:pPr>
        <w:sectPr>
          <w:pgSz w:w="11900" w:h="16838" w:orient="portrait"/>
          <w:cols w:equalWidth="0" w:num="2">
            <w:col w:w="7980" w:space="720"/>
            <w:col w:w="2540"/>
          </w:cols>
          <w:pgMar w:left="320" w:top="226" w:right="33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Calibri" w:cs="Calibri" w:eastAsia="Calibri" w:hAnsi="Calibri"/>
                <w:sz w:val="14"/>
                <w:szCs w:val="14"/>
                <w:color w:val="auto"/>
                <w:w w:val="95"/>
              </w:rPr>
              <w:t>Common Stock</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Additonal</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Calibri" w:cs="Calibri" w:eastAsia="Calibri" w:hAnsi="Calibri"/>
                <w:sz w:val="14"/>
                <w:szCs w:val="14"/>
                <w:color w:val="auto"/>
                <w:w w:val="97"/>
              </w:rPr>
              <w:t>Accumulated 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5"/>
          </w:tcPr>
          <w:p>
            <w:pPr>
              <w:ind w:left="500"/>
              <w:spacing w:after="0"/>
              <w:rPr>
                <w:sz w:val="20"/>
                <w:szCs w:val="20"/>
                <w:color w:val="auto"/>
              </w:rPr>
            </w:pPr>
            <w:r>
              <w:rPr>
                <w:rFonts w:ascii="Calibri" w:cs="Calibri" w:eastAsia="Calibri" w:hAnsi="Calibri"/>
                <w:sz w:val="14"/>
                <w:szCs w:val="14"/>
                <w:color w:val="auto"/>
              </w:rPr>
              <w:t>Treasury Stock</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Total</w:t>
            </w:r>
          </w:p>
        </w:tc>
      </w:tr>
      <w:tr>
        <w:trPr>
          <w:trHeight w:val="88"/>
        </w:trPr>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Paid-in</w:t>
            </w:r>
          </w:p>
        </w:tc>
        <w:tc>
          <w:tcPr>
            <w:tcW w:w="120" w:type="dxa"/>
            <w:vAlign w:val="bottom"/>
          </w:tcPr>
          <w:p>
            <w:pPr>
              <w:spacing w:after="0"/>
              <w:rPr>
                <w:sz w:val="7"/>
                <w:szCs w:val="7"/>
                <w:color w:val="auto"/>
              </w:rPr>
            </w:pPr>
          </w:p>
        </w:tc>
        <w:tc>
          <w:tcPr>
            <w:tcW w:w="12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Comprehensive</w:t>
            </w:r>
          </w:p>
        </w:tc>
        <w:tc>
          <w:tcPr>
            <w:tcW w:w="180" w:type="dxa"/>
            <w:vAlign w:val="bottom"/>
          </w:tcPr>
          <w:p>
            <w:pPr>
              <w:spacing w:after="0"/>
              <w:rPr>
                <w:sz w:val="7"/>
                <w:szCs w:val="7"/>
                <w:color w:val="auto"/>
              </w:rPr>
            </w:pPr>
          </w:p>
        </w:tc>
        <w:tc>
          <w:tcPr>
            <w:tcW w:w="800" w:type="dxa"/>
            <w:vAlign w:val="bottom"/>
            <w:gridSpan w:val="2"/>
          </w:tcPr>
          <w:p>
            <w:pPr>
              <w:ind w:left="180"/>
              <w:spacing w:after="0" w:line="88" w:lineRule="exact"/>
              <w:rPr>
                <w:sz w:val="20"/>
                <w:szCs w:val="20"/>
                <w:color w:val="auto"/>
              </w:rPr>
            </w:pPr>
            <w:r>
              <w:rPr>
                <w:rFonts w:ascii="Calibri" w:cs="Calibri" w:eastAsia="Calibri" w:hAnsi="Calibri"/>
                <w:sz w:val="9"/>
                <w:szCs w:val="9"/>
                <w:color w:val="auto"/>
              </w:rPr>
              <w:t>Retained</w:t>
            </w:r>
          </w:p>
        </w:tc>
        <w:tc>
          <w:tcPr>
            <w:tcW w:w="8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jc w:val="right"/>
              <w:spacing w:after="0" w:line="88" w:lineRule="exact"/>
              <w:rPr>
                <w:sz w:val="20"/>
                <w:szCs w:val="20"/>
                <w:color w:val="auto"/>
              </w:rPr>
            </w:pPr>
            <w:r>
              <w:rPr>
                <w:rFonts w:ascii="Calibri" w:cs="Calibri" w:eastAsia="Calibri" w:hAnsi="Calibri"/>
                <w:sz w:val="9"/>
                <w:szCs w:val="9"/>
                <w:color w:val="auto"/>
              </w:rPr>
              <w:t>Stockholders’</w:t>
            </w:r>
          </w:p>
        </w:tc>
      </w:tr>
      <w:tr>
        <w:trPr>
          <w:trHeight w:val="206"/>
        </w:trPr>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80"/>
              <w:spacing w:after="0" w:line="164" w:lineRule="exact"/>
              <w:rPr>
                <w:sz w:val="20"/>
                <w:szCs w:val="20"/>
                <w:color w:val="auto"/>
              </w:rPr>
            </w:pPr>
            <w:r>
              <w:rPr>
                <w:rFonts w:ascii="Calibri" w:cs="Calibri" w:eastAsia="Calibri" w:hAnsi="Calibri"/>
                <w:sz w:val="14"/>
                <w:szCs w:val="14"/>
                <w:color w:val="auto"/>
              </w:rPr>
              <w:t>Shares</w:t>
            </w:r>
          </w:p>
        </w:tc>
        <w:tc>
          <w:tcPr>
            <w:tcW w:w="380" w:type="dxa"/>
            <w:vAlign w:val="bottom"/>
          </w:tcPr>
          <w:p>
            <w:pPr>
              <w:spacing w:after="0"/>
              <w:rPr>
                <w:sz w:val="17"/>
                <w:szCs w:val="17"/>
                <w:color w:val="auto"/>
              </w:rPr>
            </w:pPr>
          </w:p>
        </w:tc>
        <w:tc>
          <w:tcPr>
            <w:tcW w:w="560" w:type="dxa"/>
            <w:vAlign w:val="bottom"/>
            <w:gridSpan w:val="2"/>
          </w:tcPr>
          <w:p>
            <w:pPr>
              <w:ind w:left="20"/>
              <w:spacing w:after="0" w:line="164" w:lineRule="exact"/>
              <w:rPr>
                <w:sz w:val="20"/>
                <w:szCs w:val="20"/>
                <w:color w:val="auto"/>
              </w:rPr>
            </w:pPr>
            <w:r>
              <w:rPr>
                <w:rFonts w:ascii="Calibri" w:cs="Calibri" w:eastAsia="Calibri" w:hAnsi="Calibri"/>
                <w:sz w:val="14"/>
                <w:szCs w:val="14"/>
                <w:color w:val="auto"/>
              </w:rPr>
              <w:t>Amount</w:t>
            </w:r>
          </w:p>
        </w:tc>
        <w:tc>
          <w:tcPr>
            <w:tcW w:w="200" w:type="dxa"/>
            <w:vAlign w:val="bottom"/>
          </w:tcPr>
          <w:p>
            <w:pPr>
              <w:spacing w:after="0"/>
              <w:rPr>
                <w:sz w:val="17"/>
                <w:szCs w:val="17"/>
                <w:color w:val="auto"/>
              </w:rPr>
            </w:pPr>
          </w:p>
        </w:tc>
        <w:tc>
          <w:tcPr>
            <w:tcW w:w="8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Capital</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6" w:lineRule="exact"/>
              <w:rPr>
                <w:sz w:val="20"/>
                <w:szCs w:val="20"/>
                <w:color w:val="auto"/>
              </w:rPr>
            </w:pPr>
            <w:r>
              <w:rPr>
                <w:rFonts w:ascii="Calibri" w:cs="Calibri" w:eastAsia="Calibri" w:hAnsi="Calibri"/>
                <w:sz w:val="14"/>
                <w:szCs w:val="14"/>
                <w:color w:val="auto"/>
              </w:rPr>
              <w:t>Loss</w:t>
            </w:r>
            <w:r>
              <w:rPr>
                <w:rFonts w:ascii="Calibri" w:cs="Calibri" w:eastAsia="Calibri" w:hAnsi="Calibri"/>
                <w:sz w:val="17"/>
                <w:szCs w:val="17"/>
                <w:color w:val="auto"/>
                <w:vertAlign w:val="superscript"/>
              </w:rPr>
              <w:t>(1)</w:t>
            </w:r>
          </w:p>
        </w:tc>
        <w:tc>
          <w:tcPr>
            <w:tcW w:w="180" w:type="dxa"/>
            <w:vAlign w:val="bottom"/>
          </w:tcPr>
          <w:p>
            <w:pPr>
              <w:spacing w:after="0"/>
              <w:rPr>
                <w:sz w:val="17"/>
                <w:szCs w:val="17"/>
                <w:color w:val="auto"/>
              </w:rPr>
            </w:pPr>
          </w:p>
        </w:tc>
        <w:tc>
          <w:tcPr>
            <w:tcW w:w="800" w:type="dxa"/>
            <w:vAlign w:val="bottom"/>
            <w:gridSpan w:val="2"/>
          </w:tcPr>
          <w:p>
            <w:pPr>
              <w:ind w:left="340"/>
              <w:spacing w:after="0"/>
              <w:rPr>
                <w:sz w:val="20"/>
                <w:szCs w:val="20"/>
                <w:color w:val="auto"/>
              </w:rPr>
            </w:pPr>
            <w:r>
              <w:rPr>
                <w:rFonts w:ascii="Calibri" w:cs="Calibri" w:eastAsia="Calibri" w:hAnsi="Calibri"/>
                <w:sz w:val="14"/>
                <w:szCs w:val="14"/>
                <w:color w:val="auto"/>
              </w:rPr>
              <w:t>Defcit</w:t>
            </w:r>
          </w:p>
        </w:tc>
        <w:tc>
          <w:tcPr>
            <w:tcW w:w="960" w:type="dxa"/>
            <w:vAlign w:val="bottom"/>
            <w:gridSpan w:val="2"/>
          </w:tcPr>
          <w:p>
            <w:pPr>
              <w:ind w:left="500"/>
              <w:spacing w:after="0" w:line="164" w:lineRule="exact"/>
              <w:rPr>
                <w:sz w:val="20"/>
                <w:szCs w:val="20"/>
                <w:color w:val="auto"/>
              </w:rPr>
            </w:pPr>
            <w:r>
              <w:rPr>
                <w:rFonts w:ascii="Calibri" w:cs="Calibri" w:eastAsia="Calibri" w:hAnsi="Calibri"/>
                <w:sz w:val="14"/>
                <w:szCs w:val="14"/>
                <w:color w:val="auto"/>
              </w:rPr>
              <w:t>Shares</w:t>
            </w:r>
          </w:p>
        </w:tc>
        <w:tc>
          <w:tcPr>
            <w:tcW w:w="160" w:type="dxa"/>
            <w:vAlign w:val="bottom"/>
          </w:tcPr>
          <w:p>
            <w:pPr>
              <w:spacing w:after="0"/>
              <w:rPr>
                <w:sz w:val="17"/>
                <w:szCs w:val="17"/>
                <w:color w:val="auto"/>
              </w:rPr>
            </w:pPr>
          </w:p>
        </w:tc>
        <w:tc>
          <w:tcPr>
            <w:tcW w:w="780" w:type="dxa"/>
            <w:vAlign w:val="bottom"/>
            <w:gridSpan w:val="2"/>
          </w:tcPr>
          <w:p>
            <w:pPr>
              <w:ind w:left="240"/>
              <w:spacing w:after="0" w:line="164" w:lineRule="exact"/>
              <w:rPr>
                <w:sz w:val="20"/>
                <w:szCs w:val="20"/>
                <w:color w:val="auto"/>
              </w:rPr>
            </w:pPr>
            <w:r>
              <w:rPr>
                <w:rFonts w:ascii="Calibri" w:cs="Calibri" w:eastAsia="Calibri" w:hAnsi="Calibri"/>
                <w:sz w:val="14"/>
                <w:szCs w:val="14"/>
                <w:color w:val="auto"/>
              </w:rPr>
              <w:t>Amount</w:t>
            </w:r>
          </w:p>
        </w:tc>
        <w:tc>
          <w:tcPr>
            <w:tcW w:w="100" w:type="dxa"/>
            <w:vAlign w:val="bottom"/>
          </w:tcPr>
          <w:p>
            <w:pPr>
              <w:spacing w:after="0"/>
              <w:rPr>
                <w:sz w:val="17"/>
                <w:szCs w:val="17"/>
                <w:color w:val="auto"/>
              </w:rPr>
            </w:pPr>
          </w:p>
        </w:tc>
        <w:tc>
          <w:tcPr>
            <w:tcW w:w="780" w:type="dxa"/>
            <w:vAlign w:val="bottom"/>
          </w:tcPr>
          <w:p>
            <w:pPr>
              <w:jc w:val="right"/>
              <w:spacing w:after="0" w:line="164" w:lineRule="exact"/>
              <w:rPr>
                <w:sz w:val="20"/>
                <w:szCs w:val="20"/>
                <w:color w:val="auto"/>
              </w:rPr>
            </w:pPr>
            <w:r>
              <w:rPr>
                <w:rFonts w:ascii="Calibri" w:cs="Calibri" w:eastAsia="Calibri" w:hAnsi="Calibri"/>
                <w:sz w:val="14"/>
                <w:szCs w:val="14"/>
                <w:color w:val="auto"/>
              </w:rPr>
              <w:t>Equity</w:t>
            </w:r>
          </w:p>
        </w:tc>
      </w:tr>
      <w:tr>
        <w:trPr>
          <w:trHeight w:val="177"/>
        </w:trPr>
        <w:tc>
          <w:tcPr>
            <w:tcW w:w="31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Balances as of July 1, 2023</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178,936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1,789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770,376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(37,099)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(48,677)</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(32,786)</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(654,325)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32,064</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(163,482)</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(163,482)</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loss</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(10,914)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(10,914)</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6,211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6,211</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(34,226)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(3,220)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b w:val="1"/>
                <w:bCs w:val="1"/>
                <w:color w:val="auto"/>
              </w:rPr>
              <w:t>1,867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b w:val="1"/>
                <w:bCs w:val="1"/>
                <w:color w:val="auto"/>
              </w:rPr>
              <w:t>37,348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(98)</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(823)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(28,464)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(28,464)</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(3,265)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b w:val="1"/>
                <w:bCs w:val="1"/>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(1,927)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(131,341)</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(133,300)</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$0.32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(46,901)</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(46,901)</w:t>
            </w: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September 30, 2023</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175,671</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1,757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740,434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(48,013)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(393,621)</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(31,742)</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(645,441)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(344,884)</w:t>
            </w: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(189,755)</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(189,755)</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income</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11,559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11,559</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9,270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9,270</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(46)</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b w:val="1"/>
                <w:bCs w:val="1"/>
                <w:color w:val="auto"/>
              </w:rPr>
              <w:t>348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b w:val="1"/>
                <w:bCs w:val="1"/>
                <w:color w:val="auto"/>
              </w:rPr>
              <w:t>7,087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6,876</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(125)</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(4,755)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b w:val="1"/>
                <w:bCs w:val="1"/>
                <w:color w:val="auto"/>
              </w:rPr>
              <w:t>(48)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(2,805)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(217,467)</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(220,320)</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$0.32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(45,273)</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(45,273)</w:t>
            </w: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December 31, 2023</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170,916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1,709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746,734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(36,454)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(846,162)</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(31,397)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(638,479)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(772,652)</w:t>
            </w: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income</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690,737</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690,737</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loss</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(9,882)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(9,882)</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7,140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7,140</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(223)</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b w:val="1"/>
                <w:bCs w:val="1"/>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b w:val="1"/>
                <w:bCs w:val="1"/>
                <w:color w:val="auto"/>
              </w:rPr>
              <w:t>300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(192)</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(309)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(309)</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Cash dividends declared - $0.32 per share</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(44,648)</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(44,648)</w:t>
            </w: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Balances as of March 31, 2024</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170,916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1,709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753,605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(46,336)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(200,296)</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(31,388)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(638,488)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(129,806)</w:t>
            </w:r>
          </w:p>
        </w:tc>
      </w:tr>
      <w:tr>
        <w:trPr>
          <w:trHeight w:val="32"/>
        </w:trPr>
        <w:tc>
          <w:tcPr>
            <w:tcW w:w="3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bl>
    <w:p>
      <w:pPr>
        <w:spacing w:after="0" w:line="56" w:lineRule="exact"/>
        <w:rPr>
          <w:sz w:val="20"/>
          <w:szCs w:val="20"/>
          <w:color w:val="auto"/>
        </w:rPr>
      </w:pPr>
    </w:p>
    <w:p>
      <w:pPr>
        <w:ind w:left="120" w:hanging="117"/>
        <w:spacing w:after="0"/>
        <w:tabs>
          <w:tab w:leader="none" w:pos="120" w:val="left"/>
        </w:tabs>
        <w:numPr>
          <w:ilvl w:val="0"/>
          <w:numId w:val="4"/>
        </w:numPr>
        <w:rPr>
          <w:rFonts w:ascii="Calibri" w:cs="Calibri" w:eastAsia="Calibri" w:hAnsi="Calibri"/>
          <w:sz w:val="14"/>
          <w:szCs w:val="14"/>
          <w:color w:val="auto"/>
          <w:vertAlign w:val="superscript"/>
        </w:rPr>
      </w:pPr>
      <w:r>
        <w:rPr>
          <w:rFonts w:ascii="Calibri" w:cs="Calibri" w:eastAsia="Calibri" w:hAnsi="Calibri"/>
          <w:sz w:val="11"/>
          <w:szCs w:val="11"/>
          <w:color w:val="auto"/>
        </w:rPr>
        <w:t>The balance of our accumulated other comprehensive loss consists of foreign currency translaton adjustments.</w:t>
      </w:r>
    </w:p>
    <w:p>
      <w:pPr>
        <w:spacing w:after="0" w:line="17" w:lineRule="exact"/>
        <w:rPr>
          <w:rFonts w:ascii="Calibri" w:cs="Calibri" w:eastAsia="Calibri" w:hAnsi="Calibri"/>
          <w:sz w:val="14"/>
          <w:szCs w:val="14"/>
          <w:color w:val="auto"/>
          <w:vertAlign w:val="superscript"/>
        </w:rPr>
      </w:pPr>
    </w:p>
    <w:p>
      <w:pPr>
        <w:ind w:left="120" w:hanging="117"/>
        <w:spacing w:after="0" w:line="192" w:lineRule="auto"/>
        <w:tabs>
          <w:tab w:leader="none" w:pos="120" w:val="left"/>
        </w:tabs>
        <w:numPr>
          <w:ilvl w:val="0"/>
          <w:numId w:val="4"/>
        </w:numPr>
        <w:rPr>
          <w:rFonts w:ascii="Calibri" w:cs="Calibri" w:eastAsia="Calibri" w:hAnsi="Calibri"/>
          <w:sz w:val="14"/>
          <w:szCs w:val="14"/>
          <w:color w:val="auto"/>
          <w:vertAlign w:val="superscript"/>
        </w:rPr>
      </w:pPr>
      <w:r>
        <w:rPr>
          <w:rFonts w:ascii="Calibri" w:cs="Calibri" w:eastAsia="Calibri" w:hAnsi="Calibri"/>
          <w:sz w:val="11"/>
          <w:szCs w:val="11"/>
          <w:color w:val="auto"/>
        </w:rPr>
        <w:t>Represents shares swapped or surrendered to us in connecton with the vestng or exercise of stock-based awards.</w:t>
      </w:r>
    </w:p>
    <w:p>
      <w:pPr>
        <w:spacing w:after="0" w:line="49"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hanging="169"/>
        <w:spacing w:after="0"/>
        <w:tabs>
          <w:tab w:leader="none" w:pos="260" w:val="left"/>
        </w:tabs>
        <w:numPr>
          <w:ilvl w:val="0"/>
          <w:numId w:val="5"/>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155575"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57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00"/>
        <w:spacing w:after="0"/>
        <w:rPr>
          <w:sz w:val="20"/>
          <w:szCs w:val="20"/>
          <w:color w:val="auto"/>
        </w:rPr>
      </w:pPr>
      <w:r>
        <w:rPr>
          <w:rFonts w:ascii="Calibri" w:cs="Calibri" w:eastAsia="Calibri" w:hAnsi="Calibri"/>
          <w:sz w:val="13"/>
          <w:szCs w:val="13"/>
          <w:color w:val="auto"/>
        </w:rPr>
        <w:t>(amounts 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-100330</wp:posOffset>
            </wp:positionV>
            <wp:extent cx="7122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30480</wp:posOffset>
            </wp:positionV>
            <wp:extent cx="7122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gridSpan w:val="3"/>
          </w:tcPr>
          <w:p>
            <w:pPr>
              <w:ind w:left="480"/>
              <w:spacing w:after="0"/>
              <w:rPr>
                <w:sz w:val="20"/>
                <w:szCs w:val="20"/>
                <w:color w:val="auto"/>
              </w:rPr>
            </w:pPr>
            <w:r>
              <w:rPr>
                <w:rFonts w:ascii="Calibri" w:cs="Calibri" w:eastAsia="Calibri" w:hAnsi="Calibri"/>
                <w:sz w:val="14"/>
                <w:szCs w:val="14"/>
                <w:color w:val="auto"/>
                <w:w w:val="95"/>
              </w:rPr>
              <w:t>Common Stock</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Additonal</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Calibri" w:cs="Calibri" w:eastAsia="Calibri" w:hAnsi="Calibri"/>
                <w:sz w:val="14"/>
                <w:szCs w:val="14"/>
                <w:color w:val="auto"/>
                <w:w w:val="97"/>
              </w:rPr>
              <w:t>Accumulated Other</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Retained</w:t>
            </w:r>
          </w:p>
        </w:tc>
        <w:tc>
          <w:tcPr>
            <w:tcW w:w="1820" w:type="dxa"/>
            <w:vAlign w:val="bottom"/>
            <w:tcBorders>
              <w:bottom w:val="single" w:sz="8" w:color="auto"/>
            </w:tcBorders>
            <w:gridSpan w:val="4"/>
          </w:tcPr>
          <w:p>
            <w:pPr>
              <w:ind w:left="500"/>
              <w:spacing w:after="0"/>
              <w:rPr>
                <w:sz w:val="20"/>
                <w:szCs w:val="20"/>
                <w:color w:val="auto"/>
              </w:rPr>
            </w:pPr>
            <w:r>
              <w:rPr>
                <w:rFonts w:ascii="Calibri" w:cs="Calibri" w:eastAsia="Calibri" w:hAnsi="Calibri"/>
                <w:sz w:val="14"/>
                <w:szCs w:val="14"/>
                <w:color w:val="auto"/>
              </w:rPr>
              <w:t>Treasury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Total</w:t>
            </w:r>
          </w:p>
        </w:tc>
        <w:tc>
          <w:tcPr>
            <w:tcW w:w="0" w:type="dxa"/>
            <w:vAlign w:val="bottom"/>
          </w:tcPr>
          <w:p>
            <w:pPr>
              <w:spacing w:after="0"/>
              <w:rPr>
                <w:sz w:val="1"/>
                <w:szCs w:val="1"/>
                <w:color w:val="auto"/>
              </w:rPr>
            </w:pPr>
          </w:p>
        </w:tc>
      </w:tr>
      <w:tr>
        <w:trPr>
          <w:trHeight w:val="88"/>
        </w:trPr>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ind w:left="480"/>
              <w:spacing w:after="0"/>
              <w:rPr>
                <w:sz w:val="20"/>
                <w:szCs w:val="20"/>
                <w:color w:val="auto"/>
              </w:rPr>
            </w:pPr>
            <w:r>
              <w:rPr>
                <w:rFonts w:ascii="Calibri" w:cs="Calibri" w:eastAsia="Calibri" w:hAnsi="Calibri"/>
                <w:sz w:val="14"/>
                <w:szCs w:val="14"/>
                <w:color w:val="auto"/>
              </w:rPr>
              <w:t>Shares</w:t>
            </w:r>
          </w:p>
        </w:tc>
        <w:tc>
          <w:tcPr>
            <w:tcW w:w="380" w:type="dxa"/>
            <w:vAlign w:val="bottom"/>
          </w:tcPr>
          <w:p>
            <w:pPr>
              <w:spacing w:after="0"/>
              <w:rPr>
                <w:sz w:val="7"/>
                <w:szCs w:val="7"/>
                <w:color w:val="auto"/>
              </w:rPr>
            </w:pPr>
          </w:p>
        </w:tc>
        <w:tc>
          <w:tcPr>
            <w:tcW w:w="56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Amount</w:t>
            </w:r>
          </w:p>
        </w:tc>
        <w:tc>
          <w:tcPr>
            <w:tcW w:w="200" w:type="dxa"/>
            <w:vAlign w:val="bottom"/>
          </w:tcPr>
          <w:p>
            <w:pPr>
              <w:spacing w:after="0"/>
              <w:rPr>
                <w:sz w:val="7"/>
                <w:szCs w:val="7"/>
                <w:color w:val="auto"/>
              </w:rPr>
            </w:pPr>
          </w:p>
        </w:tc>
        <w:tc>
          <w:tcPr>
            <w:tcW w:w="8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Paid-in</w:t>
            </w:r>
          </w:p>
        </w:tc>
        <w:tc>
          <w:tcPr>
            <w:tcW w:w="120" w:type="dxa"/>
            <w:vAlign w:val="bottom"/>
          </w:tcPr>
          <w:p>
            <w:pPr>
              <w:spacing w:after="0"/>
              <w:rPr>
                <w:sz w:val="7"/>
                <w:szCs w:val="7"/>
                <w:color w:val="auto"/>
              </w:rPr>
            </w:pPr>
          </w:p>
        </w:tc>
        <w:tc>
          <w:tcPr>
            <w:tcW w:w="12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Comprehensive</w:t>
            </w:r>
          </w:p>
        </w:tc>
        <w:tc>
          <w:tcPr>
            <w:tcW w:w="180" w:type="dxa"/>
            <w:vAlign w:val="bottom"/>
          </w:tcPr>
          <w:p>
            <w:pPr>
              <w:spacing w:after="0"/>
              <w:rPr>
                <w:sz w:val="7"/>
                <w:szCs w:val="7"/>
                <w:color w:val="auto"/>
              </w:rPr>
            </w:pPr>
          </w:p>
        </w:tc>
        <w:tc>
          <w:tcPr>
            <w:tcW w:w="800" w:type="dxa"/>
            <w:vAlign w:val="bottom"/>
            <w:gridSpan w:val="2"/>
          </w:tcPr>
          <w:p>
            <w:pPr>
              <w:ind w:left="200"/>
              <w:spacing w:after="0" w:line="88" w:lineRule="exact"/>
              <w:rPr>
                <w:sz w:val="20"/>
                <w:szCs w:val="20"/>
                <w:color w:val="auto"/>
              </w:rPr>
            </w:pPr>
            <w:r>
              <w:rPr>
                <w:rFonts w:ascii="Calibri" w:cs="Calibri" w:eastAsia="Calibri" w:hAnsi="Calibri"/>
                <w:sz w:val="9"/>
                <w:szCs w:val="9"/>
                <w:color w:val="auto"/>
              </w:rPr>
              <w:t>Earnings</w:t>
            </w:r>
          </w:p>
        </w:tc>
        <w:tc>
          <w:tcPr>
            <w:tcW w:w="960" w:type="dxa"/>
            <w:vAlign w:val="bottom"/>
            <w:gridSpan w:val="2"/>
            <w:vMerge w:val="restart"/>
          </w:tcPr>
          <w:p>
            <w:pPr>
              <w:ind w:left="500"/>
              <w:spacing w:after="0"/>
              <w:rPr>
                <w:sz w:val="20"/>
                <w:szCs w:val="20"/>
                <w:color w:val="auto"/>
              </w:rPr>
            </w:pPr>
            <w:r>
              <w:rPr>
                <w:rFonts w:ascii="Calibri" w:cs="Calibri" w:eastAsia="Calibri" w:hAnsi="Calibri"/>
                <w:sz w:val="14"/>
                <w:szCs w:val="14"/>
                <w:color w:val="auto"/>
              </w:rPr>
              <w:t>Shares</w:t>
            </w:r>
          </w:p>
        </w:tc>
        <w:tc>
          <w:tcPr>
            <w:tcW w:w="160" w:type="dxa"/>
            <w:vAlign w:val="bottom"/>
          </w:tcPr>
          <w:p>
            <w:pPr>
              <w:spacing w:after="0"/>
              <w:rPr>
                <w:sz w:val="7"/>
                <w:szCs w:val="7"/>
                <w:color w:val="auto"/>
              </w:rPr>
            </w:pPr>
          </w:p>
        </w:tc>
        <w:tc>
          <w:tcPr>
            <w:tcW w:w="780" w:type="dxa"/>
            <w:vAlign w:val="bottom"/>
            <w:gridSpan w:val="2"/>
            <w:vMerge w:val="restart"/>
          </w:tcPr>
          <w:p>
            <w:pPr>
              <w:ind w:left="240"/>
              <w:spacing w:after="0"/>
              <w:rPr>
                <w:sz w:val="20"/>
                <w:szCs w:val="20"/>
                <w:color w:val="auto"/>
              </w:rPr>
            </w:pPr>
            <w:r>
              <w:rPr>
                <w:rFonts w:ascii="Calibri" w:cs="Calibri" w:eastAsia="Calibri" w:hAnsi="Calibri"/>
                <w:sz w:val="14"/>
                <w:szCs w:val="14"/>
                <w:color w:val="auto"/>
              </w:rPr>
              <w:t>Amount</w:t>
            </w:r>
          </w:p>
        </w:tc>
        <w:tc>
          <w:tcPr>
            <w:tcW w:w="100" w:type="dxa"/>
            <w:vAlign w:val="bottom"/>
          </w:tcPr>
          <w:p>
            <w:pPr>
              <w:spacing w:after="0"/>
              <w:rPr>
                <w:sz w:val="7"/>
                <w:szCs w:val="7"/>
                <w:color w:val="auto"/>
              </w:rPr>
            </w:pPr>
          </w:p>
        </w:tc>
        <w:tc>
          <w:tcPr>
            <w:tcW w:w="780" w:type="dxa"/>
            <w:vAlign w:val="bottom"/>
          </w:tcPr>
          <w:p>
            <w:pPr>
              <w:jc w:val="right"/>
              <w:spacing w:after="0" w:line="88" w:lineRule="exact"/>
              <w:rPr>
                <w:sz w:val="20"/>
                <w:szCs w:val="20"/>
                <w:color w:val="auto"/>
              </w:rPr>
            </w:pPr>
            <w:r>
              <w:rPr>
                <w:rFonts w:ascii="Calibri" w:cs="Calibri" w:eastAsia="Calibri" w:hAnsi="Calibri"/>
                <w:sz w:val="9"/>
                <w:szCs w:val="9"/>
                <w:color w:val="auto"/>
              </w:rPr>
              <w:t>Stockholders’</w:t>
            </w: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Capital</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6" w:lineRule="exact"/>
              <w:rPr>
                <w:sz w:val="20"/>
                <w:szCs w:val="20"/>
                <w:color w:val="auto"/>
              </w:rPr>
            </w:pPr>
            <w:r>
              <w:rPr>
                <w:rFonts w:ascii="Calibri" w:cs="Calibri" w:eastAsia="Calibri" w:hAnsi="Calibri"/>
                <w:sz w:val="14"/>
                <w:szCs w:val="14"/>
                <w:color w:val="auto"/>
              </w:rPr>
              <w:t>Loss</w:t>
            </w:r>
            <w:r>
              <w:rPr>
                <w:rFonts w:ascii="Calibri" w:cs="Calibri" w:eastAsia="Calibri" w:hAnsi="Calibri"/>
                <w:sz w:val="17"/>
                <w:szCs w:val="17"/>
                <w:color w:val="auto"/>
                <w:vertAlign w:val="superscript"/>
              </w:rPr>
              <w:t>(1)</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(Defcit)</w:t>
            </w: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64" w:lineRule="exact"/>
              <w:rPr>
                <w:sz w:val="20"/>
                <w:szCs w:val="20"/>
                <w:color w:val="auto"/>
              </w:rPr>
            </w:pPr>
            <w:r>
              <w:rPr>
                <w:rFonts w:ascii="Calibri" w:cs="Calibri" w:eastAsia="Calibri" w:hAnsi="Calibri"/>
                <w:sz w:val="14"/>
                <w:szCs w:val="14"/>
                <w:color w:val="auto"/>
              </w:rPr>
              <w:t>Equity</w:t>
            </w:r>
          </w:p>
        </w:tc>
        <w:tc>
          <w:tcPr>
            <w:tcW w:w="0" w:type="dxa"/>
            <w:vAlign w:val="bottom"/>
          </w:tcPr>
          <w:p>
            <w:pPr>
              <w:spacing w:after="0"/>
              <w:rPr>
                <w:sz w:val="1"/>
                <w:szCs w:val="1"/>
                <w:color w:val="auto"/>
              </w:rPr>
            </w:pPr>
          </w:p>
        </w:tc>
      </w:tr>
      <w:tr>
        <w:trPr>
          <w:trHeight w:val="177"/>
        </w:trPr>
        <w:tc>
          <w:tcPr>
            <w:tcW w:w="31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Balances as of July 1, 2022</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193,571</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1,936</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772,182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(21,645)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120,405</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(33,641)</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(661,247)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211,631</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(168,421)</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(168,421)</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loss</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color w:val="auto"/>
              </w:rPr>
              <w:t>(32,345)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(32,345)</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5,630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5,630</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(15,276)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(742)</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805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15,839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(179)</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(341)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(15,432)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(15,432)</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color w:val="auto"/>
              </w:rPr>
              <w:t>(4,927)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(2,907)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(216,813)</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(219,769)</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$0.29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(46,100)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(46,100)</w:t>
            </w:r>
          </w:p>
        </w:tc>
        <w:tc>
          <w:tcPr>
            <w:tcW w:w="0" w:type="dxa"/>
            <w:vAlign w:val="bottom"/>
          </w:tcPr>
          <w:p>
            <w:pPr>
              <w:spacing w:after="0"/>
              <w:rPr>
                <w:sz w:val="1"/>
                <w:szCs w:val="1"/>
                <w:color w:val="auto"/>
              </w:rPr>
            </w:pP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September 30, 2022</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188,644</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1,887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759,629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(53,990)</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(311,671)</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(33,177)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(660,840)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(264,985)</w:t>
            </w:r>
          </w:p>
        </w:tc>
        <w:tc>
          <w:tcPr>
            <w:tcW w:w="0" w:type="dxa"/>
            <w:vAlign w:val="bottom"/>
          </w:tcPr>
          <w:p>
            <w:pPr>
              <w:spacing w:after="0"/>
              <w:rPr>
                <w:sz w:val="1"/>
                <w:szCs w:val="1"/>
                <w:color w:val="auto"/>
              </w:rPr>
            </w:pP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(223,579)</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(223,579)</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income</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color w:val="auto"/>
              </w:rPr>
              <w:t>9,307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9,307</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9,544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9,544</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421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(209)</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1,023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1,235</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(79)</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color w:val="auto"/>
              </w:rPr>
              <w:t>(3,241)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(1,911)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(128,409)</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(130,353)</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$0.29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(44,569)</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(44,569)</w:t>
            </w:r>
          </w:p>
        </w:tc>
        <w:tc>
          <w:tcPr>
            <w:tcW w:w="0" w:type="dxa"/>
            <w:vAlign w:val="bottom"/>
          </w:tcPr>
          <w:p>
            <w:pPr>
              <w:spacing w:after="0"/>
              <w:rPr>
                <w:sz w:val="1"/>
                <w:szCs w:val="1"/>
                <w:color w:val="auto"/>
              </w:rPr>
            </w:pP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December 31, 2022</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185,403</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1,854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767,683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(44,683)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(708,437)</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(33,127)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(659,896)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(643,479)</w:t>
            </w:r>
          </w:p>
        </w:tc>
        <w:tc>
          <w:tcPr>
            <w:tcW w:w="0" w:type="dxa"/>
            <w:vAlign w:val="bottom"/>
          </w:tcPr>
          <w:p>
            <w:pPr>
              <w:spacing w:after="0"/>
              <w:rPr>
                <w:sz w:val="1"/>
                <w:szCs w:val="1"/>
                <w:color w:val="auto"/>
              </w:rPr>
            </w:pP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income</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643,429</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643,429</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income</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color w:val="auto"/>
              </w:rPr>
              <w:t>402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402</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7,830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7,830</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(213)</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265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(192)</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(219)</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Cash dividends declared - $0.29 per share</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(44,163)</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(44,163)</w:t>
            </w:r>
          </w:p>
        </w:tc>
        <w:tc>
          <w:tcPr>
            <w:tcW w:w="0" w:type="dxa"/>
            <w:vAlign w:val="bottom"/>
          </w:tcPr>
          <w:p>
            <w:pPr>
              <w:spacing w:after="0"/>
              <w:rPr>
                <w:sz w:val="1"/>
                <w:szCs w:val="1"/>
                <w:color w:val="auto"/>
              </w:rPr>
            </w:pP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Balances as of March 31, 2023</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185,403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1,854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775,269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(44,281)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(109,384)</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(33,120)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(659,850)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(36,392)</w:t>
            </w:r>
          </w:p>
        </w:tc>
        <w:tc>
          <w:tcPr>
            <w:tcW w:w="0" w:type="dxa"/>
            <w:vAlign w:val="bottom"/>
          </w:tcPr>
          <w:p>
            <w:pPr>
              <w:spacing w:after="0"/>
              <w:rPr>
                <w:sz w:val="1"/>
                <w:szCs w:val="1"/>
                <w:color w:val="auto"/>
              </w:rPr>
            </w:pPr>
          </w:p>
        </w:tc>
      </w:tr>
      <w:tr>
        <w:trPr>
          <w:trHeight w:val="32"/>
        </w:trPr>
        <w:tc>
          <w:tcPr>
            <w:tcW w:w="3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0" w:hanging="117"/>
        <w:spacing w:after="0"/>
        <w:tabs>
          <w:tab w:leader="none" w:pos="120" w:val="left"/>
        </w:tabs>
        <w:numPr>
          <w:ilvl w:val="0"/>
          <w:numId w:val="6"/>
        </w:numPr>
        <w:rPr>
          <w:rFonts w:ascii="Calibri" w:cs="Calibri" w:eastAsia="Calibri" w:hAnsi="Calibri"/>
          <w:sz w:val="14"/>
          <w:szCs w:val="14"/>
          <w:color w:val="auto"/>
          <w:vertAlign w:val="superscript"/>
        </w:rPr>
      </w:pPr>
      <w:r>
        <w:rPr>
          <w:rFonts w:ascii="Calibri" w:cs="Calibri" w:eastAsia="Calibri" w:hAnsi="Calibri"/>
          <w:sz w:val="11"/>
          <w:szCs w:val="11"/>
          <w:color w:val="auto"/>
        </w:rPr>
        <w:t>The balance of our accumulated other comprehensive loss consists of foreign currency translaton adjustments.</w:t>
      </w:r>
    </w:p>
    <w:p>
      <w:pPr>
        <w:spacing w:after="0" w:line="17" w:lineRule="exact"/>
        <w:rPr>
          <w:rFonts w:ascii="Calibri" w:cs="Calibri" w:eastAsia="Calibri" w:hAnsi="Calibri"/>
          <w:sz w:val="14"/>
          <w:szCs w:val="14"/>
          <w:color w:val="auto"/>
          <w:vertAlign w:val="superscript"/>
        </w:rPr>
      </w:pPr>
    </w:p>
    <w:p>
      <w:pPr>
        <w:ind w:left="120" w:hanging="117"/>
        <w:spacing w:after="0" w:line="192" w:lineRule="auto"/>
        <w:tabs>
          <w:tab w:leader="none" w:pos="120" w:val="left"/>
        </w:tabs>
        <w:numPr>
          <w:ilvl w:val="0"/>
          <w:numId w:val="6"/>
        </w:numPr>
        <w:rPr>
          <w:rFonts w:ascii="Calibri" w:cs="Calibri" w:eastAsia="Calibri" w:hAnsi="Calibri"/>
          <w:sz w:val="14"/>
          <w:szCs w:val="14"/>
          <w:color w:val="auto"/>
          <w:vertAlign w:val="superscript"/>
        </w:rPr>
      </w:pPr>
      <w:r>
        <w:rPr>
          <w:rFonts w:ascii="Calibri" w:cs="Calibri" w:eastAsia="Calibri" w:hAnsi="Calibri"/>
          <w:sz w:val="11"/>
          <w:szCs w:val="11"/>
          <w:color w:val="auto"/>
        </w:rPr>
        <w:t>Represents shares swapped or surrendered to us in connecton with the vestng or exercise of stock-based awards.</w:t>
      </w:r>
    </w:p>
    <w:p>
      <w:pPr>
        <w:spacing w:after="0" w:line="49"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780"/>
        <w:spacing w:after="0"/>
        <w:tabs>
          <w:tab w:leader="none" w:pos="1106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6976745</wp:posOffset>
            </wp:positionH>
            <wp:positionV relativeFrom="paragraph">
              <wp:posOffset>-94615</wp:posOffset>
            </wp:positionV>
            <wp:extent cx="163830"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83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5760" w:val="left"/>
        </w:tabs>
        <w:rPr>
          <w:sz w:val="20"/>
          <w:szCs w:val="20"/>
          <w:color w:val="auto"/>
        </w:rPr>
      </w:pPr>
      <w:r>
        <w:rPr>
          <w:rFonts w:ascii="Calibri" w:cs="Calibri" w:eastAsia="Calibri" w:hAnsi="Calibri"/>
          <w:sz w:val="24"/>
          <w:szCs w:val="24"/>
          <w:b w:val="1"/>
          <w:bCs w:val="1"/>
          <w:color w:val="14AA40"/>
        </w:rPr>
        <w:t>NOTES TO CONSOLIDATED FINANCIAL STATEMENTS</w:t>
      </w:r>
      <w:r>
        <w:rPr>
          <w:sz w:val="20"/>
          <w:szCs w:val="20"/>
          <w:color w:val="auto"/>
        </w:rPr>
        <w:tab/>
      </w:r>
      <w:r>
        <w:rPr>
          <w:rFonts w:ascii="Calibri" w:cs="Calibri" w:eastAsia="Calibri" w:hAnsi="Calibri"/>
          <w:sz w:val="20"/>
          <w:szCs w:val="20"/>
          <w:color w:val="auto"/>
        </w:rPr>
        <w:t>(unaudited)</w:t>
      </w:r>
    </w:p>
    <w:p>
      <w:pPr>
        <w:spacing w:after="0" w:line="9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1: SUMMARY OF SIGNIFICANT ACCOUNTING POLICIES</w:t>
      </w:r>
    </w:p>
    <w:p>
      <w:pPr>
        <w:spacing w:after="0" w:line="12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b w:val="1"/>
          <w:bCs w:val="1"/>
          <w:color w:val="auto"/>
        </w:rPr>
        <w:t xml:space="preserve">BASIS OF PRESENTATION </w:t>
      </w:r>
      <w:r>
        <w:rPr>
          <w:rFonts w:ascii="Calibri" w:cs="Calibri" w:eastAsia="Calibri" w:hAnsi="Calibri"/>
          <w:sz w:val="17"/>
          <w:szCs w:val="17"/>
          <w:color w:val="auto"/>
        </w:rPr>
        <w:t>– The consolidated balance sheets as of March 31, 2024 and June 30, 2023, the consolidated statements of operatons and comprehensive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income for the three and nine months ended March 31, 2024 and 2023, the consolidated statements of cash fows for the nine months ended March 31, 2024 and 2023, and the consolidated statements of stockholders' equity for the three and nine months ended March 31, 2024 and 2023 have been prepared by the Company, without audit. In the opinion of management, all adjustments, which include only normal recurring adjustments, necessary to present fairly the fnancial positon, results of operatons, and cash fows as of March 31, 2024 and 2023 and for all periods presented, have been made.</w:t>
      </w:r>
    </w:p>
    <w:p>
      <w:pPr>
        <w:spacing w:after="0" w:line="106"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"H&amp;R Block," "the Company," "we," "our," and "us" are used interchangeably to refer to H&amp;R Block, Inc., to H&amp;R Block, Inc. and its subsidiaries, or to H&amp;R Block, Inc.'s operatng subsidiaries, as appropriate to the context.</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Certain informaton and footnote disclosures normally included in fnancial statements prepared in accordance with accountng principles generally accepted in the United States (GAAP) have been condensed or omited. These consolidated fnancial statements should be read in conjuncton with the fnancial statements and notes thereto included in our June 30, 2023 Annual Report on Form 10-K. All amounts presented herein as of June 30, 2023 or for the year then ended are derived from our Annual Report on Form 10-K.</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MANAGEMENT ESTIMATES </w:t>
      </w:r>
      <w:r>
        <w:rPr>
          <w:rFonts w:ascii="Calibri" w:cs="Calibri" w:eastAsia="Calibri" w:hAnsi="Calibri"/>
          <w:sz w:val="17"/>
          <w:szCs w:val="17"/>
          <w:color w:val="auto"/>
        </w:rPr>
        <w:t>– The preparaton of fnancial statements in conformity with GAAP requires management to make estmates and assumptons that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afect the reported amounts of assets and liabilites and disclosure of contngent assets and liabilites at the date of the fnancial statements and the reported amounts of revenues and expenses during the reportng periods. Signifcant estmates, assumptons and judgments are applied in the evaluaton of contngent losses arising from our discontnued mortgage business, contngent losses associated with pending claims and litgaton, reserves for uncertain tax positons, fair value of reportng units, and related maters. Estmates have been prepared based on the best informaton available as of each balance sheet date. As such, actual results could difer materially from those estmates.</w:t>
      </w:r>
    </w:p>
    <w:p>
      <w:pPr>
        <w:spacing w:after="0" w:line="103" w:lineRule="exact"/>
        <w:rPr>
          <w:sz w:val="20"/>
          <w:szCs w:val="20"/>
          <w:color w:val="auto"/>
        </w:rPr>
      </w:pPr>
    </w:p>
    <w:p>
      <w:pPr>
        <w:ind w:left="200"/>
        <w:spacing w:after="0"/>
        <w:rPr>
          <w:sz w:val="20"/>
          <w:szCs w:val="20"/>
          <w:color w:val="auto"/>
        </w:rPr>
      </w:pPr>
      <w:r>
        <w:rPr>
          <w:rFonts w:ascii="Calibri" w:cs="Calibri" w:eastAsia="Calibri" w:hAnsi="Calibri"/>
          <w:sz w:val="17"/>
          <w:szCs w:val="17"/>
          <w:b w:val="1"/>
          <w:bCs w:val="1"/>
          <w:color w:val="auto"/>
        </w:rPr>
        <w:t xml:space="preserve">SEASONALITY OF BUSINESS </w:t>
      </w:r>
      <w:r>
        <w:rPr>
          <w:rFonts w:ascii="Calibri" w:cs="Calibri" w:eastAsia="Calibri" w:hAnsi="Calibri"/>
          <w:sz w:val="17"/>
          <w:szCs w:val="17"/>
          <w:color w:val="auto"/>
        </w:rPr>
        <w:t>– Our operatng revenues are seasonal in nature with peak revenues typically occurring in the months of February through April.</w:t>
      </w:r>
    </w:p>
    <w:p>
      <w:pPr>
        <w:spacing w:after="0" w:line="238" w:lineRule="auto"/>
        <w:rPr>
          <w:sz w:val="20"/>
          <w:szCs w:val="20"/>
          <w:color w:val="auto"/>
        </w:rPr>
      </w:pPr>
      <w:r>
        <w:rPr>
          <w:rFonts w:ascii="Calibri" w:cs="Calibri" w:eastAsia="Calibri" w:hAnsi="Calibri"/>
          <w:sz w:val="17"/>
          <w:szCs w:val="17"/>
          <w:color w:val="auto"/>
        </w:rPr>
        <w:t>Therefore, results for interim periods are not indicatve of results to be expected for the full year.</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DISCONTINUED OPERATIONS </w:t>
      </w:r>
      <w:r>
        <w:rPr>
          <w:rFonts w:ascii="Calibri" w:cs="Calibri" w:eastAsia="Calibri" w:hAnsi="Calibri"/>
          <w:sz w:val="17"/>
          <w:szCs w:val="17"/>
          <w:color w:val="auto"/>
        </w:rPr>
        <w:t>– Our discontnued operatons include the results of operatons of Sand Canyon Corporaton, previously known as Opton One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Mortgage Corporaton (including its subsidiaries, collectvely, SCC), which exited its mortgage business in fscal year 2008. See </w:t>
      </w:r>
      <w:r>
        <w:rPr>
          <w:rFonts w:ascii="Calibri" w:cs="Calibri" w:eastAsia="Calibri" w:hAnsi="Calibri"/>
          <w:sz w:val="17"/>
          <w:szCs w:val="17"/>
          <w:u w:val="single" w:color="auto"/>
          <w:color w:val="0000FF"/>
        </w:rPr>
        <w:t>note 9</w:t>
      </w:r>
      <w:r>
        <w:rPr>
          <w:rFonts w:ascii="Calibri" w:cs="Calibri" w:eastAsia="Calibri" w:hAnsi="Calibri"/>
          <w:sz w:val="17"/>
          <w:szCs w:val="17"/>
          <w:color w:val="auto"/>
        </w:rPr>
        <w:t xml:space="preserve"> for additonal informaton on loss contngencies related to our discontnued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224"/>
        <w:spacing w:after="0"/>
        <w:tabs>
          <w:tab w:leader="none" w:pos="360" w:val="left"/>
        </w:tabs>
        <w:numPr>
          <w:ilvl w:val="0"/>
          <w:numId w:val="7"/>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2: REVENUE RECOGNITION</w:t>
      </w:r>
    </w:p>
    <w:p>
      <w:pPr>
        <w:spacing w:after="0" w:line="112"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The majority of our revenues are from our United States (U.S.) tax services business. The following table disaggregates our U.S. revenues by major service line, with revenues from our internatonal tax services businesses and from Wave included as separate lines: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5"/>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77"/>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40" w:type="dxa"/>
            <w:vAlign w:val="bottom"/>
            <w:gridSpan w:val="5"/>
          </w:tcPr>
          <w:p>
            <w:pPr>
              <w:ind w:left="300"/>
              <w:spacing w:after="0" w:line="177" w:lineRule="exact"/>
              <w:rPr>
                <w:sz w:val="20"/>
                <w:szCs w:val="20"/>
                <w:color w:val="auto"/>
              </w:rPr>
            </w:pPr>
            <w:r>
              <w:rPr>
                <w:rFonts w:ascii="Calibri" w:cs="Calibri" w:eastAsia="Calibri" w:hAnsi="Calibri"/>
                <w:sz w:val="15"/>
                <w:szCs w:val="15"/>
                <w:color w:val="auto"/>
              </w:rPr>
              <w:t>Three months ended March 31,</w:t>
            </w:r>
          </w:p>
        </w:tc>
        <w:tc>
          <w:tcPr>
            <w:tcW w:w="400" w:type="dxa"/>
            <w:vAlign w:val="bottom"/>
          </w:tcPr>
          <w:p>
            <w:pPr>
              <w:spacing w:after="0"/>
              <w:rPr>
                <w:sz w:val="15"/>
                <w:szCs w:val="15"/>
                <w:color w:val="auto"/>
              </w:rPr>
            </w:pPr>
          </w:p>
        </w:tc>
        <w:tc>
          <w:tcPr>
            <w:tcW w:w="2240" w:type="dxa"/>
            <w:vAlign w:val="bottom"/>
            <w:gridSpan w:val="3"/>
          </w:tcPr>
          <w:p>
            <w:pPr>
              <w:jc w:val="right"/>
              <w:spacing w:after="0" w:line="177" w:lineRule="exact"/>
              <w:rPr>
                <w:sz w:val="20"/>
                <w:szCs w:val="20"/>
                <w:color w:val="auto"/>
              </w:rPr>
            </w:pPr>
            <w:r>
              <w:rPr>
                <w:rFonts w:ascii="Calibri" w:cs="Calibri" w:eastAsia="Calibri" w:hAnsi="Calibri"/>
                <w:sz w:val="15"/>
                <w:szCs w:val="15"/>
                <w:color w:val="auto"/>
              </w:rPr>
              <w:t>Nine months ended March 31,</w:t>
            </w:r>
          </w:p>
        </w:tc>
        <w:tc>
          <w:tcPr>
            <w:tcW w:w="700" w:type="dxa"/>
            <w:vAlign w:val="bottom"/>
          </w:tcPr>
          <w:p>
            <w:pPr>
              <w:spacing w:after="0"/>
              <w:rPr>
                <w:sz w:val="15"/>
                <w:szCs w:val="15"/>
                <w:color w:val="auto"/>
              </w:rPr>
            </w:pPr>
          </w:p>
        </w:tc>
      </w:tr>
      <w:tr>
        <w:trPr>
          <w:trHeight w:val="22"/>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4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tcPr>
          <w:p>
            <w:pPr>
              <w:ind w:left="20"/>
              <w:spacing w:after="0" w:line="177" w:lineRule="exact"/>
              <w:rPr>
                <w:sz w:val="20"/>
                <w:szCs w:val="20"/>
                <w:color w:val="auto"/>
              </w:rPr>
            </w:pPr>
            <w:r>
              <w:rPr>
                <w:rFonts w:ascii="Calibri" w:cs="Calibri" w:eastAsia="Calibri" w:hAnsi="Calibri"/>
                <w:sz w:val="15"/>
                <w:szCs w:val="15"/>
                <w:color w:val="auto"/>
              </w:rPr>
              <w:t>Revenues: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assisted tax preparaton</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1,534,825</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1,453,049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3"/>
              <w:spacing w:after="0"/>
              <w:rPr>
                <w:sz w:val="20"/>
                <w:szCs w:val="20"/>
                <w:color w:val="auto"/>
              </w:rPr>
            </w:pPr>
            <w:r>
              <w:rPr>
                <w:rFonts w:ascii="Calibri" w:cs="Calibri" w:eastAsia="Calibri" w:hAnsi="Calibri"/>
                <w:sz w:val="15"/>
                <w:szCs w:val="15"/>
                <w:b w:val="1"/>
                <w:bCs w:val="1"/>
                <w:color w:val="auto"/>
                <w:w w:val="7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1,622,430</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Calibri" w:cs="Calibri" w:eastAsia="Calibri" w:hAnsi="Calibri"/>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1,530,577</w:t>
            </w:r>
          </w:p>
        </w:tc>
      </w:tr>
      <w:tr>
        <w:trPr>
          <w:trHeight w:val="184"/>
        </w:trPr>
        <w:tc>
          <w:tcPr>
            <w:tcW w:w="4480" w:type="dxa"/>
            <w:vAlign w:val="bottom"/>
            <w:gridSpan w:val="2"/>
          </w:tcPr>
          <w:p>
            <w:pPr>
              <w:ind w:left="140"/>
              <w:spacing w:after="0"/>
              <w:rPr>
                <w:sz w:val="20"/>
                <w:szCs w:val="20"/>
                <w:color w:val="auto"/>
              </w:rPr>
            </w:pPr>
            <w:r>
              <w:rPr>
                <w:rFonts w:ascii="Calibri" w:cs="Calibri" w:eastAsia="Calibri" w:hAnsi="Calibri"/>
                <w:sz w:val="15"/>
                <w:szCs w:val="15"/>
                <w:color w:val="auto"/>
              </w:rPr>
              <w:t>U.S. royaltes</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141,915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150,163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153,070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161,337</w:t>
            </w:r>
          </w:p>
        </w:tc>
      </w:tr>
      <w:tr>
        <w:trPr>
          <w:trHeight w:val="22"/>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DIY tax preparaton</w:t>
            </w: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198,570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167,022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215,529</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182,330</w:t>
            </w:r>
          </w:p>
        </w:tc>
      </w:tr>
      <w:tr>
        <w:trPr>
          <w:trHeight w:val="184"/>
        </w:trPr>
        <w:tc>
          <w:tcPr>
            <w:tcW w:w="4480" w:type="dxa"/>
            <w:vAlign w:val="bottom"/>
            <w:gridSpan w:val="2"/>
          </w:tcPr>
          <w:p>
            <w:pPr>
              <w:ind w:left="140"/>
              <w:spacing w:after="0"/>
              <w:rPr>
                <w:sz w:val="20"/>
                <w:szCs w:val="20"/>
                <w:color w:val="auto"/>
              </w:rPr>
            </w:pPr>
            <w:r>
              <w:rPr>
                <w:rFonts w:ascii="Calibri" w:cs="Calibri" w:eastAsia="Calibri" w:hAnsi="Calibri"/>
                <w:sz w:val="15"/>
                <w:szCs w:val="15"/>
                <w:color w:val="auto"/>
              </w:rPr>
              <w:t>Refund Transfers</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118,937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117,384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120,892</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120,210</w:t>
            </w:r>
          </w:p>
        </w:tc>
      </w:tr>
      <w:tr>
        <w:trPr>
          <w:trHeight w:val="22"/>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Peace of Mind® Extended Service Plan</w:t>
            </w: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16,813</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16,750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59,100</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58,840</w:t>
            </w:r>
          </w:p>
        </w:tc>
      </w:tr>
      <w:tr>
        <w:trPr>
          <w:trHeight w:val="184"/>
        </w:trPr>
        <w:tc>
          <w:tcPr>
            <w:tcW w:w="4480" w:type="dxa"/>
            <w:vAlign w:val="bottom"/>
            <w:gridSpan w:val="2"/>
          </w:tcPr>
          <w:p>
            <w:pPr>
              <w:ind w:left="140"/>
              <w:spacing w:after="0"/>
              <w:rPr>
                <w:sz w:val="20"/>
                <w:szCs w:val="20"/>
                <w:color w:val="auto"/>
              </w:rPr>
            </w:pPr>
            <w:r>
              <w:rPr>
                <w:rFonts w:ascii="Calibri" w:cs="Calibri" w:eastAsia="Calibri" w:hAnsi="Calibri"/>
                <w:sz w:val="15"/>
                <w:szCs w:val="15"/>
                <w:color w:val="auto"/>
              </w:rPr>
              <w:t>Tax Identty Shield®</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7,536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8,720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16,810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19,237</w:t>
            </w:r>
          </w:p>
        </w:tc>
      </w:tr>
      <w:tr>
        <w:trPr>
          <w:trHeight w:val="22"/>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6"/>
        </w:trPr>
        <w:tc>
          <w:tcPr>
            <w:tcW w:w="4480" w:type="dxa"/>
            <w:vAlign w:val="bottom"/>
            <w:gridSpan w:val="2"/>
            <w:shd w:val="clear" w:color="auto" w:fill="CCEEFF"/>
          </w:tcPr>
          <w:p>
            <w:pPr>
              <w:ind w:left="140"/>
              <w:spacing w:after="0" w:line="206" w:lineRule="exact"/>
              <w:rPr>
                <w:sz w:val="20"/>
                <w:szCs w:val="20"/>
                <w:color w:val="auto"/>
              </w:rPr>
            </w:pPr>
            <w:r>
              <w:rPr>
                <w:rFonts w:ascii="Calibri" w:cs="Calibri" w:eastAsia="Calibri" w:hAnsi="Calibri"/>
                <w:sz w:val="15"/>
                <w:szCs w:val="15"/>
                <w:color w:val="auto"/>
              </w:rPr>
              <w:t>Emerald Card® and Spruce</w:t>
            </w:r>
            <w:r>
              <w:rPr>
                <w:rFonts w:ascii="Calibri" w:cs="Calibri" w:eastAsia="Calibri" w:hAnsi="Calibri"/>
                <w:sz w:val="20"/>
                <w:szCs w:val="20"/>
                <w:color w:val="auto"/>
                <w:vertAlign w:val="superscript"/>
              </w:rPr>
              <w:t>SM</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41,160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44,358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61,493</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68,448</w:t>
            </w:r>
          </w:p>
        </w:tc>
      </w:tr>
      <w:tr>
        <w:trPr>
          <w:trHeight w:val="184"/>
        </w:trPr>
        <w:tc>
          <w:tcPr>
            <w:tcW w:w="4480" w:type="dxa"/>
            <w:vAlign w:val="bottom"/>
            <w:gridSpan w:val="2"/>
          </w:tcPr>
          <w:p>
            <w:pPr>
              <w:ind w:left="140"/>
              <w:spacing w:after="0"/>
              <w:rPr>
                <w:sz w:val="20"/>
                <w:szCs w:val="20"/>
                <w:color w:val="auto"/>
              </w:rPr>
            </w:pPr>
            <w:r>
              <w:rPr>
                <w:rFonts w:ascii="Calibri" w:cs="Calibri" w:eastAsia="Calibri" w:hAnsi="Calibri"/>
                <w:sz w:val="15"/>
                <w:szCs w:val="15"/>
                <w:color w:val="auto"/>
              </w:rPr>
              <w:t>Interest and fee income on Emerald Advance®</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21,169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33,750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36,702</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47,267</w:t>
            </w:r>
          </w:p>
        </w:tc>
      </w:tr>
      <w:tr>
        <w:trPr>
          <w:trHeight w:val="22"/>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Internatonal</w:t>
            </w: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68,264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69,417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158,398</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156,297</w:t>
            </w:r>
          </w:p>
        </w:tc>
      </w:tr>
      <w:tr>
        <w:trPr>
          <w:trHeight w:val="184"/>
        </w:trPr>
        <w:tc>
          <w:tcPr>
            <w:tcW w:w="4480" w:type="dxa"/>
            <w:vAlign w:val="bottom"/>
            <w:gridSpan w:val="2"/>
          </w:tcPr>
          <w:p>
            <w:pPr>
              <w:ind w:left="140"/>
              <w:spacing w:after="0"/>
              <w:rPr>
                <w:sz w:val="20"/>
                <w:szCs w:val="20"/>
                <w:color w:val="auto"/>
              </w:rPr>
            </w:pPr>
            <w:r>
              <w:rPr>
                <w:rFonts w:ascii="Calibri" w:cs="Calibri" w:eastAsia="Calibri" w:hAnsi="Calibri"/>
                <w:sz w:val="15"/>
                <w:szCs w:val="15"/>
                <w:color w:val="auto"/>
              </w:rPr>
              <w:t>Wave</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23,580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22,064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70,656</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66,651</w:t>
            </w:r>
          </w:p>
        </w:tc>
      </w:tr>
      <w:tr>
        <w:trPr>
          <w:trHeight w:val="22"/>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12,065</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10,972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32,637</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28,845</w:t>
            </w:r>
          </w:p>
        </w:tc>
      </w:tr>
      <w:tr>
        <w:trPr>
          <w:trHeight w:val="177"/>
        </w:trPr>
        <w:tc>
          <w:tcPr>
            <w:tcW w:w="4480" w:type="dxa"/>
            <w:vAlign w:val="bottom"/>
            <w:gridSpan w:val="2"/>
          </w:tcPr>
          <w:p>
            <w:pPr>
              <w:ind w:left="220"/>
              <w:spacing w:after="0" w:line="173" w:lineRule="exact"/>
              <w:rPr>
                <w:sz w:val="20"/>
                <w:szCs w:val="20"/>
                <w:color w:val="auto"/>
              </w:rPr>
            </w:pPr>
            <w:r>
              <w:rPr>
                <w:rFonts w:ascii="Calibri" w:cs="Calibri" w:eastAsia="Calibri" w:hAnsi="Calibri"/>
                <w:sz w:val="15"/>
                <w:szCs w:val="15"/>
                <w:color w:val="auto"/>
              </w:rPr>
              <w:t>Total revenues</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2,184,834</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4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2,093,649</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3"/>
              <w:spacing w:after="0" w:line="177" w:lineRule="exact"/>
              <w:rPr>
                <w:sz w:val="20"/>
                <w:szCs w:val="20"/>
                <w:color w:val="auto"/>
              </w:rPr>
            </w:pPr>
            <w:r>
              <w:rPr>
                <w:rFonts w:ascii="Calibri" w:cs="Calibri" w:eastAsia="Calibri" w:hAnsi="Calibri"/>
                <w:sz w:val="15"/>
                <w:szCs w:val="15"/>
                <w:b w:val="1"/>
                <w:bCs w:val="1"/>
                <w:color w:val="auto"/>
                <w:w w:val="78"/>
              </w:rPr>
              <w:t>$</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2,547,717</w:t>
            </w:r>
          </w:p>
        </w:tc>
        <w:tc>
          <w:tcPr>
            <w:tcW w:w="80" w:type="dxa"/>
            <w:vAlign w:val="bottom"/>
          </w:tcPr>
          <w:p>
            <w:pPr>
              <w:spacing w:after="0"/>
              <w:rPr>
                <w:sz w:val="15"/>
                <w:szCs w:val="15"/>
                <w:color w:val="auto"/>
              </w:rPr>
            </w:pPr>
          </w:p>
        </w:tc>
        <w:tc>
          <w:tcPr>
            <w:tcW w:w="940" w:type="dxa"/>
            <w:vAlign w:val="bottom"/>
            <w:tcBorders>
              <w:top w:val="single" w:sz="8" w:color="auto"/>
            </w:tcBorders>
          </w:tcPr>
          <w:p>
            <w:pPr>
              <w:jc w:val="right"/>
              <w:ind w:right="763"/>
              <w:spacing w:after="0" w:line="177" w:lineRule="exact"/>
              <w:rPr>
                <w:sz w:val="20"/>
                <w:szCs w:val="20"/>
                <w:color w:val="auto"/>
              </w:rPr>
            </w:pPr>
            <w:r>
              <w:rPr>
                <w:rFonts w:ascii="Calibri" w:cs="Calibri" w:eastAsia="Calibri" w:hAnsi="Calibri"/>
                <w:sz w:val="15"/>
                <w:szCs w:val="15"/>
                <w:color w:val="auto"/>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2,440,039</w:t>
            </w:r>
          </w:p>
        </w:tc>
      </w:tr>
      <w:tr>
        <w:trPr>
          <w:trHeight w:val="59"/>
        </w:trPr>
        <w:tc>
          <w:tcPr>
            <w:tcW w:w="4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
        </w:trPr>
        <w:tc>
          <w:tcPr>
            <w:tcW w:w="43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r>
    </w:tbl>
    <w:p>
      <w:pPr>
        <w:spacing w:after="0" w:line="170"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Changes in the balances of deferred revenue and wages for our Peace of Mind® Extended Service Plan (POM)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86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4860" w:type="dxa"/>
            <w:vAlign w:val="bottom"/>
            <w:gridSpan w:val="2"/>
          </w:tcPr>
          <w:p>
            <w:pPr>
              <w:ind w:left="20"/>
              <w:spacing w:after="0" w:line="177" w:lineRule="exact"/>
              <w:rPr>
                <w:sz w:val="20"/>
                <w:szCs w:val="20"/>
                <w:color w:val="auto"/>
              </w:rPr>
            </w:pPr>
            <w:r>
              <w:rPr>
                <w:rFonts w:ascii="Calibri" w:cs="Calibri" w:eastAsia="Calibri" w:hAnsi="Calibri"/>
                <w:sz w:val="15"/>
                <w:szCs w:val="15"/>
                <w:b w:val="1"/>
                <w:bCs w:val="1"/>
                <w:color w:val="auto"/>
              </w:rPr>
              <w:t>POM</w:t>
            </w: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00"/>
              <w:spacing w:after="0" w:line="177" w:lineRule="exact"/>
              <w:rPr>
                <w:sz w:val="20"/>
                <w:szCs w:val="20"/>
                <w:color w:val="auto"/>
              </w:rPr>
            </w:pPr>
            <w:r>
              <w:rPr>
                <w:rFonts w:ascii="Calibri" w:cs="Calibri" w:eastAsia="Calibri" w:hAnsi="Calibri"/>
                <w:sz w:val="15"/>
                <w:szCs w:val="15"/>
                <w:color w:val="auto"/>
              </w:rPr>
              <w:t>Deferred Revenue</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Deferred Wages</w:t>
            </w:r>
          </w:p>
        </w:tc>
      </w:tr>
      <w:tr>
        <w:trPr>
          <w:trHeight w:val="22"/>
        </w:trPr>
        <w:tc>
          <w:tcPr>
            <w:tcW w:w="4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7"/>
        </w:trPr>
        <w:tc>
          <w:tcPr>
            <w:tcW w:w="47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Nine months ended March 31,</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2023</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4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7"/>
        </w:trPr>
        <w:tc>
          <w:tcPr>
            <w:tcW w:w="4760" w:type="dxa"/>
            <w:vAlign w:val="bottom"/>
          </w:tcPr>
          <w:p>
            <w:pPr>
              <w:ind w:left="20"/>
              <w:spacing w:after="0" w:line="177" w:lineRule="exact"/>
              <w:rPr>
                <w:sz w:val="20"/>
                <w:szCs w:val="20"/>
                <w:color w:val="auto"/>
              </w:rPr>
            </w:pPr>
            <w:r>
              <w:rPr>
                <w:rFonts w:ascii="Calibri" w:cs="Calibri" w:eastAsia="Calibri" w:hAnsi="Calibri"/>
                <w:sz w:val="15"/>
                <w:szCs w:val="15"/>
                <w:color w:val="auto"/>
              </w:rPr>
              <w:t>Balance, beginning of the period</w:t>
            </w:r>
          </w:p>
        </w:tc>
        <w:tc>
          <w:tcPr>
            <w:tcW w:w="100" w:type="dxa"/>
            <w:vAlign w:val="bottom"/>
          </w:tcPr>
          <w:p>
            <w:pPr>
              <w:spacing w:after="0"/>
              <w:rPr>
                <w:sz w:val="15"/>
                <w:szCs w:val="15"/>
                <w:color w:val="auto"/>
              </w:rPr>
            </w:pPr>
          </w:p>
        </w:tc>
        <w:tc>
          <w:tcPr>
            <w:tcW w:w="520" w:type="dxa"/>
            <w:vAlign w:val="bottom"/>
          </w:tcPr>
          <w:p>
            <w:pPr>
              <w:jc w:val="right"/>
              <w:ind w:right="363"/>
              <w:spacing w:after="0" w:line="177" w:lineRule="exact"/>
              <w:rPr>
                <w:sz w:val="20"/>
                <w:szCs w:val="20"/>
                <w:color w:val="auto"/>
              </w:rPr>
            </w:pPr>
            <w:r>
              <w:rPr>
                <w:rFonts w:ascii="Calibri" w:cs="Calibri" w:eastAsia="Calibri" w:hAnsi="Calibri"/>
                <w:sz w:val="15"/>
                <w:szCs w:val="15"/>
                <w:b w:val="1"/>
                <w:bCs w:val="1"/>
                <w:color w:val="auto"/>
                <w:w w:val="78"/>
              </w:rPr>
              <w:t>$</w:t>
            </w:r>
          </w:p>
        </w:tc>
        <w:tc>
          <w:tcPr>
            <w:tcW w:w="10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167,257</w:t>
            </w:r>
          </w:p>
        </w:tc>
        <w:tc>
          <w:tcPr>
            <w:tcW w:w="80" w:type="dxa"/>
            <w:vAlign w:val="bottom"/>
          </w:tcPr>
          <w:p>
            <w:pPr>
              <w:spacing w:after="0"/>
              <w:rPr>
                <w:sz w:val="15"/>
                <w:szCs w:val="15"/>
                <w:color w:val="auto"/>
              </w:rPr>
            </w:pPr>
          </w:p>
        </w:tc>
        <w:tc>
          <w:tcPr>
            <w:tcW w:w="240" w:type="dxa"/>
            <w:vAlign w:val="bottom"/>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color w:val="auto"/>
              </w:rPr>
              <w:t>173,486</w:t>
            </w:r>
          </w:p>
        </w:tc>
        <w:tc>
          <w:tcPr>
            <w:tcW w:w="80" w:type="dxa"/>
            <w:vAlign w:val="bottom"/>
          </w:tcPr>
          <w:p>
            <w:pPr>
              <w:spacing w:after="0"/>
              <w:rPr>
                <w:sz w:val="15"/>
                <w:szCs w:val="15"/>
                <w:color w:val="auto"/>
              </w:rPr>
            </w:pPr>
          </w:p>
        </w:tc>
        <w:tc>
          <w:tcPr>
            <w:tcW w:w="580" w:type="dxa"/>
            <w:vAlign w:val="bottom"/>
          </w:tcPr>
          <w:p>
            <w:pPr>
              <w:jc w:val="right"/>
              <w:ind w:right="403"/>
              <w:spacing w:after="0" w:line="177" w:lineRule="exact"/>
              <w:rPr>
                <w:sz w:val="20"/>
                <w:szCs w:val="20"/>
                <w:color w:val="auto"/>
              </w:rPr>
            </w:pPr>
            <w:r>
              <w:rPr>
                <w:rFonts w:ascii="Calibri" w:cs="Calibri" w:eastAsia="Calibri" w:hAnsi="Calibri"/>
                <w:sz w:val="15"/>
                <w:szCs w:val="15"/>
                <w:b w:val="1"/>
                <w:bCs w:val="1"/>
                <w:color w:val="auto"/>
              </w:rPr>
              <w:t>$</w:t>
            </w:r>
          </w:p>
        </w:tc>
        <w:tc>
          <w:tcPr>
            <w:tcW w:w="96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21,828</w:t>
            </w:r>
          </w:p>
        </w:tc>
        <w:tc>
          <w:tcPr>
            <w:tcW w:w="100" w:type="dxa"/>
            <w:vAlign w:val="bottom"/>
          </w:tcPr>
          <w:p>
            <w:pPr>
              <w:spacing w:after="0"/>
              <w:rPr>
                <w:sz w:val="15"/>
                <w:szCs w:val="15"/>
                <w:color w:val="auto"/>
              </w:rPr>
            </w:pPr>
          </w:p>
        </w:tc>
        <w:tc>
          <w:tcPr>
            <w:tcW w:w="300" w:type="dxa"/>
            <w:vAlign w:val="bottom"/>
          </w:tcPr>
          <w:p>
            <w:pPr>
              <w:jc w:val="right"/>
              <w:ind w:right="143"/>
              <w:spacing w:after="0" w:line="177" w:lineRule="exact"/>
              <w:rPr>
                <w:sz w:val="20"/>
                <w:szCs w:val="20"/>
                <w:color w:val="auto"/>
              </w:rPr>
            </w:pPr>
            <w:r>
              <w:rPr>
                <w:rFonts w:ascii="Calibri" w:cs="Calibri" w:eastAsia="Calibri" w:hAnsi="Calibri"/>
                <w:sz w:val="15"/>
                <w:szCs w:val="15"/>
                <w:color w:val="auto"/>
                <w:w w:val="78"/>
              </w:rPr>
              <w:t>$</w:t>
            </w: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19,495</w:t>
            </w:r>
          </w:p>
        </w:tc>
      </w:tr>
      <w:tr>
        <w:trPr>
          <w:trHeight w:val="22"/>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6"/>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Amounts deferred</w:t>
            </w: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72,369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76,231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8,324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8,451</w:t>
            </w:r>
          </w:p>
        </w:tc>
      </w:tr>
      <w:tr>
        <w:trPr>
          <w:trHeight w:val="184"/>
        </w:trPr>
        <w:tc>
          <w:tcPr>
            <w:tcW w:w="4860" w:type="dxa"/>
            <w:vAlign w:val="bottom"/>
            <w:gridSpan w:val="2"/>
          </w:tcPr>
          <w:p>
            <w:pPr>
              <w:ind w:left="20"/>
              <w:spacing w:after="0"/>
              <w:rPr>
                <w:sz w:val="20"/>
                <w:szCs w:val="20"/>
                <w:color w:val="auto"/>
              </w:rPr>
            </w:pPr>
            <w:r>
              <w:rPr>
                <w:rFonts w:ascii="Calibri" w:cs="Calibri" w:eastAsia="Calibri" w:hAnsi="Calibri"/>
                <w:sz w:val="15"/>
                <w:szCs w:val="15"/>
                <w:color w:val="auto"/>
              </w:rPr>
              <w:t>Amounts recognized on previous deferrals</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b w:val="1"/>
                <w:bCs w:val="1"/>
                <w:color w:val="auto"/>
              </w:rPr>
              <w:t>(68,445)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alibri" w:cs="Calibri" w:eastAsia="Calibri" w:hAnsi="Calibri"/>
                <w:sz w:val="15"/>
                <w:szCs w:val="15"/>
                <w:color w:val="auto"/>
              </w:rPr>
              <w:t>(67,276)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b w:val="1"/>
                <w:bCs w:val="1"/>
                <w:color w:val="auto"/>
              </w:rPr>
              <w:t>(8,324)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color w:val="auto"/>
              </w:rPr>
              <w:t>(7,084)</w:t>
            </w: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9"/>
        </w:trPr>
        <w:tc>
          <w:tcPr>
            <w:tcW w:w="48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 end of the period</w:t>
            </w:r>
          </w:p>
        </w:tc>
        <w:tc>
          <w:tcPr>
            <w:tcW w:w="52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b w:val="1"/>
                <w:bCs w:val="1"/>
                <w:color w:val="auto"/>
                <w:w w:val="78"/>
              </w:rPr>
              <w:t>$</w:t>
            </w:r>
          </w:p>
        </w:tc>
        <w:tc>
          <w:tcPr>
            <w:tcW w:w="10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171,181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3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182,441</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03"/>
              <w:spacing w:after="0" w:line="177" w:lineRule="exact"/>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21,828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color w:val="auto"/>
                <w:w w:val="78"/>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20,862</w:t>
            </w:r>
          </w:p>
        </w:tc>
      </w:tr>
      <w:tr>
        <w:trPr>
          <w:trHeight w:val="32"/>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172"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As of March 31, 2024, deferred revenue related to POM was $171.2 million. We expect that $96.4 million will be recognized over the next twelve months, while the remaining balance will be recognized over the following fve years.</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As of March 31, 2024 and 2023, Tax Identty Shield® (TIS) deferred revenue was $31.6 million and $33.3 million, respectvely. Deferred revenue related to TIS was $25.2 million and $25.8 million as of June 30, 2023 and 2022, respectvely. All deferred revenue related to TIS will be recognized by April 2025.</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3: EARNINGS PER SHARE AND STOCKHOLDERS' EQUITY</w:t>
      </w:r>
    </w:p>
    <w:p>
      <w:pPr>
        <w:spacing w:after="0" w:line="112"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b w:val="1"/>
          <w:bCs w:val="1"/>
          <w:color w:val="auto"/>
        </w:rPr>
        <w:t xml:space="preserve">EARNINGS PER SHARE </w:t>
      </w:r>
      <w:r>
        <w:rPr>
          <w:rFonts w:ascii="Calibri" w:cs="Calibri" w:eastAsia="Calibri" w:hAnsi="Calibri"/>
          <w:sz w:val="17"/>
          <w:szCs w:val="17"/>
          <w:color w:val="auto"/>
        </w:rPr>
        <w:t>– Basic and diluted earnings (loss) per share is computed using the two-class method. The two-class method is an earnings allocaton formula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that determines net income per share for each class of common stock and partcipatng security according to dividends declared and partcipaton rights in undistributed earnings. Per share amounts are computed by dividing net income (loss) from contnuing operatons atributable to common shareholders by the weighted average shares outstanding during each period. Diluted earnings per share excludes the impact of shares of common stock issuable upon the lapse of certain restrictons or the exercise of optons to purchase one thousand and 0.2 million shares for the three and nine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8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1"/>
          <w:szCs w:val="11"/>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color w:val="auto"/>
        </w:rPr>
        <w:t>respectvely, and 0.7 million and 0.6 million shares for the three and nine months ended March 31, 2023, respectvely, as the efect would be antdilutve.</w:t>
      </w:r>
    </w:p>
    <w:p>
      <w:pPr>
        <w:spacing w:after="0" w:line="102"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The computatons of basic and diluted earnings per share from contnuing operatons are as follows:</w:t>
      </w:r>
    </w:p>
    <w:p>
      <w:pPr>
        <w:spacing w:after="0" w:line="125" w:lineRule="exact"/>
        <w:rPr>
          <w:sz w:val="20"/>
          <w:szCs w:val="20"/>
          <w:color w:val="auto"/>
        </w:rPr>
      </w:pPr>
    </w:p>
    <w:p>
      <w:pPr>
        <w:ind w:left="9240"/>
        <w:spacing w:after="0"/>
        <w:rPr>
          <w:sz w:val="20"/>
          <w:szCs w:val="20"/>
          <w:color w:val="auto"/>
        </w:rPr>
      </w:pPr>
      <w:r>
        <w:rPr>
          <w:rFonts w:ascii="Calibri" w:cs="Calibri" w:eastAsia="Calibri" w:hAnsi="Calibri"/>
          <w:sz w:val="13"/>
          <w:szCs w:val="13"/>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Calibri" w:cs="Calibri" w:eastAsia="Calibri" w:hAnsi="Calibri"/>
                <w:sz w:val="15"/>
                <w:szCs w:val="15"/>
                <w:color w:val="auto"/>
              </w:rPr>
              <w:t>Three months ended March 31,</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Calibri" w:cs="Calibri" w:eastAsia="Calibri" w:hAnsi="Calibri"/>
                <w:sz w:val="15"/>
                <w:szCs w:val="15"/>
                <w:color w:val="auto"/>
              </w:rPr>
              <w:t>Nine months ended March 31,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0" w:type="dxa"/>
            <w:vAlign w:val="bottom"/>
          </w:tcPr>
          <w:p>
            <w:pPr>
              <w:spacing w:after="0"/>
              <w:rPr>
                <w:sz w:val="1"/>
                <w:szCs w:val="1"/>
                <w:color w:val="auto"/>
              </w:rPr>
            </w:pPr>
          </w:p>
        </w:tc>
      </w:tr>
      <w:tr>
        <w:trPr>
          <w:trHeight w:val="22"/>
        </w:trPr>
        <w:tc>
          <w:tcPr>
            <w:tcW w:w="4660" w:type="dxa"/>
            <w:vAlign w:val="bottom"/>
            <w:vMerge w:val="restart"/>
          </w:tcPr>
          <w:p>
            <w:pPr>
              <w:ind w:left="20"/>
              <w:spacing w:after="0"/>
              <w:rPr>
                <w:sz w:val="20"/>
                <w:szCs w:val="20"/>
                <w:color w:val="auto"/>
              </w:rPr>
            </w:pPr>
            <w:r>
              <w:rPr>
                <w:rFonts w:ascii="Calibri" w:cs="Calibri" w:eastAsia="Calibri" w:hAnsi="Calibri"/>
                <w:sz w:val="15"/>
                <w:szCs w:val="15"/>
                <w:color w:val="auto"/>
              </w:rPr>
              <w:t>Net income from contnuing operatons atributable to shareholders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660" w:type="dxa"/>
            <w:vAlign w:val="bottom"/>
            <w:vMerge w:val="continue"/>
          </w:tcPr>
          <w:p>
            <w:pPr>
              <w:spacing w:after="0"/>
              <w:rPr>
                <w:sz w:val="15"/>
                <w:szCs w:val="15"/>
                <w:color w:val="auto"/>
              </w:rPr>
            </w:pPr>
          </w:p>
        </w:tc>
        <w:tc>
          <w:tcPr>
            <w:tcW w:w="360" w:type="dxa"/>
            <w:vAlign w:val="bottom"/>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691,586</w:t>
            </w:r>
          </w:p>
        </w:tc>
        <w:tc>
          <w:tcPr>
            <w:tcW w:w="100" w:type="dxa"/>
            <w:vAlign w:val="bottom"/>
          </w:tcPr>
          <w:p>
            <w:pPr>
              <w:spacing w:after="0"/>
              <w:rPr>
                <w:sz w:val="15"/>
                <w:szCs w:val="15"/>
                <w:color w:val="auto"/>
              </w:rPr>
            </w:pPr>
          </w:p>
        </w:tc>
        <w:tc>
          <w:tcPr>
            <w:tcW w:w="980" w:type="dxa"/>
            <w:vAlign w:val="bottom"/>
          </w:tcPr>
          <w:p>
            <w:pPr>
              <w:jc w:val="right"/>
              <w:ind w:right="803"/>
              <w:spacing w:after="0" w:line="177" w:lineRule="exact"/>
              <w:rPr>
                <w:sz w:val="20"/>
                <w:szCs w:val="20"/>
                <w:color w:val="auto"/>
              </w:rPr>
            </w:pPr>
            <w:r>
              <w:rPr>
                <w:rFonts w:ascii="Calibri" w:cs="Calibri" w:eastAsia="Calibri" w:hAnsi="Calibri"/>
                <w:sz w:val="15"/>
                <w:szCs w:val="15"/>
                <w:color w:val="auto"/>
              </w:rPr>
              <w:t>$</w:t>
            </w:r>
          </w:p>
        </w:tc>
        <w:tc>
          <w:tcPr>
            <w:tcW w:w="600" w:type="dxa"/>
            <w:vAlign w:val="bottom"/>
          </w:tcPr>
          <w:p>
            <w:pPr>
              <w:jc w:val="right"/>
              <w:spacing w:after="0" w:line="177" w:lineRule="exact"/>
              <w:rPr>
                <w:sz w:val="20"/>
                <w:szCs w:val="20"/>
                <w:color w:val="auto"/>
              </w:rPr>
            </w:pPr>
            <w:r>
              <w:rPr>
                <w:rFonts w:ascii="Calibri" w:cs="Calibri" w:eastAsia="Calibri" w:hAnsi="Calibri"/>
                <w:sz w:val="15"/>
                <w:szCs w:val="15"/>
                <w:color w:val="auto"/>
              </w:rPr>
              <w:t>646,077</w:t>
            </w:r>
          </w:p>
        </w:tc>
        <w:tc>
          <w:tcPr>
            <w:tcW w:w="80" w:type="dxa"/>
            <w:vAlign w:val="bottom"/>
          </w:tcPr>
          <w:p>
            <w:pPr>
              <w:spacing w:after="0"/>
              <w:rPr>
                <w:sz w:val="15"/>
                <w:szCs w:val="15"/>
                <w:color w:val="auto"/>
              </w:rPr>
            </w:pPr>
          </w:p>
        </w:tc>
        <w:tc>
          <w:tcPr>
            <w:tcW w:w="380" w:type="dxa"/>
            <w:vAlign w:val="bottom"/>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339,597</w:t>
            </w:r>
          </w:p>
        </w:tc>
        <w:tc>
          <w:tcPr>
            <w:tcW w:w="100" w:type="dxa"/>
            <w:vAlign w:val="bottom"/>
          </w:tcPr>
          <w:p>
            <w:pPr>
              <w:spacing w:after="0"/>
              <w:rPr>
                <w:sz w:val="15"/>
                <w:szCs w:val="15"/>
                <w:color w:val="auto"/>
              </w:rPr>
            </w:pPr>
          </w:p>
        </w:tc>
        <w:tc>
          <w:tcPr>
            <w:tcW w:w="960" w:type="dxa"/>
            <w:vAlign w:val="bottom"/>
          </w:tcPr>
          <w:p>
            <w:pPr>
              <w:jc w:val="right"/>
              <w:ind w:right="783"/>
              <w:spacing w:after="0" w:line="177" w:lineRule="exact"/>
              <w:rPr>
                <w:sz w:val="20"/>
                <w:szCs w:val="20"/>
                <w:color w:val="auto"/>
              </w:rPr>
            </w:pPr>
            <w:r>
              <w:rPr>
                <w:rFonts w:ascii="Calibri" w:cs="Calibri" w:eastAsia="Calibri" w:hAnsi="Calibri"/>
                <w:sz w:val="15"/>
                <w:szCs w:val="15"/>
                <w:color w:val="auto"/>
              </w:rPr>
              <w:t>$</w:t>
            </w:r>
          </w:p>
        </w:tc>
        <w:tc>
          <w:tcPr>
            <w:tcW w:w="620" w:type="dxa"/>
            <w:vAlign w:val="bottom"/>
          </w:tcPr>
          <w:p>
            <w:pPr>
              <w:jc w:val="right"/>
              <w:spacing w:after="0" w:line="177" w:lineRule="exact"/>
              <w:rPr>
                <w:sz w:val="20"/>
                <w:szCs w:val="20"/>
                <w:color w:val="auto"/>
              </w:rPr>
            </w:pPr>
            <w:r>
              <w:rPr>
                <w:rFonts w:ascii="Calibri" w:cs="Calibri" w:eastAsia="Calibri" w:hAnsi="Calibri"/>
                <w:sz w:val="15"/>
                <w:szCs w:val="15"/>
                <w:color w:val="auto"/>
              </w:rPr>
              <w:t>257,847</w:t>
            </w: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Amounts allocated to partcipatng securites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(2,788)</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(2,822)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(1,350)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(1,064)</w:t>
            </w:r>
          </w:p>
        </w:tc>
        <w:tc>
          <w:tcPr>
            <w:tcW w:w="0" w:type="dxa"/>
            <w:vAlign w:val="bottom"/>
          </w:tcPr>
          <w:p>
            <w:pPr>
              <w:spacing w:after="0"/>
              <w:rPr>
                <w:sz w:val="1"/>
                <w:szCs w:val="1"/>
                <w:color w:val="auto"/>
              </w:rPr>
            </w:pPr>
          </w:p>
        </w:tc>
      </w:tr>
      <w:tr>
        <w:trPr>
          <w:trHeight w:val="130"/>
        </w:trPr>
        <w:tc>
          <w:tcPr>
            <w:tcW w:w="4660" w:type="dxa"/>
            <w:vAlign w:val="bottom"/>
          </w:tcPr>
          <w:p>
            <w:pPr>
              <w:ind w:left="20"/>
              <w:spacing w:after="0" w:line="131" w:lineRule="exact"/>
              <w:rPr>
                <w:sz w:val="20"/>
                <w:szCs w:val="20"/>
                <w:color w:val="auto"/>
              </w:rPr>
            </w:pPr>
            <w:r>
              <w:rPr>
                <w:rFonts w:ascii="Calibri" w:cs="Calibri" w:eastAsia="Calibri" w:hAnsi="Calibri"/>
                <w:sz w:val="14"/>
                <w:szCs w:val="14"/>
                <w:color w:val="auto"/>
              </w:rPr>
              <w:t>Net income from contnuing operatons atributable to common</w:t>
            </w: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180"/>
              <w:spacing w:after="0"/>
              <w:rPr>
                <w:sz w:val="20"/>
                <w:szCs w:val="20"/>
                <w:color w:val="auto"/>
              </w:rPr>
            </w:pPr>
            <w:r>
              <w:rPr>
                <w:rFonts w:ascii="Calibri" w:cs="Calibri" w:eastAsia="Calibri" w:hAnsi="Calibri"/>
                <w:sz w:val="15"/>
                <w:szCs w:val="15"/>
                <w:color w:val="auto"/>
              </w:rPr>
              <w:t>shareholders</w:t>
            </w:r>
          </w:p>
        </w:tc>
        <w:tc>
          <w:tcPr>
            <w:tcW w:w="360" w:type="dxa"/>
            <w:vAlign w:val="bottom"/>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688,798</w:t>
            </w:r>
          </w:p>
        </w:tc>
        <w:tc>
          <w:tcPr>
            <w:tcW w:w="100" w:type="dxa"/>
            <w:vAlign w:val="bottom"/>
          </w:tcPr>
          <w:p>
            <w:pPr>
              <w:spacing w:after="0"/>
              <w:rPr>
                <w:sz w:val="16"/>
                <w:szCs w:val="16"/>
                <w:color w:val="auto"/>
              </w:rPr>
            </w:pPr>
          </w:p>
        </w:tc>
        <w:tc>
          <w:tcPr>
            <w:tcW w:w="980" w:type="dxa"/>
            <w:vAlign w:val="bottom"/>
          </w:tcPr>
          <w:p>
            <w:pPr>
              <w:jc w:val="right"/>
              <w:ind w:right="803"/>
              <w:spacing w:after="0"/>
              <w:rPr>
                <w:sz w:val="20"/>
                <w:szCs w:val="20"/>
                <w:color w:val="auto"/>
              </w:rPr>
            </w:pPr>
            <w:r>
              <w:rPr>
                <w:rFonts w:ascii="Calibri" w:cs="Calibri" w:eastAsia="Calibri" w:hAnsi="Calibri"/>
                <w:sz w:val="15"/>
                <w:szCs w:val="15"/>
                <w:color w:val="auto"/>
              </w:rPr>
              <w:t>$</w:t>
            </w:r>
          </w:p>
        </w:tc>
        <w:tc>
          <w:tcPr>
            <w:tcW w:w="600" w:type="dxa"/>
            <w:vAlign w:val="bottom"/>
          </w:tcPr>
          <w:p>
            <w:pPr>
              <w:jc w:val="right"/>
              <w:spacing w:after="0"/>
              <w:rPr>
                <w:sz w:val="20"/>
                <w:szCs w:val="20"/>
                <w:color w:val="auto"/>
              </w:rPr>
            </w:pPr>
            <w:r>
              <w:rPr>
                <w:rFonts w:ascii="Calibri" w:cs="Calibri" w:eastAsia="Calibri" w:hAnsi="Calibri"/>
                <w:sz w:val="15"/>
                <w:szCs w:val="15"/>
                <w:color w:val="auto"/>
              </w:rPr>
              <w:t>643,255</w:t>
            </w:r>
          </w:p>
        </w:tc>
        <w:tc>
          <w:tcPr>
            <w:tcW w:w="8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338,247</w:t>
            </w:r>
          </w:p>
        </w:tc>
        <w:tc>
          <w:tcPr>
            <w:tcW w:w="100" w:type="dxa"/>
            <w:vAlign w:val="bottom"/>
          </w:tcPr>
          <w:p>
            <w:pPr>
              <w:spacing w:after="0"/>
              <w:rPr>
                <w:sz w:val="16"/>
                <w:szCs w:val="16"/>
                <w:color w:val="auto"/>
              </w:rPr>
            </w:pPr>
          </w:p>
        </w:tc>
        <w:tc>
          <w:tcPr>
            <w:tcW w:w="960" w:type="dxa"/>
            <w:vAlign w:val="bottom"/>
          </w:tcPr>
          <w:p>
            <w:pPr>
              <w:jc w:val="right"/>
              <w:ind w:right="783"/>
              <w:spacing w:after="0"/>
              <w:rPr>
                <w:sz w:val="20"/>
                <w:szCs w:val="20"/>
                <w:color w:val="auto"/>
              </w:rPr>
            </w:pPr>
            <w:r>
              <w:rPr>
                <w:rFonts w:ascii="Calibri" w:cs="Calibri" w:eastAsia="Calibri" w:hAnsi="Calibri"/>
                <w:sz w:val="15"/>
                <w:szCs w:val="15"/>
                <w:color w:val="auto"/>
              </w:rPr>
              <w:t>$</w:t>
            </w:r>
          </w:p>
        </w:tc>
        <w:tc>
          <w:tcPr>
            <w:tcW w:w="620" w:type="dxa"/>
            <w:vAlign w:val="bottom"/>
          </w:tcPr>
          <w:p>
            <w:pPr>
              <w:jc w:val="right"/>
              <w:spacing w:after="0"/>
              <w:rPr>
                <w:sz w:val="20"/>
                <w:szCs w:val="20"/>
                <w:color w:val="auto"/>
              </w:rPr>
            </w:pPr>
            <w:r>
              <w:rPr>
                <w:rFonts w:ascii="Calibri" w:cs="Calibri" w:eastAsia="Calibri" w:hAnsi="Calibri"/>
                <w:sz w:val="15"/>
                <w:szCs w:val="15"/>
                <w:color w:val="auto"/>
              </w:rPr>
              <w:t>256,783</w:t>
            </w:r>
          </w:p>
        </w:tc>
        <w:tc>
          <w:tcPr>
            <w:tcW w:w="0" w:type="dxa"/>
            <w:vAlign w:val="bottom"/>
          </w:tcPr>
          <w:p>
            <w:pPr>
              <w:spacing w:after="0"/>
              <w:rPr>
                <w:sz w:val="1"/>
                <w:szCs w:val="1"/>
                <w:color w:val="auto"/>
              </w:rPr>
            </w:pPr>
          </w:p>
        </w:tc>
      </w:tr>
      <w:tr>
        <w:trPr>
          <w:trHeight w:val="26"/>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20"/>
              <w:spacing w:after="0"/>
              <w:rPr>
                <w:sz w:val="20"/>
                <w:szCs w:val="20"/>
                <w:color w:val="auto"/>
              </w:rPr>
            </w:pPr>
            <w:r>
              <w:rPr>
                <w:rFonts w:ascii="Calibri" w:cs="Calibri" w:eastAsia="Calibri" w:hAnsi="Calibri"/>
                <w:sz w:val="15"/>
                <w:szCs w:val="15"/>
                <w:color w:val="auto"/>
              </w:rPr>
              <w:t>Basic weighted average common shares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139,525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152,281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142,724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alibri" w:cs="Calibri" w:eastAsia="Calibri" w:hAnsi="Calibri"/>
                <w:sz w:val="15"/>
                <w:szCs w:val="15"/>
                <w:color w:val="auto"/>
              </w:rPr>
              <w:t>155,249</w:t>
            </w: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Potental dilutve shares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2,015</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3,280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1,870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3,239</w:t>
            </w:r>
          </w:p>
        </w:tc>
        <w:tc>
          <w:tcPr>
            <w:tcW w:w="0" w:type="dxa"/>
            <w:vAlign w:val="bottom"/>
          </w:tcPr>
          <w:p>
            <w:pPr>
              <w:spacing w:after="0"/>
              <w:rPr>
                <w:sz w:val="1"/>
                <w:szCs w:val="1"/>
                <w:color w:val="auto"/>
              </w:rPr>
            </w:pPr>
          </w:p>
        </w:tc>
      </w:tr>
      <w:tr>
        <w:trPr>
          <w:trHeight w:val="177"/>
        </w:trPr>
        <w:tc>
          <w:tcPr>
            <w:tcW w:w="4660" w:type="dxa"/>
            <w:vAlign w:val="bottom"/>
          </w:tcPr>
          <w:p>
            <w:pPr>
              <w:ind w:left="20"/>
              <w:spacing w:after="0" w:line="173" w:lineRule="exact"/>
              <w:rPr>
                <w:sz w:val="20"/>
                <w:szCs w:val="20"/>
                <w:color w:val="auto"/>
              </w:rPr>
            </w:pPr>
            <w:r>
              <w:rPr>
                <w:rFonts w:ascii="Calibri" w:cs="Calibri" w:eastAsia="Calibri" w:hAnsi="Calibri"/>
                <w:sz w:val="15"/>
                <w:szCs w:val="15"/>
                <w:color w:val="auto"/>
              </w:rPr>
              <w:t>Dilutve weighted average common shares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141,540</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155,561</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144,594</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158,488</w:t>
            </w:r>
          </w:p>
        </w:tc>
        <w:tc>
          <w:tcPr>
            <w:tcW w:w="0" w:type="dxa"/>
            <w:vAlign w:val="bottom"/>
          </w:tcPr>
          <w:p>
            <w:pPr>
              <w:spacing w:after="0"/>
              <w:rPr>
                <w:sz w:val="1"/>
                <w:szCs w:val="1"/>
                <w:color w:val="auto"/>
              </w:rPr>
            </w:pPr>
          </w:p>
        </w:tc>
      </w:tr>
      <w:tr>
        <w:trPr>
          <w:trHeight w:val="22"/>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660" w:type="dxa"/>
            <w:vAlign w:val="bottom"/>
          </w:tcPr>
          <w:p>
            <w:pPr>
              <w:ind w:left="20"/>
              <w:spacing w:after="0" w:line="151" w:lineRule="exact"/>
              <w:rPr>
                <w:sz w:val="20"/>
                <w:szCs w:val="20"/>
                <w:color w:val="auto"/>
              </w:rPr>
            </w:pPr>
            <w:r>
              <w:rPr>
                <w:rFonts w:ascii="Calibri" w:cs="Calibri" w:eastAsia="Calibri" w:hAnsi="Calibri"/>
                <w:sz w:val="15"/>
                <w:szCs w:val="15"/>
                <w:color w:val="auto"/>
              </w:rPr>
              <w:t>Earnings per share from contnuing operatons atributable to common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180"/>
              <w:spacing w:after="0"/>
              <w:rPr>
                <w:sz w:val="20"/>
                <w:szCs w:val="20"/>
                <w:color w:val="auto"/>
              </w:rPr>
            </w:pPr>
            <w:r>
              <w:rPr>
                <w:rFonts w:ascii="Calibri" w:cs="Calibri" w:eastAsia="Calibri" w:hAnsi="Calibri"/>
                <w:sz w:val="15"/>
                <w:szCs w:val="15"/>
                <w:color w:val="auto"/>
              </w:rPr>
              <w:t>shareholders: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66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5"/>
                <w:szCs w:val="15"/>
                <w:color w:val="auto"/>
              </w:rPr>
              <w:t>Basic</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4.94</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Calibri" w:cs="Calibri" w:eastAsia="Calibri" w:hAnsi="Calibri"/>
                <w:sz w:val="15"/>
                <w:szCs w:val="15"/>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4.22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2.37</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Calibri" w:cs="Calibri" w:eastAsia="Calibri" w:hAnsi="Calibri"/>
                <w:sz w:val="15"/>
                <w:szCs w:val="15"/>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1.65</w:t>
            </w:r>
          </w:p>
        </w:tc>
        <w:tc>
          <w:tcPr>
            <w:tcW w:w="0" w:type="dxa"/>
            <w:vAlign w:val="bottom"/>
          </w:tcPr>
          <w:p>
            <w:pPr>
              <w:spacing w:after="0"/>
              <w:rPr>
                <w:sz w:val="1"/>
                <w:szCs w:val="1"/>
                <w:color w:val="auto"/>
              </w:rPr>
            </w:pPr>
          </w:p>
        </w:tc>
      </w:tr>
      <w:tr>
        <w:trPr>
          <w:trHeight w:val="184"/>
        </w:trPr>
        <w:tc>
          <w:tcPr>
            <w:tcW w:w="4660" w:type="dxa"/>
            <w:vAlign w:val="bottom"/>
          </w:tcPr>
          <w:p>
            <w:pPr>
              <w:ind w:left="140"/>
              <w:spacing w:after="0"/>
              <w:rPr>
                <w:sz w:val="20"/>
                <w:szCs w:val="20"/>
                <w:color w:val="auto"/>
              </w:rPr>
            </w:pPr>
            <w:r>
              <w:rPr>
                <w:rFonts w:ascii="Calibri" w:cs="Calibri" w:eastAsia="Calibri" w:hAnsi="Calibri"/>
                <w:sz w:val="15"/>
                <w:szCs w:val="15"/>
                <w:color w:val="auto"/>
              </w:rPr>
              <w:t>Diluted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4.87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4.14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2.34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alibri" w:cs="Calibri" w:eastAsia="Calibri" w:hAnsi="Calibri"/>
                <w:sz w:val="15"/>
                <w:szCs w:val="15"/>
                <w:color w:val="auto"/>
              </w:rPr>
              <w:t>1.62</w:t>
            </w:r>
          </w:p>
        </w:tc>
        <w:tc>
          <w:tcPr>
            <w:tcW w:w="0" w:type="dxa"/>
            <w:vAlign w:val="bottom"/>
          </w:tcPr>
          <w:p>
            <w:pPr>
              <w:spacing w:after="0"/>
              <w:rPr>
                <w:sz w:val="1"/>
                <w:szCs w:val="1"/>
                <w:color w:val="auto"/>
              </w:rPr>
            </w:pPr>
          </w:p>
        </w:tc>
      </w:tr>
      <w:tr>
        <w:trPr>
          <w:trHeight w:val="54"/>
        </w:trPr>
        <w:tc>
          <w:tcPr>
            <w:tcW w:w="46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The decrease in the weighted average shares outstanding is due to share repurchases completed in the current and prior fscal years.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STOCK-BASED COMPENSATION </w:t>
      </w:r>
      <w:r>
        <w:rPr>
          <w:rFonts w:ascii="Calibri" w:cs="Calibri" w:eastAsia="Calibri" w:hAnsi="Calibri"/>
          <w:sz w:val="17"/>
          <w:szCs w:val="17"/>
          <w:color w:val="auto"/>
        </w:rPr>
        <w:t>– We granted 1.7 million and 1.1 million shares, including adjustments for performance achievement and dividend equivalents,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under our stock-based compensaton plans during the nine months ended March 31, 2024 and 2023, respectvely. Stock-based compensaton expense of our contnuing operatons totaled $7.8 million and $25.3 million for the three and nine months ended March 31, 2024, respectvely, and $8.9 million and $26.8 million for the three and nine months ended March 31, 2023, respectvely. As of March 31, 2024, unrecognized compensaton cost for nonvested shares and units totaled $49.5 million.</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4: RECEIVABLES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Receivables, net of their related allowance, consist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(in 000s)</w:t>
            </w:r>
          </w:p>
        </w:tc>
        <w:tc>
          <w:tcPr>
            <w:tcW w:w="0" w:type="dxa"/>
            <w:vAlign w:val="bottom"/>
          </w:tcPr>
          <w:p>
            <w:pPr>
              <w:spacing w:after="0"/>
              <w:rPr>
                <w:sz w:val="1"/>
                <w:szCs w:val="1"/>
                <w:color w:val="auto"/>
              </w:rPr>
            </w:pPr>
          </w:p>
        </w:tc>
      </w:tr>
      <w:tr>
        <w:trPr>
          <w:trHeight w:val="43"/>
        </w:trPr>
        <w:tc>
          <w:tcPr>
            <w:tcW w:w="458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458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500" w:type="dxa"/>
            <w:vAlign w:val="bottom"/>
          </w:tcPr>
          <w:p>
            <w:pPr>
              <w:spacing w:after="0"/>
              <w:rPr>
                <w:sz w:val="15"/>
                <w:szCs w:val="15"/>
                <w:color w:val="auto"/>
              </w:rPr>
            </w:pPr>
          </w:p>
        </w:tc>
        <w:tc>
          <w:tcPr>
            <w:tcW w:w="1880" w:type="dxa"/>
            <w:vAlign w:val="bottom"/>
            <w:gridSpan w:val="3"/>
          </w:tcPr>
          <w:p>
            <w:pPr>
              <w:jc w:val="right"/>
              <w:ind w:right="163"/>
              <w:spacing w:after="0" w:line="177" w:lineRule="exact"/>
              <w:rPr>
                <w:sz w:val="20"/>
                <w:szCs w:val="20"/>
                <w:color w:val="auto"/>
              </w:rPr>
            </w:pPr>
            <w:r>
              <w:rPr>
                <w:rFonts w:ascii="Calibri" w:cs="Calibri" w:eastAsia="Calibri" w:hAnsi="Calibri"/>
                <w:sz w:val="15"/>
                <w:szCs w:val="15"/>
                <w:b w:val="1"/>
                <w:bCs w:val="1"/>
                <w:color w:val="auto"/>
              </w:rPr>
              <w:t>March 31, 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gridSpan w:val="3"/>
          </w:tcPr>
          <w:p>
            <w:pPr>
              <w:jc w:val="right"/>
              <w:ind w:right="183"/>
              <w:spacing w:after="0" w:line="177" w:lineRule="exact"/>
              <w:rPr>
                <w:sz w:val="20"/>
                <w:szCs w:val="20"/>
                <w:color w:val="auto"/>
              </w:rPr>
            </w:pPr>
            <w:r>
              <w:rPr>
                <w:rFonts w:ascii="Calibri" w:cs="Calibri" w:eastAsia="Calibri" w:hAnsi="Calibri"/>
                <w:sz w:val="15"/>
                <w:szCs w:val="15"/>
                <w:color w:val="auto"/>
              </w:rPr>
              <w:t>June 30, 2023</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400"/>
              <w:spacing w:after="0" w:line="177" w:lineRule="exact"/>
              <w:rPr>
                <w:sz w:val="20"/>
                <w:szCs w:val="20"/>
                <w:color w:val="auto"/>
              </w:rPr>
            </w:pPr>
            <w:r>
              <w:rPr>
                <w:rFonts w:ascii="Calibri" w:cs="Calibri" w:eastAsia="Calibri" w:hAnsi="Calibri"/>
                <w:sz w:val="15"/>
                <w:szCs w:val="15"/>
                <w:color w:val="auto"/>
              </w:rPr>
              <w:t>Short-term</w:t>
            </w:r>
          </w:p>
        </w:tc>
        <w:tc>
          <w:tcPr>
            <w:tcW w:w="7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Long-term</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400"/>
              <w:spacing w:after="0" w:line="177" w:lineRule="exact"/>
              <w:rPr>
                <w:sz w:val="20"/>
                <w:szCs w:val="20"/>
                <w:color w:val="auto"/>
              </w:rPr>
            </w:pPr>
            <w:r>
              <w:rPr>
                <w:rFonts w:ascii="Calibri" w:cs="Calibri" w:eastAsia="Calibri" w:hAnsi="Calibri"/>
                <w:sz w:val="15"/>
                <w:szCs w:val="15"/>
                <w:color w:val="auto"/>
              </w:rPr>
              <w:t>Short-term</w:t>
            </w:r>
          </w:p>
        </w:tc>
        <w:tc>
          <w:tcPr>
            <w:tcW w:w="6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Long-term</w:t>
            </w:r>
          </w:p>
        </w:tc>
        <w:tc>
          <w:tcPr>
            <w:tcW w:w="0" w:type="dxa"/>
            <w:vAlign w:val="bottom"/>
          </w:tcPr>
          <w:p>
            <w:pPr>
              <w:spacing w:after="0"/>
              <w:rPr>
                <w:sz w:val="1"/>
                <w:szCs w:val="1"/>
                <w:color w:val="auto"/>
              </w:rPr>
            </w:pPr>
          </w:p>
        </w:tc>
      </w:tr>
      <w:tr>
        <w:trPr>
          <w:trHeight w:val="22"/>
        </w:trPr>
        <w:tc>
          <w:tcPr>
            <w:tcW w:w="4580" w:type="dxa"/>
            <w:vAlign w:val="bottom"/>
            <w:gridSpan w:val="2"/>
            <w:vMerge w:val="restart"/>
          </w:tcPr>
          <w:p>
            <w:pPr>
              <w:ind w:left="20"/>
              <w:spacing w:after="0"/>
              <w:rPr>
                <w:sz w:val="20"/>
                <w:szCs w:val="20"/>
                <w:color w:val="auto"/>
              </w:rPr>
            </w:pPr>
            <w:r>
              <w:rPr>
                <w:rFonts w:ascii="Calibri" w:cs="Calibri" w:eastAsia="Calibri" w:hAnsi="Calibri"/>
                <w:sz w:val="15"/>
                <w:szCs w:val="15"/>
                <w:color w:val="auto"/>
              </w:rPr>
              <w:t>Loans to franchisees</w:t>
            </w: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580" w:type="dxa"/>
            <w:vAlign w:val="bottom"/>
            <w:gridSpan w:val="2"/>
            <w:vMerge w:val="continue"/>
          </w:tcPr>
          <w:p>
            <w:pPr>
              <w:spacing w:after="0"/>
              <w:rPr>
                <w:sz w:val="15"/>
                <w:szCs w:val="15"/>
                <w:color w:val="auto"/>
              </w:rPr>
            </w:pPr>
          </w:p>
        </w:tc>
        <w:tc>
          <w:tcPr>
            <w:tcW w:w="500" w:type="dxa"/>
            <w:vAlign w:val="bottom"/>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1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17,454</w:t>
            </w:r>
          </w:p>
        </w:tc>
        <w:tc>
          <w:tcPr>
            <w:tcW w:w="80" w:type="dxa"/>
            <w:vAlign w:val="bottom"/>
          </w:tcPr>
          <w:p>
            <w:pPr>
              <w:spacing w:after="0"/>
              <w:rPr>
                <w:sz w:val="15"/>
                <w:szCs w:val="15"/>
                <w:color w:val="auto"/>
              </w:rPr>
            </w:pPr>
          </w:p>
        </w:tc>
        <w:tc>
          <w:tcPr>
            <w:tcW w:w="700" w:type="dxa"/>
            <w:vAlign w:val="bottom"/>
          </w:tcPr>
          <w:p>
            <w:pPr>
              <w:jc w:val="right"/>
              <w:ind w:right="523"/>
              <w:spacing w:after="0" w:line="177" w:lineRule="exact"/>
              <w:rPr>
                <w:sz w:val="20"/>
                <w:szCs w:val="20"/>
                <w:color w:val="auto"/>
              </w:rPr>
            </w:pPr>
            <w:r>
              <w:rPr>
                <w:rFonts w:ascii="Calibri" w:cs="Calibri" w:eastAsia="Calibri" w:hAnsi="Calibri"/>
                <w:sz w:val="15"/>
                <w:szCs w:val="15"/>
                <w:b w:val="1"/>
                <w:bCs w:val="1"/>
                <w:color w:val="auto"/>
              </w:rPr>
              <w:t>$</w:t>
            </w:r>
          </w:p>
        </w:tc>
        <w:tc>
          <w:tcPr>
            <w:tcW w:w="9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16,922</w:t>
            </w:r>
          </w:p>
        </w:tc>
        <w:tc>
          <w:tcPr>
            <w:tcW w:w="100" w:type="dxa"/>
            <w:vAlign w:val="bottom"/>
          </w:tcPr>
          <w:p>
            <w:pPr>
              <w:spacing w:after="0"/>
              <w:rPr>
                <w:sz w:val="15"/>
                <w:szCs w:val="15"/>
                <w:color w:val="auto"/>
              </w:rPr>
            </w:pPr>
          </w:p>
        </w:tc>
        <w:tc>
          <w:tcPr>
            <w:tcW w:w="500" w:type="dxa"/>
            <w:vAlign w:val="bottom"/>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Pr>
          <w:p>
            <w:pPr>
              <w:jc w:val="right"/>
              <w:spacing w:after="0" w:line="177" w:lineRule="exact"/>
              <w:rPr>
                <w:sz w:val="20"/>
                <w:szCs w:val="20"/>
                <w:color w:val="auto"/>
              </w:rPr>
            </w:pPr>
            <w:r>
              <w:rPr>
                <w:rFonts w:ascii="Calibri" w:cs="Calibri" w:eastAsia="Calibri" w:hAnsi="Calibri"/>
                <w:sz w:val="15"/>
                <w:szCs w:val="15"/>
                <w:color w:val="auto"/>
              </w:rPr>
              <w:t>6,344</w:t>
            </w:r>
          </w:p>
        </w:tc>
        <w:tc>
          <w:tcPr>
            <w:tcW w:w="80" w:type="dxa"/>
            <w:vAlign w:val="bottom"/>
          </w:tcPr>
          <w:p>
            <w:pPr>
              <w:spacing w:after="0"/>
              <w:rPr>
                <w:sz w:val="15"/>
                <w:szCs w:val="15"/>
                <w:color w:val="auto"/>
              </w:rPr>
            </w:pPr>
          </w:p>
        </w:tc>
        <w:tc>
          <w:tcPr>
            <w:tcW w:w="660" w:type="dxa"/>
            <w:vAlign w:val="bottom"/>
          </w:tcPr>
          <w:p>
            <w:pPr>
              <w:jc w:val="right"/>
              <w:ind w:right="4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line="177" w:lineRule="exact"/>
              <w:rPr>
                <w:sz w:val="20"/>
                <w:szCs w:val="20"/>
                <w:color w:val="auto"/>
              </w:rPr>
            </w:pPr>
            <w:r>
              <w:rPr>
                <w:rFonts w:ascii="Calibri" w:cs="Calibri" w:eastAsia="Calibri" w:hAnsi="Calibri"/>
                <w:sz w:val="15"/>
                <w:szCs w:val="15"/>
                <w:color w:val="auto"/>
              </w:rPr>
              <w:t>19,206</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Receivables for U.S. assisted and DIY tax preparaton and related fees</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187,579</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8,360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11,061</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6,824</w:t>
            </w:r>
          </w:p>
        </w:tc>
        <w:tc>
          <w:tcPr>
            <w:tcW w:w="0" w:type="dxa"/>
            <w:vAlign w:val="bottom"/>
          </w:tcPr>
          <w:p>
            <w:pPr>
              <w:spacing w:after="0"/>
              <w:rPr>
                <w:sz w:val="1"/>
                <w:szCs w:val="1"/>
                <w:color w:val="auto"/>
              </w:rPr>
            </w:pP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H&amp;R Block's Instant Refund® receivables</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24,184</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b w:val="1"/>
                <w:bCs w:val="1"/>
                <w:color w:val="auto"/>
              </w:rPr>
              <w:t>1,048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8,499</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414</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Emerald Advance®</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53,978</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11,875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10,834</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7,089</w:t>
            </w:r>
          </w:p>
        </w:tc>
        <w:tc>
          <w:tcPr>
            <w:tcW w:w="0" w:type="dxa"/>
            <w:vAlign w:val="bottom"/>
          </w:tcPr>
          <w:p>
            <w:pPr>
              <w:spacing w:after="0"/>
              <w:rPr>
                <w:sz w:val="1"/>
                <w:szCs w:val="1"/>
                <w:color w:val="auto"/>
              </w:rPr>
            </w:pP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Sofware receivables from retailers</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9,957</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1,650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Royaltes and other receivables from franchisees</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35,293</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3,416</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Wave payment processing receivables</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2,165</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964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w:t>
            </w: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16,174</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1,777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17,219</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1,108</w:t>
            </w:r>
          </w:p>
        </w:tc>
        <w:tc>
          <w:tcPr>
            <w:tcW w:w="0" w:type="dxa"/>
            <w:vAlign w:val="bottom"/>
          </w:tcPr>
          <w:p>
            <w:pPr>
              <w:spacing w:after="0"/>
              <w:rPr>
                <w:sz w:val="1"/>
                <w:szCs w:val="1"/>
                <w:color w:val="auto"/>
              </w:rPr>
            </w:pPr>
          </w:p>
        </w:tc>
      </w:tr>
      <w:tr>
        <w:trPr>
          <w:trHeight w:val="177"/>
        </w:trPr>
        <w:tc>
          <w:tcPr>
            <w:tcW w:w="45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Total</w:t>
            </w: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346,784</w:t>
            </w: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ind w:right="523"/>
              <w:spacing w:after="0" w:line="177" w:lineRule="exact"/>
              <w:rPr>
                <w:sz w:val="20"/>
                <w:szCs w:val="20"/>
                <w:color w:val="auto"/>
              </w:rPr>
            </w:pPr>
            <w:r>
              <w:rPr>
                <w:rFonts w:ascii="Calibri" w:cs="Calibri" w:eastAsia="Calibri" w:hAnsi="Calibri"/>
                <w:sz w:val="15"/>
                <w:szCs w:val="15"/>
                <w:b w:val="1"/>
                <w:bCs w:val="1"/>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39,982</w:t>
            </w:r>
          </w:p>
        </w:tc>
        <w:tc>
          <w:tcPr>
            <w:tcW w:w="100" w:type="dxa"/>
            <w:vAlign w:val="bottom"/>
          </w:tcPr>
          <w:p>
            <w:pPr>
              <w:spacing w:after="0"/>
              <w:rPr>
                <w:sz w:val="15"/>
                <w:szCs w:val="15"/>
                <w:color w:val="auto"/>
              </w:rPr>
            </w:pP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59,987</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4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34,641</w:t>
            </w:r>
          </w:p>
        </w:tc>
        <w:tc>
          <w:tcPr>
            <w:tcW w:w="0" w:type="dxa"/>
            <w:vAlign w:val="bottom"/>
          </w:tcPr>
          <w:p>
            <w:pPr>
              <w:spacing w:after="0"/>
              <w:rPr>
                <w:sz w:val="1"/>
                <w:szCs w:val="1"/>
                <w:color w:val="auto"/>
              </w:rPr>
            </w:pPr>
          </w:p>
        </w:tc>
      </w:tr>
      <w:tr>
        <w:trPr>
          <w:trHeight w:val="59"/>
        </w:trPr>
        <w:tc>
          <w:tcPr>
            <w:tcW w:w="44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0" w:hanging="224"/>
        <w:spacing w:after="0"/>
        <w:tabs>
          <w:tab w:leader="none" w:pos="360" w:val="left"/>
        </w:tabs>
        <w:numPr>
          <w:ilvl w:val="0"/>
          <w:numId w:val="8"/>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Balances presented above as short-term are included in receivables, while the long-term portons are included in other noncurrent assets in the consolidated balance sheets.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LOANS TO FRANCHISEES </w:t>
      </w:r>
      <w:r>
        <w:rPr>
          <w:rFonts w:ascii="Calibri" w:cs="Calibri" w:eastAsia="Calibri" w:hAnsi="Calibri"/>
          <w:sz w:val="17"/>
          <w:szCs w:val="17"/>
          <w:color w:val="auto"/>
        </w:rPr>
        <w:t>– Franchisee loan balances consist of term loans made primarily to fnance the purchase of franchises and revolving lines of credit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primarily for the purpose of funding working capital needs. As of March 31, 2024 and June 30, 2023, loans with a principal balance more than 90 days past due, or on non-accrual status, are not material.</w:t>
      </w:r>
    </w:p>
    <w:p>
      <w:pPr>
        <w:spacing w:after="0" w:line="105"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b w:val="1"/>
          <w:bCs w:val="1"/>
          <w:color w:val="auto"/>
        </w:rPr>
        <w:t>H&amp;R BLOCK'S INSTANT REFUND</w:t>
      </w:r>
      <w:r>
        <w:rPr>
          <w:rFonts w:ascii="Calibri" w:cs="Calibri" w:eastAsia="Calibri" w:hAnsi="Calibri"/>
          <w:sz w:val="17"/>
          <w:szCs w:val="17"/>
          <w:color w:val="auto"/>
        </w:rPr>
        <w:t>® – H&amp;R Block's Instant Refund® amounts are generally received from the Canada Revenue Agency within 60 days of fling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client's return, with the remaining balance collectble from the client.</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review the credit quality of our Instant Refund receivables based on pools, which are segregated by the tax return year of originaton, with older years being deemed more unlikely to be repaid. We establish an allowance for credit losses at an amount that we believe refects the receivable at net realizable value. In December of each year, we charge-of the receivables and the related allowance to an amount we believe represents the net realizable value.</w:t>
      </w:r>
    </w:p>
    <w:p>
      <w:pPr>
        <w:spacing w:after="0" w:line="105"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Balances and amounts on non-accrual status, classifed as impaired, or more than 60 days past due, by tax return year of originaton, as of March 31, 2024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6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177"/>
        </w:trPr>
        <w:tc>
          <w:tcPr>
            <w:tcW w:w="630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Tax return year of originaton</w:t>
            </w:r>
          </w:p>
        </w:tc>
        <w:tc>
          <w:tcPr>
            <w:tcW w:w="88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color w:val="auto"/>
              </w:rPr>
              <w:t>Balance</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right"/>
              <w:spacing w:after="0" w:line="177" w:lineRule="exact"/>
              <w:rPr>
                <w:sz w:val="20"/>
                <w:szCs w:val="20"/>
                <w:color w:val="auto"/>
              </w:rPr>
            </w:pPr>
            <w:r>
              <w:rPr>
                <w:rFonts w:ascii="Calibri" w:cs="Calibri" w:eastAsia="Calibri" w:hAnsi="Calibri"/>
                <w:sz w:val="15"/>
                <w:szCs w:val="15"/>
                <w:color w:val="auto"/>
              </w:rPr>
              <w:t>More Than 60 Days Past Due</w:t>
            </w:r>
          </w:p>
        </w:tc>
      </w:tr>
      <w:tr>
        <w:trPr>
          <w:trHeight w:val="22"/>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7"/>
        </w:trPr>
        <w:tc>
          <w:tcPr>
            <w:tcW w:w="620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880" w:type="dxa"/>
            <w:vAlign w:val="bottom"/>
            <w:tcBorders>
              <w:top w:val="single" w:sz="8" w:color="auto"/>
            </w:tcBorders>
          </w:tcPr>
          <w:p>
            <w:pPr>
              <w:jc w:val="right"/>
              <w:ind w:right="703"/>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23,736</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21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r>
      <w:tr>
        <w:trPr>
          <w:trHeight w:val="22"/>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6"/>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2022 and prior</w:t>
            </w:r>
          </w:p>
        </w:tc>
        <w:tc>
          <w:tcPr>
            <w:tcW w:w="8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2,426</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2,426</w:t>
            </w:r>
          </w:p>
        </w:tc>
      </w:tr>
      <w:tr>
        <w:trPr>
          <w:trHeight w:val="177"/>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26,162</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21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2,426</w:t>
            </w:r>
          </w:p>
        </w:tc>
      </w:tr>
      <w:tr>
        <w:trPr>
          <w:trHeight w:val="22"/>
        </w:trPr>
        <w:tc>
          <w:tcPr>
            <w:tcW w:w="6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86"/>
        </w:trPr>
        <w:tc>
          <w:tcPr>
            <w:tcW w:w="630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Allowance</w:t>
            </w:r>
          </w:p>
        </w:tc>
        <w:tc>
          <w:tcPr>
            <w:tcW w:w="8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5"/>
                <w:szCs w:val="15"/>
                <w:b w:val="1"/>
                <w:bCs w:val="1"/>
                <w:color w:val="auto"/>
              </w:rPr>
              <w:t>(930)</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spacing w:after="0"/>
              <w:rPr>
                <w:sz w:val="16"/>
                <w:szCs w:val="16"/>
                <w:color w:val="auto"/>
              </w:rPr>
            </w:pPr>
          </w:p>
        </w:tc>
      </w:tr>
      <w:tr>
        <w:trPr>
          <w:trHeight w:val="177"/>
        </w:trPr>
        <w:tc>
          <w:tcPr>
            <w:tcW w:w="630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balance</w:t>
            </w:r>
          </w:p>
        </w:tc>
        <w:tc>
          <w:tcPr>
            <w:tcW w:w="880" w:type="dxa"/>
            <w:vAlign w:val="bottom"/>
            <w:tcBorders>
              <w:top w:val="single" w:sz="8" w:color="auto"/>
            </w:tcBorders>
          </w:tcPr>
          <w:p>
            <w:pPr>
              <w:jc w:val="right"/>
              <w:ind w:right="703"/>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25,232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59"/>
        </w:trPr>
        <w:tc>
          <w:tcPr>
            <w:tcW w:w="6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r>
      <w:tr>
        <w:trPr>
          <w:trHeight w:val="20"/>
        </w:trPr>
        <w:tc>
          <w:tcPr>
            <w:tcW w:w="6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2180" w:type="dxa"/>
            <w:vAlign w:val="bottom"/>
            <w:tcBorders>
              <w:top w:val="single" w:sz="8" w:color="CCEEFF"/>
            </w:tcBorders>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EMERALD ADVANCE</w:t>
      </w:r>
      <w:r>
        <w:rPr>
          <w:rFonts w:ascii="Calibri" w:cs="Calibri" w:eastAsia="Calibri" w:hAnsi="Calibri"/>
          <w:sz w:val="17"/>
          <w:szCs w:val="17"/>
          <w:color w:val="auto"/>
        </w:rPr>
        <w:t xml:space="preserve">® – Historically, Emerald Advance® lines of credit (EA LOCs) have been ofered to clients in our ofces from mid-November through mid-January. If the borrower met certain criteria as agreed in the loan terms, the line of credit could be utlized year-round (Revolving Loan). In fscal year 2024, EAs are being ofered as term loans (EA TLs), and we discontnued EA LOCs, including the Revolving Loans. EA TLs are due on March 31, whereas, EA LOCs were required to be paid down to zero by February 15 in the prior year. See </w:t>
      </w:r>
      <w:r>
        <w:rPr>
          <w:rFonts w:ascii="Calibri" w:cs="Calibri" w:eastAsia="Calibri" w:hAnsi="Calibri"/>
          <w:sz w:val="17"/>
          <w:szCs w:val="17"/>
          <w:u w:val="single" w:color="auto"/>
          <w:color w:val="0000FF"/>
        </w:rPr>
        <w:t>note 8</w:t>
      </w:r>
      <w:r>
        <w:rPr>
          <w:rFonts w:ascii="Calibri" w:cs="Calibri" w:eastAsia="Calibri" w:hAnsi="Calibri"/>
          <w:sz w:val="17"/>
          <w:szCs w:val="17"/>
          <w:color w:val="auto"/>
        </w:rPr>
        <w:t xml:space="preserve"> for discussion of the new EA TL.</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review the credit quality of our purchased partcipaton interests in EA receivables based on pools, which are segregated by the fscal year of originaton, with older years being deemed more unlikely to be repaid. We establish an allowance for credit losses at an amount that we believe refects the receivable at net realizable value. Typically, in December of each year, we charge-of the receivables and the related allowance for EA LOCs, excluding Revolving Loans, to an amount we believe represents the net realizable value. However, due to the discontnuaton of EA LOCs, we charged-of the receivables and the related allowance of 2023 EA LOCs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8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1"/>
          <w:szCs w:val="11"/>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color w:val="auto"/>
        </w:rPr>
        <w:t>Revolving Loans during the quarter ended September 30, 2023 to an amount that we believe represents net realizable value.</w:t>
      </w:r>
    </w:p>
    <w:p>
      <w:pPr>
        <w:spacing w:after="0" w:line="105" w:lineRule="exact"/>
        <w:rPr>
          <w:sz w:val="20"/>
          <w:szCs w:val="20"/>
          <w:color w:val="auto"/>
        </w:rPr>
      </w:pPr>
    </w:p>
    <w:p>
      <w:pPr>
        <w:ind w:firstLine="232"/>
        <w:spacing w:after="0" w:line="237" w:lineRule="auto"/>
        <w:rPr>
          <w:sz w:val="20"/>
          <w:szCs w:val="20"/>
          <w:color w:val="auto"/>
        </w:rPr>
      </w:pPr>
      <w:r>
        <w:rPr>
          <w:rFonts w:ascii="Calibri" w:cs="Calibri" w:eastAsia="Calibri" w:hAnsi="Calibri"/>
          <w:sz w:val="17"/>
          <w:szCs w:val="17"/>
          <w:color w:val="auto"/>
        </w:rPr>
        <w:t>Balances and amounts on non-accrual status, classifed as impaired, or more than 60 days past due, by fscal year of originaton, as of March 31, 2024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678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678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Fiscal year of originaton</w:t>
            </w:r>
          </w:p>
        </w:tc>
        <w:tc>
          <w:tcPr>
            <w:tcW w:w="880" w:type="dxa"/>
            <w:vAlign w:val="bottom"/>
          </w:tcPr>
          <w:p>
            <w:pPr>
              <w:spacing w:after="0"/>
              <w:rPr>
                <w:sz w:val="15"/>
                <w:szCs w:val="15"/>
                <w:color w:val="auto"/>
              </w:rPr>
            </w:pPr>
          </w:p>
        </w:tc>
        <w:tc>
          <w:tcPr>
            <w:tcW w:w="1320" w:type="dxa"/>
            <w:vAlign w:val="bottom"/>
          </w:tcPr>
          <w:p>
            <w:pPr>
              <w:jc w:val="right"/>
              <w:spacing w:after="0" w:line="177" w:lineRule="exact"/>
              <w:rPr>
                <w:sz w:val="20"/>
                <w:szCs w:val="20"/>
                <w:color w:val="auto"/>
              </w:rPr>
            </w:pPr>
            <w:r>
              <w:rPr>
                <w:rFonts w:ascii="Calibri" w:cs="Calibri" w:eastAsia="Calibri" w:hAnsi="Calibri"/>
                <w:sz w:val="15"/>
                <w:szCs w:val="15"/>
                <w:color w:val="auto"/>
              </w:rPr>
              <w:t>Balance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Calibri" w:cs="Calibri" w:eastAsia="Calibri" w:hAnsi="Calibri"/>
                <w:sz w:val="15"/>
                <w:szCs w:val="15"/>
                <w:color w:val="auto"/>
              </w:rPr>
              <w:t>Non-Accrual</w:t>
            </w:r>
          </w:p>
        </w:tc>
      </w:tr>
      <w:tr>
        <w:trPr>
          <w:trHeight w:val="22"/>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7"/>
        </w:trPr>
        <w:tc>
          <w:tcPr>
            <w:tcW w:w="66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2024 – Term loans</w:t>
            </w:r>
          </w:p>
        </w:tc>
        <w:tc>
          <w:tcPr>
            <w:tcW w:w="100" w:type="dxa"/>
            <w:vAlign w:val="bottom"/>
          </w:tcPr>
          <w:p>
            <w:pPr>
              <w:spacing w:after="0"/>
              <w:rPr>
                <w:sz w:val="15"/>
                <w:szCs w:val="15"/>
                <w:color w:val="auto"/>
              </w:rPr>
            </w:pPr>
          </w:p>
        </w:tc>
        <w:tc>
          <w:tcPr>
            <w:tcW w:w="880" w:type="dxa"/>
            <w:vAlign w:val="bottom"/>
            <w:tcBorders>
              <w:top w:val="single" w:sz="8" w:color="auto"/>
            </w:tcBorders>
          </w:tcPr>
          <w:p>
            <w:pPr>
              <w:jc w:val="right"/>
              <w:ind w:right="723"/>
              <w:spacing w:after="0" w:line="177" w:lineRule="exact"/>
              <w:rPr>
                <w:sz w:val="20"/>
                <w:szCs w:val="20"/>
                <w:color w:val="auto"/>
              </w:rPr>
            </w:pPr>
            <w:r>
              <w:rPr>
                <w:rFonts w:ascii="Calibri" w:cs="Calibri" w:eastAsia="Calibri" w:hAnsi="Calibri"/>
                <w:sz w:val="15"/>
                <w:szCs w:val="15"/>
                <w:b w:val="1"/>
                <w:bCs w:val="1"/>
                <w:color w:val="auto"/>
                <w:w w:val="78"/>
              </w:rPr>
              <w:t>$</w:t>
            </w:r>
          </w:p>
        </w:tc>
        <w:tc>
          <w:tcPr>
            <w:tcW w:w="13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77,595</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ind w:right="563"/>
              <w:spacing w:after="0" w:line="177" w:lineRule="exact"/>
              <w:rPr>
                <w:sz w:val="20"/>
                <w:szCs w:val="20"/>
                <w:color w:val="auto"/>
              </w:rPr>
            </w:pPr>
            <w:r>
              <w:rPr>
                <w:rFonts w:ascii="Calibri" w:cs="Calibri" w:eastAsia="Calibri" w:hAnsi="Calibri"/>
                <w:sz w:val="15"/>
                <w:szCs w:val="15"/>
                <w:b w:val="1"/>
                <w:bCs w:val="1"/>
                <w:color w:val="auto"/>
              </w:rPr>
              <w:t>$</w:t>
            </w: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r>
      <w:tr>
        <w:trPr>
          <w:trHeight w:val="22"/>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6"/>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2023 and prior – Lines of credit and Revolving Loans</w:t>
            </w:r>
          </w:p>
        </w:tc>
        <w:tc>
          <w:tcPr>
            <w:tcW w:w="8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8,941</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8,941</w:t>
            </w:r>
          </w:p>
        </w:tc>
      </w:tr>
      <w:tr>
        <w:trPr>
          <w:trHeight w:val="177"/>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86,536</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ind w:right="563"/>
              <w:spacing w:after="0" w:line="177" w:lineRule="exact"/>
              <w:rPr>
                <w:sz w:val="20"/>
                <w:szCs w:val="20"/>
                <w:color w:val="auto"/>
              </w:rPr>
            </w:pPr>
            <w:r>
              <w:rPr>
                <w:rFonts w:ascii="Calibri" w:cs="Calibri" w:eastAsia="Calibri" w:hAnsi="Calibri"/>
                <w:sz w:val="15"/>
                <w:szCs w:val="15"/>
                <w:b w:val="1"/>
                <w:bCs w:val="1"/>
                <w:color w:val="auto"/>
              </w:rPr>
              <w:t>$</w:t>
            </w: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8,941</w:t>
            </w:r>
          </w:p>
        </w:tc>
      </w:tr>
      <w:tr>
        <w:trPr>
          <w:trHeight w:val="22"/>
        </w:trPr>
        <w:tc>
          <w:tcPr>
            <w:tcW w:w="6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678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Allowance</w:t>
            </w:r>
          </w:p>
        </w:tc>
        <w:tc>
          <w:tcPr>
            <w:tcW w:w="8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5"/>
                <w:szCs w:val="15"/>
                <w:b w:val="1"/>
                <w:bCs w:val="1"/>
                <w:color w:val="auto"/>
              </w:rPr>
              <w:t>(20,683)</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177"/>
        </w:trPr>
        <w:tc>
          <w:tcPr>
            <w:tcW w:w="67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balance</w:t>
            </w:r>
          </w:p>
        </w:tc>
        <w:tc>
          <w:tcPr>
            <w:tcW w:w="880" w:type="dxa"/>
            <w:vAlign w:val="bottom"/>
            <w:tcBorders>
              <w:top w:val="single" w:sz="8" w:color="auto"/>
            </w:tcBorders>
          </w:tcPr>
          <w:p>
            <w:pPr>
              <w:jc w:val="right"/>
              <w:ind w:right="723"/>
              <w:spacing w:after="0" w:line="177" w:lineRule="exact"/>
              <w:rPr>
                <w:sz w:val="20"/>
                <w:szCs w:val="20"/>
                <w:color w:val="auto"/>
              </w:rPr>
            </w:pPr>
            <w:r>
              <w:rPr>
                <w:rFonts w:ascii="Calibri" w:cs="Calibri" w:eastAsia="Calibri" w:hAnsi="Calibri"/>
                <w:sz w:val="15"/>
                <w:szCs w:val="15"/>
                <w:b w:val="1"/>
                <w:bCs w:val="1"/>
                <w:color w:val="auto"/>
                <w:w w:val="78"/>
              </w:rPr>
              <w:t>$</w:t>
            </w:r>
          </w:p>
        </w:tc>
        <w:tc>
          <w:tcPr>
            <w:tcW w:w="13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65,853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59"/>
        </w:trPr>
        <w:tc>
          <w:tcPr>
            <w:tcW w:w="66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r>
      <w:tr>
        <w:trPr>
          <w:trHeight w:val="20"/>
        </w:trPr>
        <w:tc>
          <w:tcPr>
            <w:tcW w:w="66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420" w:type="dxa"/>
            <w:vAlign w:val="bottom"/>
            <w:tcBorders>
              <w:top w:val="single" w:sz="8" w:color="CCEEFF"/>
            </w:tcBorders>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b w:val="1"/>
          <w:bCs w:val="1"/>
          <w:color w:val="auto"/>
        </w:rPr>
        <w:t xml:space="preserve">ALLOWANCE FOR CREDIT LOSSES </w:t>
      </w:r>
      <w:r>
        <w:rPr>
          <w:rFonts w:ascii="Calibri" w:cs="Calibri" w:eastAsia="Calibri" w:hAnsi="Calibri"/>
          <w:sz w:val="17"/>
          <w:szCs w:val="17"/>
          <w:color w:val="auto"/>
        </w:rPr>
        <w:t>– Actvity in the allowance for credit losses for our EA and all other short-term and long-term receivables for the nine months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ended March 31, 2024 and 2023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gridSpan w:val="2"/>
          </w:tcPr>
          <w:p>
            <w:pPr>
              <w:ind w:left="900"/>
              <w:spacing w:after="0" w:line="177" w:lineRule="exact"/>
              <w:rPr>
                <w:sz w:val="20"/>
                <w:szCs w:val="20"/>
                <w:color w:val="auto"/>
              </w:rPr>
            </w:pPr>
            <w:r>
              <w:rPr>
                <w:rFonts w:ascii="Calibri" w:cs="Calibri" w:eastAsia="Calibri" w:hAnsi="Calibri"/>
                <w:sz w:val="15"/>
                <w:szCs w:val="15"/>
                <w:color w:val="auto"/>
              </w:rPr>
              <w:t>EAs</w:t>
            </w:r>
          </w:p>
        </w:tc>
        <w:tc>
          <w:tcPr>
            <w:tcW w:w="660" w:type="dxa"/>
            <w:vAlign w:val="bottom"/>
          </w:tcPr>
          <w:p>
            <w:pPr>
              <w:spacing w:after="0"/>
              <w:rPr>
                <w:sz w:val="15"/>
                <w:szCs w:val="15"/>
                <w:color w:val="auto"/>
              </w:rPr>
            </w:pPr>
          </w:p>
        </w:tc>
        <w:tc>
          <w:tcPr>
            <w:tcW w:w="1240" w:type="dxa"/>
            <w:vAlign w:val="bottom"/>
            <w:gridSpan w:val="2"/>
          </w:tcPr>
          <w:p>
            <w:pPr>
              <w:ind w:left="580"/>
              <w:spacing w:after="0" w:line="177" w:lineRule="exact"/>
              <w:rPr>
                <w:sz w:val="20"/>
                <w:szCs w:val="20"/>
                <w:color w:val="auto"/>
              </w:rPr>
            </w:pPr>
            <w:r>
              <w:rPr>
                <w:rFonts w:ascii="Calibri" w:cs="Calibri" w:eastAsia="Calibri" w:hAnsi="Calibri"/>
                <w:sz w:val="15"/>
                <w:szCs w:val="15"/>
                <w:color w:val="auto"/>
              </w:rPr>
              <w:t>All Other</w:t>
            </w:r>
          </w:p>
        </w:tc>
        <w:tc>
          <w:tcPr>
            <w:tcW w:w="68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Calibri" w:cs="Calibri" w:eastAsia="Calibri" w:hAnsi="Calibri"/>
                <w:sz w:val="15"/>
                <w:szCs w:val="15"/>
                <w:color w:val="auto"/>
              </w:rPr>
              <w:t>Total</w:t>
            </w:r>
          </w:p>
        </w:tc>
      </w:tr>
      <w:tr>
        <w:trPr>
          <w:trHeight w:val="22"/>
        </w:trPr>
        <w:tc>
          <w:tcPr>
            <w:tcW w:w="5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7"/>
        </w:trPr>
        <w:tc>
          <w:tcPr>
            <w:tcW w:w="5560" w:type="dxa"/>
            <w:vAlign w:val="bottom"/>
          </w:tcPr>
          <w:p>
            <w:pPr>
              <w:ind w:left="20"/>
              <w:spacing w:after="0" w:line="177" w:lineRule="exact"/>
              <w:rPr>
                <w:sz w:val="20"/>
                <w:szCs w:val="20"/>
                <w:color w:val="auto"/>
              </w:rPr>
            </w:pPr>
            <w:r>
              <w:rPr>
                <w:rFonts w:ascii="Calibri" w:cs="Calibri" w:eastAsia="Calibri" w:hAnsi="Calibri"/>
                <w:sz w:val="15"/>
                <w:szCs w:val="15"/>
                <w:color w:val="auto"/>
              </w:rPr>
              <w:t>Balances as of July 1, 2023</w:t>
            </w:r>
          </w:p>
        </w:tc>
        <w:tc>
          <w:tcPr>
            <w:tcW w:w="80" w:type="dxa"/>
            <w:vAlign w:val="bottom"/>
          </w:tcPr>
          <w:p>
            <w:pPr>
              <w:spacing w:after="0"/>
              <w:rPr>
                <w:sz w:val="15"/>
                <w:szCs w:val="15"/>
                <w:color w:val="auto"/>
              </w:rPr>
            </w:pPr>
          </w:p>
        </w:tc>
        <w:tc>
          <w:tcPr>
            <w:tcW w:w="680" w:type="dxa"/>
            <w:vAlign w:val="bottom"/>
          </w:tcPr>
          <w:p>
            <w:pPr>
              <w:jc w:val="right"/>
              <w:ind w:right="50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Pr>
          <w:p>
            <w:pPr>
              <w:jc w:val="center"/>
              <w:ind w:left="503"/>
              <w:spacing w:after="0" w:line="177" w:lineRule="exact"/>
              <w:rPr>
                <w:sz w:val="20"/>
                <w:szCs w:val="20"/>
                <w:color w:val="auto"/>
              </w:rPr>
            </w:pPr>
            <w:r>
              <w:rPr>
                <w:rFonts w:ascii="Calibri" w:cs="Calibri" w:eastAsia="Calibri" w:hAnsi="Calibri"/>
                <w:sz w:val="15"/>
                <w:szCs w:val="15"/>
                <w:b w:val="1"/>
                <w:bCs w:val="1"/>
                <w:color w:val="auto"/>
              </w:rPr>
              <w:t>27,386</w:t>
            </w:r>
          </w:p>
        </w:tc>
        <w:tc>
          <w:tcPr>
            <w:tcW w:w="80" w:type="dxa"/>
            <w:vAlign w:val="bottom"/>
          </w:tcPr>
          <w:p>
            <w:pPr>
              <w:spacing w:after="0"/>
              <w:rPr>
                <w:sz w:val="15"/>
                <w:szCs w:val="15"/>
                <w:color w:val="auto"/>
              </w:rPr>
            </w:pPr>
          </w:p>
        </w:tc>
        <w:tc>
          <w:tcPr>
            <w:tcW w:w="660" w:type="dxa"/>
            <w:vAlign w:val="bottom"/>
          </w:tcPr>
          <w:p>
            <w:pPr>
              <w:jc w:val="right"/>
              <w:ind w:right="48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Pr>
          <w:p>
            <w:pPr>
              <w:jc w:val="center"/>
              <w:ind w:left="523"/>
              <w:spacing w:after="0" w:line="177" w:lineRule="exact"/>
              <w:rPr>
                <w:sz w:val="20"/>
                <w:szCs w:val="20"/>
                <w:color w:val="auto"/>
              </w:rPr>
            </w:pPr>
            <w:r>
              <w:rPr>
                <w:rFonts w:ascii="Calibri" w:cs="Calibri" w:eastAsia="Calibri" w:hAnsi="Calibri"/>
                <w:sz w:val="15"/>
                <w:szCs w:val="15"/>
                <w:b w:val="1"/>
                <w:bCs w:val="1"/>
                <w:color w:val="auto"/>
              </w:rPr>
              <w:t>35,108</w:t>
            </w:r>
          </w:p>
        </w:tc>
        <w:tc>
          <w:tcPr>
            <w:tcW w:w="100" w:type="dxa"/>
            <w:vAlign w:val="bottom"/>
          </w:tcPr>
          <w:p>
            <w:pPr>
              <w:spacing w:after="0"/>
              <w:rPr>
                <w:sz w:val="15"/>
                <w:szCs w:val="15"/>
                <w:color w:val="auto"/>
              </w:rPr>
            </w:pPr>
          </w:p>
        </w:tc>
        <w:tc>
          <w:tcPr>
            <w:tcW w:w="680" w:type="dxa"/>
            <w:vAlign w:val="bottom"/>
          </w:tcPr>
          <w:p>
            <w:pPr>
              <w:jc w:val="right"/>
              <w:ind w:right="503"/>
              <w:spacing w:after="0" w:line="177" w:lineRule="exact"/>
              <w:rPr>
                <w:sz w:val="20"/>
                <w:szCs w:val="20"/>
                <w:color w:val="auto"/>
              </w:rPr>
            </w:pPr>
            <w:r>
              <w:rPr>
                <w:rFonts w:ascii="Calibri" w:cs="Calibri" w:eastAsia="Calibri" w:hAnsi="Calibri"/>
                <w:sz w:val="15"/>
                <w:szCs w:val="15"/>
                <w:b w:val="1"/>
                <w:bCs w:val="1"/>
                <w:color w:val="auto"/>
              </w:rPr>
              <w:t>$</w:t>
            </w:r>
          </w:p>
        </w:tc>
        <w:tc>
          <w:tcPr>
            <w:tcW w:w="1120" w:type="dxa"/>
            <w:vAlign w:val="bottom"/>
          </w:tcPr>
          <w:p>
            <w:pPr>
              <w:jc w:val="center"/>
              <w:ind w:left="504"/>
              <w:spacing w:after="0" w:line="177" w:lineRule="exact"/>
              <w:rPr>
                <w:sz w:val="20"/>
                <w:szCs w:val="20"/>
                <w:color w:val="auto"/>
              </w:rPr>
            </w:pPr>
            <w:r>
              <w:rPr>
                <w:rFonts w:ascii="Calibri" w:cs="Calibri" w:eastAsia="Calibri" w:hAnsi="Calibri"/>
                <w:sz w:val="15"/>
                <w:szCs w:val="15"/>
                <w:b w:val="1"/>
                <w:bCs w:val="1"/>
                <w:color w:val="auto"/>
              </w:rPr>
              <w:t>62,494</w:t>
            </w:r>
          </w:p>
        </w:tc>
      </w:tr>
      <w:tr>
        <w:trPr>
          <w:trHeight w:val="22"/>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6"/>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Provision for credit losses</w:t>
            </w:r>
          </w:p>
        </w:tc>
        <w:tc>
          <w:tcPr>
            <w:tcW w:w="6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left="503"/>
              <w:spacing w:after="0"/>
              <w:rPr>
                <w:sz w:val="20"/>
                <w:szCs w:val="20"/>
                <w:color w:val="auto"/>
              </w:rPr>
            </w:pPr>
            <w:r>
              <w:rPr>
                <w:rFonts w:ascii="Calibri" w:cs="Calibri" w:eastAsia="Calibri" w:hAnsi="Calibri"/>
                <w:sz w:val="15"/>
                <w:szCs w:val="15"/>
                <w:b w:val="1"/>
                <w:bCs w:val="1"/>
                <w:color w:val="auto"/>
              </w:rPr>
              <w:t>21,011</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left="523"/>
              <w:spacing w:after="0"/>
              <w:rPr>
                <w:sz w:val="20"/>
                <w:szCs w:val="20"/>
                <w:color w:val="auto"/>
              </w:rPr>
            </w:pPr>
            <w:r>
              <w:rPr>
                <w:rFonts w:ascii="Calibri" w:cs="Calibri" w:eastAsia="Calibri" w:hAnsi="Calibri"/>
                <w:sz w:val="15"/>
                <w:szCs w:val="15"/>
                <w:b w:val="1"/>
                <w:bCs w:val="1"/>
                <w:color w:val="auto"/>
              </w:rPr>
              <w:t>40,348</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ind w:left="504"/>
              <w:spacing w:after="0"/>
              <w:rPr>
                <w:sz w:val="20"/>
                <w:szCs w:val="20"/>
                <w:color w:val="auto"/>
              </w:rPr>
            </w:pPr>
            <w:r>
              <w:rPr>
                <w:rFonts w:ascii="Calibri" w:cs="Calibri" w:eastAsia="Calibri" w:hAnsi="Calibri"/>
                <w:sz w:val="15"/>
                <w:szCs w:val="15"/>
                <w:b w:val="1"/>
                <w:bCs w:val="1"/>
                <w:color w:val="auto"/>
              </w:rPr>
              <w:t>61,359</w:t>
            </w:r>
          </w:p>
        </w:tc>
      </w:tr>
      <w:tr>
        <w:trPr>
          <w:trHeight w:val="184"/>
        </w:trPr>
        <w:tc>
          <w:tcPr>
            <w:tcW w:w="5640" w:type="dxa"/>
            <w:vAlign w:val="bottom"/>
            <w:gridSpan w:val="2"/>
          </w:tcPr>
          <w:p>
            <w:pPr>
              <w:ind w:left="20"/>
              <w:spacing w:after="0"/>
              <w:rPr>
                <w:sz w:val="20"/>
                <w:szCs w:val="20"/>
                <w:color w:val="auto"/>
              </w:rPr>
            </w:pPr>
            <w:r>
              <w:rPr>
                <w:rFonts w:ascii="Calibri" w:cs="Calibri" w:eastAsia="Calibri" w:hAnsi="Calibri"/>
                <w:sz w:val="15"/>
                <w:szCs w:val="15"/>
                <w:color w:val="auto"/>
              </w:rPr>
              <w:t>Charge-ofs, recoveries and other</w:t>
            </w:r>
          </w:p>
        </w:tc>
        <w:tc>
          <w:tcPr>
            <w:tcW w:w="680" w:type="dxa"/>
            <w:vAlign w:val="bottom"/>
          </w:tcPr>
          <w:p>
            <w:pPr>
              <w:spacing w:after="0"/>
              <w:rPr>
                <w:sz w:val="16"/>
                <w:szCs w:val="16"/>
                <w:color w:val="auto"/>
              </w:rPr>
            </w:pPr>
          </w:p>
        </w:tc>
        <w:tc>
          <w:tcPr>
            <w:tcW w:w="1140" w:type="dxa"/>
            <w:vAlign w:val="bottom"/>
          </w:tcPr>
          <w:p>
            <w:pPr>
              <w:jc w:val="center"/>
              <w:ind w:left="463"/>
              <w:spacing w:after="0"/>
              <w:rPr>
                <w:sz w:val="20"/>
                <w:szCs w:val="20"/>
                <w:color w:val="auto"/>
              </w:rPr>
            </w:pPr>
            <w:r>
              <w:rPr>
                <w:rFonts w:ascii="Calibri" w:cs="Calibri" w:eastAsia="Calibri" w:hAnsi="Calibri"/>
                <w:sz w:val="15"/>
                <w:szCs w:val="15"/>
                <w:b w:val="1"/>
                <w:bCs w:val="1"/>
                <w:color w:val="auto"/>
              </w:rPr>
              <w:t>(27,714)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center"/>
              <w:ind w:left="503"/>
              <w:spacing w:after="0"/>
              <w:rPr>
                <w:sz w:val="20"/>
                <w:szCs w:val="20"/>
                <w:color w:val="auto"/>
              </w:rPr>
            </w:pPr>
            <w:r>
              <w:rPr>
                <w:rFonts w:ascii="Calibri" w:cs="Calibri" w:eastAsia="Calibri" w:hAnsi="Calibri"/>
                <w:sz w:val="15"/>
                <w:szCs w:val="15"/>
                <w:b w:val="1"/>
                <w:bCs w:val="1"/>
                <w:color w:val="auto"/>
              </w:rPr>
              <w:t>(37,455)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center"/>
              <w:ind w:left="484"/>
              <w:spacing w:after="0"/>
              <w:rPr>
                <w:sz w:val="20"/>
                <w:szCs w:val="20"/>
                <w:color w:val="auto"/>
              </w:rPr>
            </w:pPr>
            <w:r>
              <w:rPr>
                <w:rFonts w:ascii="Calibri" w:cs="Calibri" w:eastAsia="Calibri" w:hAnsi="Calibri"/>
                <w:sz w:val="15"/>
                <w:szCs w:val="15"/>
                <w:b w:val="1"/>
                <w:bCs w:val="1"/>
                <w:color w:val="auto"/>
              </w:rPr>
              <w:t>(65,169)</w:t>
            </w:r>
          </w:p>
        </w:tc>
      </w:tr>
      <w:tr>
        <w:trPr>
          <w:trHeight w:val="22"/>
        </w:trPr>
        <w:tc>
          <w:tcPr>
            <w:tcW w:w="5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9"/>
        </w:trPr>
        <w:tc>
          <w:tcPr>
            <w:tcW w:w="56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Balances as of March 31, 2024</w:t>
            </w:r>
          </w:p>
        </w:tc>
        <w:tc>
          <w:tcPr>
            <w:tcW w:w="680" w:type="dxa"/>
            <w:vAlign w:val="bottom"/>
            <w:tcBorders>
              <w:bottom w:val="single" w:sz="8" w:color="CCEEFF"/>
            </w:tcBorders>
            <w:shd w:val="clear" w:color="auto" w:fill="CCEEFF"/>
          </w:tcPr>
          <w:p>
            <w:pPr>
              <w:jc w:val="right"/>
              <w:ind w:right="50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center"/>
              <w:ind w:left="503"/>
              <w:spacing w:after="0" w:line="177" w:lineRule="exact"/>
              <w:rPr>
                <w:sz w:val="20"/>
                <w:szCs w:val="20"/>
                <w:color w:val="auto"/>
              </w:rPr>
            </w:pPr>
            <w:r>
              <w:rPr>
                <w:rFonts w:ascii="Calibri" w:cs="Calibri" w:eastAsia="Calibri" w:hAnsi="Calibri"/>
                <w:sz w:val="15"/>
                <w:szCs w:val="15"/>
                <w:b w:val="1"/>
                <w:bCs w:val="1"/>
                <w:color w:val="auto"/>
              </w:rPr>
              <w:t>20,683</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center"/>
              <w:ind w:left="523"/>
              <w:spacing w:after="0" w:line="177" w:lineRule="exact"/>
              <w:rPr>
                <w:sz w:val="20"/>
                <w:szCs w:val="20"/>
                <w:color w:val="auto"/>
              </w:rPr>
            </w:pPr>
            <w:r>
              <w:rPr>
                <w:rFonts w:ascii="Calibri" w:cs="Calibri" w:eastAsia="Calibri" w:hAnsi="Calibri"/>
                <w:sz w:val="15"/>
                <w:szCs w:val="15"/>
                <w:b w:val="1"/>
                <w:bCs w:val="1"/>
                <w:color w:val="auto"/>
              </w:rPr>
              <w:t>38,001</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03"/>
              <w:spacing w:after="0" w:line="177" w:lineRule="exact"/>
              <w:rPr>
                <w:sz w:val="20"/>
                <w:szCs w:val="20"/>
                <w:color w:val="auto"/>
              </w:rPr>
            </w:pPr>
            <w:r>
              <w:rPr>
                <w:rFonts w:ascii="Calibri" w:cs="Calibri" w:eastAsia="Calibri" w:hAnsi="Calibri"/>
                <w:sz w:val="15"/>
                <w:szCs w:val="15"/>
                <w:b w:val="1"/>
                <w:bCs w:val="1"/>
                <w:color w:val="auto"/>
              </w:rPr>
              <w:t>$</w:t>
            </w:r>
          </w:p>
        </w:tc>
        <w:tc>
          <w:tcPr>
            <w:tcW w:w="1120" w:type="dxa"/>
            <w:vAlign w:val="bottom"/>
            <w:tcBorders>
              <w:bottom w:val="single" w:sz="8" w:color="CCEEFF"/>
            </w:tcBorders>
            <w:shd w:val="clear" w:color="auto" w:fill="CCEEFF"/>
          </w:tcPr>
          <w:p>
            <w:pPr>
              <w:jc w:val="center"/>
              <w:ind w:left="504"/>
              <w:spacing w:after="0" w:line="177" w:lineRule="exact"/>
              <w:rPr>
                <w:sz w:val="20"/>
                <w:szCs w:val="20"/>
                <w:color w:val="auto"/>
              </w:rPr>
            </w:pPr>
            <w:r>
              <w:rPr>
                <w:rFonts w:ascii="Calibri" w:cs="Calibri" w:eastAsia="Calibri" w:hAnsi="Calibri"/>
                <w:sz w:val="15"/>
                <w:szCs w:val="15"/>
                <w:b w:val="1"/>
                <w:bCs w:val="1"/>
                <w:color w:val="auto"/>
              </w:rPr>
              <w:t>58,684</w:t>
            </w:r>
          </w:p>
        </w:tc>
      </w:tr>
      <w:tr>
        <w:trPr>
          <w:trHeight w:val="177"/>
        </w:trPr>
        <w:tc>
          <w:tcPr>
            <w:tcW w:w="564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July 1, 2022</w:t>
            </w:r>
          </w:p>
        </w:tc>
        <w:tc>
          <w:tcPr>
            <w:tcW w:w="680" w:type="dxa"/>
            <w:vAlign w:val="bottom"/>
            <w:tcBorders>
              <w:top w:val="single" w:sz="8" w:color="auto"/>
            </w:tcBorders>
          </w:tcPr>
          <w:p>
            <w:pPr>
              <w:jc w:val="right"/>
              <w:ind w:right="503"/>
              <w:spacing w:after="0" w:line="177" w:lineRule="exact"/>
              <w:rPr>
                <w:sz w:val="20"/>
                <w:szCs w:val="20"/>
                <w:color w:val="auto"/>
              </w:rPr>
            </w:pPr>
            <w:r>
              <w:rPr>
                <w:rFonts w:ascii="Calibri" w:cs="Calibri" w:eastAsia="Calibri" w:hAnsi="Calibri"/>
                <w:sz w:val="15"/>
                <w:szCs w:val="15"/>
                <w:color w:val="auto"/>
              </w:rPr>
              <w:t>$</w:t>
            </w:r>
          </w:p>
        </w:tc>
        <w:tc>
          <w:tcPr>
            <w:tcW w:w="1140" w:type="dxa"/>
            <w:vAlign w:val="bottom"/>
            <w:tcBorders>
              <w:top w:val="single" w:sz="8" w:color="auto"/>
            </w:tcBorders>
          </w:tcPr>
          <w:p>
            <w:pPr>
              <w:jc w:val="center"/>
              <w:ind w:left="503"/>
              <w:spacing w:after="0" w:line="177" w:lineRule="exact"/>
              <w:rPr>
                <w:sz w:val="20"/>
                <w:szCs w:val="20"/>
                <w:color w:val="auto"/>
              </w:rPr>
            </w:pPr>
            <w:r>
              <w:rPr>
                <w:rFonts w:ascii="Calibri" w:cs="Calibri" w:eastAsia="Calibri" w:hAnsi="Calibri"/>
                <w:sz w:val="15"/>
                <w:szCs w:val="15"/>
                <w:color w:val="auto"/>
              </w:rPr>
              <w:t>26,141</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483"/>
              <w:spacing w:after="0" w:line="177" w:lineRule="exact"/>
              <w:rPr>
                <w:sz w:val="20"/>
                <w:szCs w:val="20"/>
                <w:color w:val="auto"/>
              </w:rPr>
            </w:pPr>
            <w:r>
              <w:rPr>
                <w:rFonts w:ascii="Calibri" w:cs="Calibri" w:eastAsia="Calibri" w:hAnsi="Calibri"/>
                <w:sz w:val="15"/>
                <w:szCs w:val="15"/>
                <w:color w:val="auto"/>
              </w:rPr>
              <w:t>$</w:t>
            </w:r>
          </w:p>
        </w:tc>
        <w:tc>
          <w:tcPr>
            <w:tcW w:w="1140" w:type="dxa"/>
            <w:vAlign w:val="bottom"/>
            <w:tcBorders>
              <w:top w:val="single" w:sz="8" w:color="auto"/>
            </w:tcBorders>
          </w:tcPr>
          <w:p>
            <w:pPr>
              <w:jc w:val="center"/>
              <w:ind w:left="523"/>
              <w:spacing w:after="0" w:line="177" w:lineRule="exact"/>
              <w:rPr>
                <w:sz w:val="20"/>
                <w:szCs w:val="20"/>
                <w:color w:val="auto"/>
              </w:rPr>
            </w:pPr>
            <w:r>
              <w:rPr>
                <w:rFonts w:ascii="Calibri" w:cs="Calibri" w:eastAsia="Calibri" w:hAnsi="Calibri"/>
                <w:sz w:val="15"/>
                <w:szCs w:val="15"/>
                <w:color w:val="auto"/>
              </w:rPr>
              <w:t>51,126</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ind w:right="503"/>
              <w:spacing w:after="0" w:line="177" w:lineRule="exact"/>
              <w:rPr>
                <w:sz w:val="20"/>
                <w:szCs w:val="20"/>
                <w:color w:val="auto"/>
              </w:rPr>
            </w:pPr>
            <w:r>
              <w:rPr>
                <w:rFonts w:ascii="Calibri" w:cs="Calibri" w:eastAsia="Calibri" w:hAnsi="Calibri"/>
                <w:sz w:val="15"/>
                <w:szCs w:val="15"/>
                <w:color w:val="auto"/>
              </w:rPr>
              <w:t>$</w:t>
            </w:r>
          </w:p>
        </w:tc>
        <w:tc>
          <w:tcPr>
            <w:tcW w:w="1120" w:type="dxa"/>
            <w:vAlign w:val="bottom"/>
            <w:tcBorders>
              <w:top w:val="single" w:sz="8" w:color="auto"/>
            </w:tcBorders>
          </w:tcPr>
          <w:p>
            <w:pPr>
              <w:jc w:val="center"/>
              <w:ind w:left="504"/>
              <w:spacing w:after="0" w:line="177" w:lineRule="exact"/>
              <w:rPr>
                <w:sz w:val="20"/>
                <w:szCs w:val="20"/>
                <w:color w:val="auto"/>
              </w:rPr>
            </w:pPr>
            <w:r>
              <w:rPr>
                <w:rFonts w:ascii="Calibri" w:cs="Calibri" w:eastAsia="Calibri" w:hAnsi="Calibri"/>
                <w:sz w:val="15"/>
                <w:szCs w:val="15"/>
                <w:color w:val="auto"/>
              </w:rPr>
              <w:t>77,267</w:t>
            </w:r>
          </w:p>
        </w:tc>
      </w:tr>
      <w:tr>
        <w:trPr>
          <w:trHeight w:val="22"/>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6"/>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Provision for credit losses</w:t>
            </w:r>
          </w:p>
        </w:tc>
        <w:tc>
          <w:tcPr>
            <w:tcW w:w="6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left="503"/>
              <w:spacing w:after="0"/>
              <w:rPr>
                <w:sz w:val="20"/>
                <w:szCs w:val="20"/>
                <w:color w:val="auto"/>
              </w:rPr>
            </w:pPr>
            <w:r>
              <w:rPr>
                <w:rFonts w:ascii="Calibri" w:cs="Calibri" w:eastAsia="Calibri" w:hAnsi="Calibri"/>
                <w:sz w:val="15"/>
                <w:szCs w:val="15"/>
                <w:color w:val="auto"/>
              </w:rPr>
              <w:t>16,702</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left="523"/>
              <w:spacing w:after="0"/>
              <w:rPr>
                <w:sz w:val="20"/>
                <w:szCs w:val="20"/>
                <w:color w:val="auto"/>
              </w:rPr>
            </w:pPr>
            <w:r>
              <w:rPr>
                <w:rFonts w:ascii="Calibri" w:cs="Calibri" w:eastAsia="Calibri" w:hAnsi="Calibri"/>
                <w:sz w:val="15"/>
                <w:szCs w:val="15"/>
                <w:color w:val="auto"/>
              </w:rPr>
              <w:t>32,472</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ind w:left="504"/>
              <w:spacing w:after="0"/>
              <w:rPr>
                <w:sz w:val="20"/>
                <w:szCs w:val="20"/>
                <w:color w:val="auto"/>
              </w:rPr>
            </w:pPr>
            <w:r>
              <w:rPr>
                <w:rFonts w:ascii="Calibri" w:cs="Calibri" w:eastAsia="Calibri" w:hAnsi="Calibri"/>
                <w:sz w:val="15"/>
                <w:szCs w:val="15"/>
                <w:color w:val="auto"/>
              </w:rPr>
              <w:t>49,174</w:t>
            </w:r>
          </w:p>
        </w:tc>
      </w:tr>
      <w:tr>
        <w:trPr>
          <w:trHeight w:val="184"/>
        </w:trPr>
        <w:tc>
          <w:tcPr>
            <w:tcW w:w="5640" w:type="dxa"/>
            <w:vAlign w:val="bottom"/>
            <w:gridSpan w:val="2"/>
          </w:tcPr>
          <w:p>
            <w:pPr>
              <w:ind w:left="20"/>
              <w:spacing w:after="0"/>
              <w:rPr>
                <w:sz w:val="20"/>
                <w:szCs w:val="20"/>
                <w:color w:val="auto"/>
              </w:rPr>
            </w:pPr>
            <w:r>
              <w:rPr>
                <w:rFonts w:ascii="Calibri" w:cs="Calibri" w:eastAsia="Calibri" w:hAnsi="Calibri"/>
                <w:sz w:val="15"/>
                <w:szCs w:val="15"/>
                <w:color w:val="auto"/>
              </w:rPr>
              <w:t>Charge-ofs, recoveries and other</w:t>
            </w:r>
          </w:p>
        </w:tc>
        <w:tc>
          <w:tcPr>
            <w:tcW w:w="680" w:type="dxa"/>
            <w:vAlign w:val="bottom"/>
          </w:tcPr>
          <w:p>
            <w:pPr>
              <w:spacing w:after="0"/>
              <w:rPr>
                <w:sz w:val="16"/>
                <w:szCs w:val="16"/>
                <w:color w:val="auto"/>
              </w:rPr>
            </w:pPr>
          </w:p>
        </w:tc>
        <w:tc>
          <w:tcPr>
            <w:tcW w:w="1140" w:type="dxa"/>
            <w:vAlign w:val="bottom"/>
          </w:tcPr>
          <w:p>
            <w:pPr>
              <w:jc w:val="center"/>
              <w:ind w:left="463"/>
              <w:spacing w:after="0"/>
              <w:rPr>
                <w:sz w:val="20"/>
                <w:szCs w:val="20"/>
                <w:color w:val="auto"/>
              </w:rPr>
            </w:pPr>
            <w:r>
              <w:rPr>
                <w:rFonts w:ascii="Calibri" w:cs="Calibri" w:eastAsia="Calibri" w:hAnsi="Calibri"/>
                <w:sz w:val="15"/>
                <w:szCs w:val="15"/>
                <w:color w:val="auto"/>
              </w:rPr>
              <w:t>(14,814)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center"/>
              <w:ind w:left="503"/>
              <w:spacing w:after="0"/>
              <w:rPr>
                <w:sz w:val="20"/>
                <w:szCs w:val="20"/>
                <w:color w:val="auto"/>
              </w:rPr>
            </w:pPr>
            <w:r>
              <w:rPr>
                <w:rFonts w:ascii="Calibri" w:cs="Calibri" w:eastAsia="Calibri" w:hAnsi="Calibri"/>
                <w:sz w:val="15"/>
                <w:szCs w:val="15"/>
                <w:color w:val="auto"/>
              </w:rPr>
              <w:t>(51,081)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center"/>
              <w:ind w:left="484"/>
              <w:spacing w:after="0"/>
              <w:rPr>
                <w:sz w:val="20"/>
                <w:szCs w:val="20"/>
                <w:color w:val="auto"/>
              </w:rPr>
            </w:pPr>
            <w:r>
              <w:rPr>
                <w:rFonts w:ascii="Calibri" w:cs="Calibri" w:eastAsia="Calibri" w:hAnsi="Calibri"/>
                <w:sz w:val="15"/>
                <w:szCs w:val="15"/>
                <w:color w:val="auto"/>
              </w:rPr>
              <w:t>(65,895)</w:t>
            </w:r>
          </w:p>
        </w:tc>
      </w:tr>
      <w:tr>
        <w:trPr>
          <w:trHeight w:val="22"/>
        </w:trPr>
        <w:tc>
          <w:tcPr>
            <w:tcW w:w="5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9"/>
        </w:trPr>
        <w:tc>
          <w:tcPr>
            <w:tcW w:w="56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Balances as of March 31, 2023</w:t>
            </w:r>
          </w:p>
        </w:tc>
        <w:tc>
          <w:tcPr>
            <w:tcW w:w="680" w:type="dxa"/>
            <w:vAlign w:val="bottom"/>
            <w:tcBorders>
              <w:bottom w:val="single" w:sz="8" w:color="CCEEFF"/>
            </w:tcBorders>
            <w:shd w:val="clear" w:color="auto" w:fill="CCEEFF"/>
          </w:tcPr>
          <w:p>
            <w:pPr>
              <w:jc w:val="right"/>
              <w:ind w:right="503"/>
              <w:spacing w:after="0" w:line="177" w:lineRule="exact"/>
              <w:rPr>
                <w:sz w:val="20"/>
                <w:szCs w:val="20"/>
                <w:color w:val="auto"/>
              </w:rPr>
            </w:pPr>
            <w:r>
              <w:rPr>
                <w:rFonts w:ascii="Calibri" w:cs="Calibri" w:eastAsia="Calibri" w:hAnsi="Calibri"/>
                <w:sz w:val="15"/>
                <w:szCs w:val="15"/>
                <w:color w:val="auto"/>
              </w:rPr>
              <w:t>$</w:t>
            </w:r>
          </w:p>
        </w:tc>
        <w:tc>
          <w:tcPr>
            <w:tcW w:w="1140" w:type="dxa"/>
            <w:vAlign w:val="bottom"/>
            <w:tcBorders>
              <w:bottom w:val="single" w:sz="8" w:color="CCEEFF"/>
            </w:tcBorders>
            <w:shd w:val="clear" w:color="auto" w:fill="CCEEFF"/>
          </w:tcPr>
          <w:p>
            <w:pPr>
              <w:jc w:val="center"/>
              <w:ind w:left="503"/>
              <w:spacing w:after="0" w:line="177" w:lineRule="exact"/>
              <w:rPr>
                <w:sz w:val="20"/>
                <w:szCs w:val="20"/>
                <w:color w:val="auto"/>
              </w:rPr>
            </w:pPr>
            <w:r>
              <w:rPr>
                <w:rFonts w:ascii="Calibri" w:cs="Calibri" w:eastAsia="Calibri" w:hAnsi="Calibri"/>
                <w:sz w:val="15"/>
                <w:szCs w:val="15"/>
                <w:color w:val="auto"/>
              </w:rPr>
              <w:t>28,029</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3"/>
              <w:spacing w:after="0" w:line="177" w:lineRule="exact"/>
              <w:rPr>
                <w:sz w:val="20"/>
                <w:szCs w:val="20"/>
                <w:color w:val="auto"/>
              </w:rPr>
            </w:pPr>
            <w:r>
              <w:rPr>
                <w:rFonts w:ascii="Calibri" w:cs="Calibri" w:eastAsia="Calibri" w:hAnsi="Calibri"/>
                <w:sz w:val="15"/>
                <w:szCs w:val="15"/>
                <w:color w:val="auto"/>
              </w:rPr>
              <w:t>$</w:t>
            </w:r>
          </w:p>
        </w:tc>
        <w:tc>
          <w:tcPr>
            <w:tcW w:w="1140" w:type="dxa"/>
            <w:vAlign w:val="bottom"/>
            <w:tcBorders>
              <w:bottom w:val="single" w:sz="8" w:color="CCEEFF"/>
            </w:tcBorders>
            <w:shd w:val="clear" w:color="auto" w:fill="CCEEFF"/>
          </w:tcPr>
          <w:p>
            <w:pPr>
              <w:jc w:val="center"/>
              <w:ind w:left="523"/>
              <w:spacing w:after="0" w:line="177" w:lineRule="exact"/>
              <w:rPr>
                <w:sz w:val="20"/>
                <w:szCs w:val="20"/>
                <w:color w:val="auto"/>
              </w:rPr>
            </w:pPr>
            <w:r>
              <w:rPr>
                <w:rFonts w:ascii="Calibri" w:cs="Calibri" w:eastAsia="Calibri" w:hAnsi="Calibri"/>
                <w:sz w:val="15"/>
                <w:szCs w:val="15"/>
                <w:color w:val="auto"/>
              </w:rPr>
              <w:t>32,517</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03"/>
              <w:spacing w:after="0" w:line="177" w:lineRule="exact"/>
              <w:rPr>
                <w:sz w:val="20"/>
                <w:szCs w:val="20"/>
                <w:color w:val="auto"/>
              </w:rPr>
            </w:pPr>
            <w:r>
              <w:rPr>
                <w:rFonts w:ascii="Calibri" w:cs="Calibri" w:eastAsia="Calibri" w:hAnsi="Calibri"/>
                <w:sz w:val="15"/>
                <w:szCs w:val="15"/>
                <w:color w:val="auto"/>
              </w:rPr>
              <w:t>$</w:t>
            </w:r>
          </w:p>
        </w:tc>
        <w:tc>
          <w:tcPr>
            <w:tcW w:w="1120" w:type="dxa"/>
            <w:vAlign w:val="bottom"/>
            <w:tcBorders>
              <w:bottom w:val="single" w:sz="8" w:color="CCEEFF"/>
            </w:tcBorders>
            <w:shd w:val="clear" w:color="auto" w:fill="CCEEFF"/>
          </w:tcPr>
          <w:p>
            <w:pPr>
              <w:jc w:val="center"/>
              <w:ind w:left="504"/>
              <w:spacing w:after="0" w:line="177" w:lineRule="exact"/>
              <w:rPr>
                <w:sz w:val="20"/>
                <w:szCs w:val="20"/>
                <w:color w:val="auto"/>
              </w:rPr>
            </w:pPr>
            <w:r>
              <w:rPr>
                <w:rFonts w:ascii="Calibri" w:cs="Calibri" w:eastAsia="Calibri" w:hAnsi="Calibri"/>
                <w:sz w:val="15"/>
                <w:szCs w:val="15"/>
                <w:color w:val="auto"/>
              </w:rPr>
              <w:t>60,546</w:t>
            </w:r>
          </w:p>
        </w:tc>
      </w:tr>
      <w:tr>
        <w:trPr>
          <w:trHeight w:val="32"/>
        </w:trPr>
        <w:tc>
          <w:tcPr>
            <w:tcW w:w="5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172"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Gross charge-ofs of EAs were $27.7 million for the nine months ended March 31, 2024, of which $15.4 million related to EA LOCs originated in fscal year 2023 and $12.3 million related to Revolving Loans.</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5: GOODWILL AND INTANGIBLE ASSETS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Changes in the carrying amount of goodwill for the nine months ended March 31, 2024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7"/>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gridSpan w:val="2"/>
          </w:tcPr>
          <w:p>
            <w:pPr>
              <w:ind w:left="680"/>
              <w:spacing w:after="0" w:line="177" w:lineRule="exact"/>
              <w:rPr>
                <w:sz w:val="20"/>
                <w:szCs w:val="20"/>
                <w:color w:val="auto"/>
              </w:rPr>
            </w:pPr>
            <w:r>
              <w:rPr>
                <w:rFonts w:ascii="Calibri" w:cs="Calibri" w:eastAsia="Calibri" w:hAnsi="Calibri"/>
                <w:sz w:val="15"/>
                <w:szCs w:val="15"/>
                <w:color w:val="auto"/>
              </w:rPr>
              <w:t>Goodwill</w:t>
            </w:r>
          </w:p>
        </w:tc>
        <w:tc>
          <w:tcPr>
            <w:tcW w:w="2160" w:type="dxa"/>
            <w:vAlign w:val="bottom"/>
            <w:gridSpan w:val="3"/>
          </w:tcPr>
          <w:p>
            <w:pPr>
              <w:ind w:left="20"/>
              <w:spacing w:after="0" w:line="177" w:lineRule="exact"/>
              <w:rPr>
                <w:sz w:val="20"/>
                <w:szCs w:val="20"/>
                <w:color w:val="auto"/>
              </w:rPr>
            </w:pPr>
            <w:r>
              <w:rPr>
                <w:rFonts w:ascii="Calibri" w:cs="Calibri" w:eastAsia="Calibri" w:hAnsi="Calibri"/>
                <w:sz w:val="15"/>
                <w:szCs w:val="15"/>
                <w:color w:val="auto"/>
              </w:rPr>
              <w:t>Accumulated Impairment Losses</w:t>
            </w:r>
          </w:p>
        </w:tc>
        <w:tc>
          <w:tcPr>
            <w:tcW w:w="80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color w:val="auto"/>
              </w:rPr>
              <w:t>Net</w:t>
            </w:r>
          </w:p>
        </w:tc>
      </w:tr>
      <w:tr>
        <w:trPr>
          <w:trHeight w:val="22"/>
        </w:trPr>
        <w:tc>
          <w:tcPr>
            <w:tcW w:w="4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4780" w:type="dxa"/>
            <w:vAlign w:val="bottom"/>
          </w:tcPr>
          <w:p>
            <w:pPr>
              <w:ind w:left="20"/>
              <w:spacing w:after="0" w:line="177" w:lineRule="exact"/>
              <w:rPr>
                <w:sz w:val="20"/>
                <w:szCs w:val="20"/>
                <w:color w:val="auto"/>
              </w:rPr>
            </w:pPr>
            <w:r>
              <w:rPr>
                <w:rFonts w:ascii="Calibri" w:cs="Calibri" w:eastAsia="Calibri" w:hAnsi="Calibri"/>
                <w:sz w:val="15"/>
                <w:szCs w:val="15"/>
                <w:color w:val="auto"/>
              </w:rPr>
              <w:t>Balances as of July 1, 2023</w:t>
            </w:r>
          </w:p>
        </w:tc>
        <w:tc>
          <w:tcPr>
            <w:tcW w:w="100" w:type="dxa"/>
            <w:vAlign w:val="bottom"/>
          </w:tcPr>
          <w:p>
            <w:pPr>
              <w:spacing w:after="0"/>
              <w:rPr>
                <w:sz w:val="15"/>
                <w:szCs w:val="15"/>
                <w:color w:val="auto"/>
              </w:rPr>
            </w:pPr>
          </w:p>
        </w:tc>
        <w:tc>
          <w:tcPr>
            <w:tcW w:w="780" w:type="dxa"/>
            <w:vAlign w:val="bottom"/>
          </w:tcPr>
          <w:p>
            <w:pPr>
              <w:jc w:val="right"/>
              <w:ind w:right="603"/>
              <w:spacing w:after="0" w:line="177" w:lineRule="exact"/>
              <w:rPr>
                <w:sz w:val="20"/>
                <w:szCs w:val="20"/>
                <w:color w:val="auto"/>
              </w:rPr>
            </w:pPr>
            <w:r>
              <w:rPr>
                <w:rFonts w:ascii="Calibri" w:cs="Calibri" w:eastAsia="Calibri" w:hAnsi="Calibri"/>
                <w:sz w:val="15"/>
                <w:szCs w:val="15"/>
                <w:b w:val="1"/>
                <w:bCs w:val="1"/>
                <w:color w:val="auto"/>
              </w:rPr>
              <w:t>$</w:t>
            </w:r>
          </w:p>
        </w:tc>
        <w:tc>
          <w:tcPr>
            <w:tcW w:w="126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913,750</w:t>
            </w:r>
          </w:p>
        </w:tc>
        <w:tc>
          <w:tcPr>
            <w:tcW w:w="80" w:type="dxa"/>
            <w:vAlign w:val="bottom"/>
          </w:tcPr>
          <w:p>
            <w:pPr>
              <w:spacing w:after="0"/>
              <w:rPr>
                <w:sz w:val="15"/>
                <w:szCs w:val="15"/>
                <w:color w:val="auto"/>
              </w:rPr>
            </w:pPr>
          </w:p>
        </w:tc>
        <w:tc>
          <w:tcPr>
            <w:tcW w:w="780" w:type="dxa"/>
            <w:vAlign w:val="bottom"/>
          </w:tcPr>
          <w:p>
            <w:pPr>
              <w:ind w:left="20"/>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(138,297)</w:t>
            </w:r>
          </w:p>
        </w:tc>
        <w:tc>
          <w:tcPr>
            <w:tcW w:w="80" w:type="dxa"/>
            <w:vAlign w:val="bottom"/>
          </w:tcPr>
          <w:p>
            <w:pPr>
              <w:spacing w:after="0"/>
              <w:rPr>
                <w:sz w:val="15"/>
                <w:szCs w:val="15"/>
                <w:color w:val="auto"/>
              </w:rPr>
            </w:pPr>
          </w:p>
        </w:tc>
        <w:tc>
          <w:tcPr>
            <w:tcW w:w="800" w:type="dxa"/>
            <w:vAlign w:val="bottom"/>
          </w:tcPr>
          <w:p>
            <w:pPr>
              <w:jc w:val="right"/>
              <w:ind w:right="6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775,453</w:t>
            </w:r>
          </w:p>
        </w:tc>
      </w:tr>
      <w:tr>
        <w:trPr>
          <w:trHeight w:val="22"/>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6"/>
        </w:trPr>
        <w:tc>
          <w:tcPr>
            <w:tcW w:w="488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Acquisitons</w:t>
            </w:r>
            <w:r>
              <w:rPr>
                <w:rFonts w:ascii="Calibri" w:cs="Calibri" w:eastAsia="Calibri" w:hAnsi="Calibri"/>
                <w:sz w:val="20"/>
                <w:szCs w:val="20"/>
                <w:color w:val="auto"/>
                <w:vertAlign w:val="superscript"/>
              </w:rPr>
              <w:t>(1)</w:t>
            </w: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18,929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100"/>
              <w:spacing w:after="0"/>
              <w:rPr>
                <w:sz w:val="20"/>
                <w:szCs w:val="20"/>
                <w:color w:val="auto"/>
              </w:rPr>
            </w:pPr>
            <w:r>
              <w:rPr>
                <w:rFonts w:ascii="Calibri" w:cs="Calibri" w:eastAsia="Calibri" w:hAnsi="Calibri"/>
                <w:sz w:val="15"/>
                <w:szCs w:val="15"/>
                <w:b w:val="1"/>
                <w:bCs w:val="1"/>
                <w:color w:val="auto"/>
              </w:rPr>
              <w:t>—</w:t>
            </w: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18,929</w:t>
            </w:r>
          </w:p>
        </w:tc>
      </w:tr>
      <w:tr>
        <w:trPr>
          <w:trHeight w:val="184"/>
        </w:trPr>
        <w:tc>
          <w:tcPr>
            <w:tcW w:w="4880" w:type="dxa"/>
            <w:vAlign w:val="bottom"/>
            <w:gridSpan w:val="2"/>
          </w:tcPr>
          <w:p>
            <w:pPr>
              <w:ind w:left="20"/>
              <w:spacing w:after="0"/>
              <w:rPr>
                <w:sz w:val="20"/>
                <w:szCs w:val="20"/>
                <w:color w:val="auto"/>
              </w:rPr>
            </w:pPr>
            <w:r>
              <w:rPr>
                <w:rFonts w:ascii="Calibri" w:cs="Calibri" w:eastAsia="Calibri" w:hAnsi="Calibri"/>
                <w:sz w:val="15"/>
                <w:szCs w:val="15"/>
                <w:color w:val="auto"/>
              </w:rPr>
              <w:t>Disposals and foreign currency changes, net</w:t>
            </w: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(6,748)</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2"/>
          </w:tcPr>
          <w:p>
            <w:pPr>
              <w:ind w:left="1100"/>
              <w:spacing w:after="0"/>
              <w:rPr>
                <w:sz w:val="20"/>
                <w:szCs w:val="20"/>
                <w:color w:val="auto"/>
              </w:rPr>
            </w:pPr>
            <w:r>
              <w:rPr>
                <w:rFonts w:ascii="Calibri" w:cs="Calibri" w:eastAsia="Calibri" w:hAnsi="Calibri"/>
                <w:sz w:val="15"/>
                <w:szCs w:val="15"/>
                <w:b w:val="1"/>
                <w:bCs w:val="1"/>
                <w:color w:val="auto"/>
              </w:rPr>
              <w:t>—</w:t>
            </w:r>
          </w:p>
        </w:tc>
        <w:tc>
          <w:tcPr>
            <w:tcW w:w="8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(6,748)</w:t>
            </w:r>
          </w:p>
        </w:tc>
      </w:tr>
      <w:tr>
        <w:trPr>
          <w:trHeight w:val="22"/>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6"/>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Impairments</w:t>
            </w:r>
          </w:p>
        </w:tc>
        <w:tc>
          <w:tcPr>
            <w:tcW w:w="7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ind w:left="1100"/>
              <w:spacing w:after="0"/>
              <w:rPr>
                <w:sz w:val="20"/>
                <w:szCs w:val="20"/>
                <w:color w:val="auto"/>
              </w:rPr>
            </w:pPr>
            <w:r>
              <w:rPr>
                <w:rFonts w:ascii="Calibri" w:cs="Calibri" w:eastAsia="Calibri" w:hAnsi="Calibri"/>
                <w:sz w:val="15"/>
                <w:szCs w:val="15"/>
                <w:b w:val="1"/>
                <w:bCs w:val="1"/>
                <w:color w:val="auto"/>
              </w:rPr>
              <w:t>—</w:t>
            </w:r>
          </w:p>
        </w:tc>
        <w:tc>
          <w:tcPr>
            <w:tcW w:w="8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w:t>
            </w:r>
          </w:p>
        </w:tc>
      </w:tr>
      <w:tr>
        <w:trPr>
          <w:trHeight w:val="177"/>
        </w:trPr>
        <w:tc>
          <w:tcPr>
            <w:tcW w:w="48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March 31, 2024</w:t>
            </w:r>
          </w:p>
        </w:tc>
        <w:tc>
          <w:tcPr>
            <w:tcW w:w="78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b w:val="1"/>
                <w:bCs w:val="1"/>
                <w:color w:val="auto"/>
              </w:rPr>
              <w:t>$</w:t>
            </w:r>
          </w:p>
        </w:tc>
        <w:tc>
          <w:tcPr>
            <w:tcW w:w="12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925,931</w:t>
            </w:r>
          </w:p>
        </w:tc>
        <w:tc>
          <w:tcPr>
            <w:tcW w:w="80" w:type="dxa"/>
            <w:vAlign w:val="bottom"/>
          </w:tcPr>
          <w:p>
            <w:pPr>
              <w:spacing w:after="0"/>
              <w:rPr>
                <w:sz w:val="15"/>
                <w:szCs w:val="15"/>
                <w:color w:val="auto"/>
              </w:rPr>
            </w:pPr>
          </w:p>
        </w:tc>
        <w:tc>
          <w:tcPr>
            <w:tcW w:w="7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(138,297)</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6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787,634</w:t>
            </w:r>
          </w:p>
        </w:tc>
      </w:tr>
      <w:tr>
        <w:trPr>
          <w:trHeight w:val="59"/>
        </w:trPr>
        <w:tc>
          <w:tcPr>
            <w:tcW w:w="4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0"/>
        </w:trPr>
        <w:tc>
          <w:tcPr>
            <w:tcW w:w="47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r>
    </w:tbl>
    <w:p>
      <w:pPr>
        <w:ind w:left="220" w:hanging="217"/>
        <w:spacing w:after="0" w:line="234" w:lineRule="auto"/>
        <w:tabs>
          <w:tab w:leader="none" w:pos="220" w:val="left"/>
        </w:tabs>
        <w:numPr>
          <w:ilvl w:val="0"/>
          <w:numId w:val="9"/>
        </w:numPr>
        <w:rPr>
          <w:rFonts w:ascii="Calibri" w:cs="Calibri" w:eastAsia="Calibri" w:hAnsi="Calibri"/>
          <w:sz w:val="18"/>
          <w:szCs w:val="18"/>
          <w:color w:val="auto"/>
          <w:vertAlign w:val="superscript"/>
        </w:rPr>
      </w:pPr>
      <w:r>
        <w:rPr>
          <w:rFonts w:ascii="Calibri" w:cs="Calibri" w:eastAsia="Calibri" w:hAnsi="Calibri"/>
          <w:sz w:val="14"/>
          <w:szCs w:val="14"/>
          <w:color w:val="auto"/>
        </w:rPr>
        <w:t>All goodwill added during the period is expected to be tax-deductble for federal income tax reportng.</w:t>
      </w:r>
    </w:p>
    <w:p>
      <w:pPr>
        <w:spacing w:after="0" w:line="110"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In conjuncton with our annual impairment test, we tested goodwill for impairment during the quarter and did not identfy any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259"/>
        <w:spacing w:after="0"/>
        <w:tabs>
          <w:tab w:leader="none" w:pos="360" w:val="left"/>
        </w:tabs>
        <w:numPr>
          <w:ilvl w:val="0"/>
          <w:numId w:val="10"/>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Components of intangible assets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43"/>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gridSpan w:val="2"/>
          </w:tcPr>
          <w:p>
            <w:pPr>
              <w:jc w:val="right"/>
              <w:ind w:right="100"/>
              <w:spacing w:after="0" w:line="143" w:lineRule="exact"/>
              <w:rPr>
                <w:sz w:val="20"/>
                <w:szCs w:val="20"/>
                <w:color w:val="auto"/>
              </w:rPr>
            </w:pPr>
            <w:r>
              <w:rPr>
                <w:rFonts w:ascii="Calibri" w:cs="Calibri" w:eastAsia="Calibri" w:hAnsi="Calibri"/>
                <w:sz w:val="15"/>
                <w:szCs w:val="15"/>
                <w:color w:val="auto"/>
              </w:rPr>
              <w:t>Accumulated</w:t>
            </w: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4"/>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Calibri" w:cs="Calibri" w:eastAsia="Calibri" w:hAnsi="Calibri"/>
                <w:sz w:val="15"/>
                <w:szCs w:val="15"/>
                <w:color w:val="auto"/>
              </w:rPr>
              <w:t>Gross Carrying Amount</w:t>
            </w:r>
          </w:p>
        </w:tc>
        <w:tc>
          <w:tcPr>
            <w:tcW w:w="50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Amortzaton</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Net</w:t>
            </w:r>
          </w:p>
        </w:tc>
      </w:tr>
      <w:tr>
        <w:trPr>
          <w:trHeight w:val="26"/>
        </w:trPr>
        <w:tc>
          <w:tcPr>
            <w:tcW w:w="5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7"/>
        </w:trPr>
        <w:tc>
          <w:tcPr>
            <w:tcW w:w="5760" w:type="dxa"/>
            <w:vAlign w:val="bottom"/>
          </w:tcPr>
          <w:p>
            <w:pPr>
              <w:ind w:left="20"/>
              <w:spacing w:after="0" w:line="177" w:lineRule="exact"/>
              <w:rPr>
                <w:sz w:val="20"/>
                <w:szCs w:val="20"/>
                <w:color w:val="auto"/>
              </w:rPr>
            </w:pPr>
            <w:r>
              <w:rPr>
                <w:rFonts w:ascii="Calibri" w:cs="Calibri" w:eastAsia="Calibri" w:hAnsi="Calibri"/>
                <w:sz w:val="15"/>
                <w:szCs w:val="15"/>
                <w:color w:val="auto"/>
              </w:rPr>
              <w:t>As of March 31, 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Reacquired franchise rights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b w:val="1"/>
                <w:bCs w:val="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403,242</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(224,204)</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43"/>
              <w:spacing w:after="0"/>
              <w:rPr>
                <w:sz w:val="20"/>
                <w:szCs w:val="20"/>
                <w:color w:val="auto"/>
              </w:rPr>
            </w:pPr>
            <w:r>
              <w:rPr>
                <w:rFonts w:ascii="Calibri" w:cs="Calibri" w:eastAsia="Calibri" w:hAnsi="Calibri"/>
                <w:sz w:val="15"/>
                <w:szCs w:val="15"/>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179,038</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Customer relatonships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b w:val="1"/>
                <w:bCs w:val="1"/>
                <w:color w:val="auto"/>
              </w:rPr>
              <w:t>385,290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(318,502)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66,788</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Internally-developed sofware</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133,289</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(128,487)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4,802</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Noncompete agreements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b w:val="1"/>
                <w:bCs w:val="1"/>
                <w:color w:val="auto"/>
              </w:rPr>
              <w:t>44,158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(41,148)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3,010</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Franchise agreements</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19,201</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(19,201)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Purchased technology</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b w:val="1"/>
                <w:bCs w:val="1"/>
                <w:color w:val="auto"/>
              </w:rPr>
              <w:t>122,700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(102,165)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20,535</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Trade name</w:t>
            </w:r>
          </w:p>
        </w:tc>
        <w:tc>
          <w:tcPr>
            <w:tcW w:w="1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5,800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(2,755)</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3,045</w:t>
            </w:r>
          </w:p>
        </w:tc>
      </w:tr>
      <w:tr>
        <w:trPr>
          <w:trHeight w:val="177"/>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15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1,113,680</w:t>
            </w:r>
          </w:p>
        </w:tc>
        <w:tc>
          <w:tcPr>
            <w:tcW w:w="80" w:type="dxa"/>
            <w:vAlign w:val="bottom"/>
          </w:tcPr>
          <w:p>
            <w:pPr>
              <w:spacing w:after="0"/>
              <w:rPr>
                <w:sz w:val="15"/>
                <w:szCs w:val="15"/>
                <w:color w:val="auto"/>
              </w:rPr>
            </w:pP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(836,462)</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ind w:right="443"/>
              <w:spacing w:after="0" w:line="177" w:lineRule="exact"/>
              <w:rPr>
                <w:sz w:val="20"/>
                <w:szCs w:val="20"/>
                <w:color w:val="auto"/>
              </w:rPr>
            </w:pPr>
            <w:r>
              <w:rPr>
                <w:rFonts w:ascii="Calibri" w:cs="Calibri" w:eastAsia="Calibri" w:hAnsi="Calibri"/>
                <w:sz w:val="15"/>
                <w:szCs w:val="15"/>
                <w:b w:val="1"/>
                <w:bCs w:val="1"/>
                <w:color w:val="auto"/>
              </w:rPr>
              <w:t>$</w:t>
            </w:r>
          </w:p>
        </w:tc>
        <w:tc>
          <w:tcPr>
            <w:tcW w:w="1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277,218</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6"/>
        </w:trPr>
        <w:tc>
          <w:tcPr>
            <w:tcW w:w="58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As of June 30, 2023:</w:t>
            </w:r>
          </w:p>
        </w:tc>
        <w:tc>
          <w:tcPr>
            <w:tcW w:w="1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Reacquired franchise rights</w:t>
            </w:r>
          </w:p>
        </w:tc>
        <w:tc>
          <w:tcPr>
            <w:tcW w:w="180" w:type="dxa"/>
            <w:vAlign w:val="bottom"/>
          </w:tcPr>
          <w:p>
            <w:pPr>
              <w:jc w:val="right"/>
              <w:ind w:right="3"/>
              <w:spacing w:after="0"/>
              <w:rPr>
                <w:sz w:val="20"/>
                <w:szCs w:val="20"/>
                <w:color w:val="auto"/>
              </w:rPr>
            </w:pPr>
            <w:r>
              <w:rPr>
                <w:rFonts w:ascii="Calibri" w:cs="Calibri" w:eastAsia="Calibri" w:hAnsi="Calibri"/>
                <w:sz w:val="15"/>
                <w:szCs w:val="15"/>
                <w:color w:val="auto"/>
              </w:rPr>
              <w:t>$</w:t>
            </w:r>
          </w:p>
        </w:tc>
        <w:tc>
          <w:tcPr>
            <w:tcW w:w="1560" w:type="dxa"/>
            <w:vAlign w:val="bottom"/>
          </w:tcPr>
          <w:p>
            <w:pPr>
              <w:jc w:val="right"/>
              <w:spacing w:after="0"/>
              <w:rPr>
                <w:sz w:val="20"/>
                <w:szCs w:val="20"/>
                <w:color w:val="auto"/>
              </w:rPr>
            </w:pPr>
            <w:r>
              <w:rPr>
                <w:rFonts w:ascii="Calibri" w:cs="Calibri" w:eastAsia="Calibri" w:hAnsi="Calibri"/>
                <w:sz w:val="15"/>
                <w:szCs w:val="15"/>
                <w:color w:val="auto"/>
              </w:rPr>
              <w:t>392,452</w:t>
            </w:r>
          </w:p>
        </w:tc>
        <w:tc>
          <w:tcPr>
            <w:tcW w:w="80" w:type="dxa"/>
            <w:vAlign w:val="bottom"/>
          </w:tcPr>
          <w:p>
            <w:pPr>
              <w:spacing w:after="0"/>
              <w:rPr>
                <w:sz w:val="16"/>
                <w:szCs w:val="16"/>
                <w:color w:val="auto"/>
              </w:rPr>
            </w:pPr>
          </w:p>
        </w:tc>
        <w:tc>
          <w:tcPr>
            <w:tcW w:w="500" w:type="dxa"/>
            <w:vAlign w:val="bottom"/>
          </w:tcPr>
          <w:p>
            <w:pPr>
              <w:jc w:val="right"/>
              <w:ind w:right="323"/>
              <w:spacing w:after="0"/>
              <w:rPr>
                <w:sz w:val="20"/>
                <w:szCs w:val="20"/>
                <w:color w:val="auto"/>
              </w:rPr>
            </w:pPr>
            <w:r>
              <w:rPr>
                <w:rFonts w:ascii="Calibri" w:cs="Calibri" w:eastAsia="Calibri" w:hAnsi="Calibri"/>
                <w:sz w:val="15"/>
                <w:szCs w:val="15"/>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(212,495)</w:t>
            </w:r>
          </w:p>
        </w:tc>
        <w:tc>
          <w:tcPr>
            <w:tcW w:w="100" w:type="dxa"/>
            <w:vAlign w:val="bottom"/>
          </w:tcPr>
          <w:p>
            <w:pPr>
              <w:spacing w:after="0"/>
              <w:rPr>
                <w:sz w:val="16"/>
                <w:szCs w:val="16"/>
                <w:color w:val="auto"/>
              </w:rPr>
            </w:pPr>
          </w:p>
        </w:tc>
        <w:tc>
          <w:tcPr>
            <w:tcW w:w="620" w:type="dxa"/>
            <w:vAlign w:val="bottom"/>
          </w:tcPr>
          <w:p>
            <w:pPr>
              <w:jc w:val="right"/>
              <w:ind w:right="443"/>
              <w:spacing w:after="0"/>
              <w:rPr>
                <w:sz w:val="20"/>
                <w:szCs w:val="20"/>
                <w:color w:val="auto"/>
              </w:rPr>
            </w:pPr>
            <w:r>
              <w:rPr>
                <w:rFonts w:ascii="Calibri" w:cs="Calibri" w:eastAsia="Calibri" w:hAnsi="Calibri"/>
                <w:sz w:val="15"/>
                <w:szCs w:val="15"/>
                <w:color w:val="auto"/>
              </w:rPr>
              <w:t>$</w:t>
            </w:r>
          </w:p>
        </w:tc>
        <w:tc>
          <w:tcPr>
            <w:tcW w:w="1100" w:type="dxa"/>
            <w:vAlign w:val="bottom"/>
          </w:tcPr>
          <w:p>
            <w:pPr>
              <w:jc w:val="right"/>
              <w:spacing w:after="0"/>
              <w:rPr>
                <w:sz w:val="20"/>
                <w:szCs w:val="20"/>
                <w:color w:val="auto"/>
              </w:rPr>
            </w:pPr>
            <w:r>
              <w:rPr>
                <w:rFonts w:ascii="Calibri" w:cs="Calibri" w:eastAsia="Calibri" w:hAnsi="Calibri"/>
                <w:sz w:val="15"/>
                <w:szCs w:val="15"/>
                <w:color w:val="auto"/>
              </w:rPr>
              <w:t>179,957</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Customer relatonships</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351,695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(301,062)</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50,633</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Internally-developed sofware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color w:val="auto"/>
              </w:rPr>
              <w:t>133,380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(120,054)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13,326</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Noncompete agreements</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42,596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(39,617)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2,979</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Franchise agreements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color w:val="auto"/>
              </w:rPr>
              <w:t>19,201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(18,668)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533</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Purchased technology</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122,700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(96,565)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26,135</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Trade name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color w:val="auto"/>
              </w:rPr>
              <w:t>5,800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(2,320)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3,480</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5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15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1,067,824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(790,781)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4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277,043</w:t>
            </w:r>
          </w:p>
        </w:tc>
      </w:tr>
      <w:tr>
        <w:trPr>
          <w:trHeight w:val="32"/>
        </w:trPr>
        <w:tc>
          <w:tcPr>
            <w:tcW w:w="5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159"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We made payments to acquire businesses totaling $43.2 million and $47.7 million during the nine months ended March 31, 2024 and 2023, respectvely. The amounts and weighted-average lives of intangible assets acquired during the nine months ended March 31, 2024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alibri" w:cs="Calibri" w:eastAsia="Calibri" w:hAnsi="Calibri"/>
                <w:sz w:val="14"/>
                <w:szCs w:val="14"/>
                <w:color w:val="auto"/>
              </w:rPr>
              <w:t>(dollars in 000s)</w:t>
            </w:r>
          </w:p>
        </w:tc>
      </w:tr>
      <w:tr>
        <w:trPr>
          <w:trHeight w:val="43"/>
        </w:trPr>
        <w:tc>
          <w:tcPr>
            <w:tcW w:w="5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177"/>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tcPr>
          <w:p>
            <w:pPr>
              <w:jc w:val="right"/>
              <w:spacing w:after="0" w:line="177" w:lineRule="exact"/>
              <w:rPr>
                <w:sz w:val="20"/>
                <w:szCs w:val="20"/>
                <w:color w:val="auto"/>
              </w:rPr>
            </w:pPr>
            <w:r>
              <w:rPr>
                <w:rFonts w:ascii="Calibri" w:cs="Calibri" w:eastAsia="Calibri" w:hAnsi="Calibri"/>
                <w:sz w:val="15"/>
                <w:szCs w:val="15"/>
                <w:color w:val="auto"/>
              </w:rPr>
              <w:t>Amount</w:t>
            </w:r>
          </w:p>
        </w:tc>
        <w:tc>
          <w:tcPr>
            <w:tcW w:w="80" w:type="dxa"/>
            <w:vAlign w:val="bottom"/>
          </w:tcPr>
          <w:p>
            <w:pPr>
              <w:spacing w:after="0"/>
              <w:rPr>
                <w:sz w:val="15"/>
                <w:szCs w:val="15"/>
                <w:color w:val="auto"/>
              </w:rPr>
            </w:pPr>
          </w:p>
        </w:tc>
        <w:tc>
          <w:tcPr>
            <w:tcW w:w="3000" w:type="dxa"/>
            <w:vAlign w:val="bottom"/>
          </w:tcPr>
          <w:p>
            <w:pPr>
              <w:jc w:val="right"/>
              <w:spacing w:after="0" w:line="177" w:lineRule="exact"/>
              <w:rPr>
                <w:sz w:val="20"/>
                <w:szCs w:val="20"/>
                <w:color w:val="auto"/>
              </w:rPr>
            </w:pPr>
            <w:r>
              <w:rPr>
                <w:rFonts w:ascii="Calibri" w:cs="Calibri" w:eastAsia="Calibri" w:hAnsi="Calibri"/>
                <w:sz w:val="15"/>
                <w:szCs w:val="15"/>
                <w:color w:val="auto"/>
              </w:rPr>
              <w:t>Weighted-Average Life (in years)</w:t>
            </w:r>
          </w:p>
        </w:tc>
      </w:tr>
      <w:tr>
        <w:trPr>
          <w:trHeight w:val="22"/>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77"/>
        </w:trPr>
        <w:tc>
          <w:tcPr>
            <w:tcW w:w="562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Customer relatonships</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right"/>
              <w:ind w:right="843"/>
              <w:spacing w:after="0" w:line="177" w:lineRule="exact"/>
              <w:rPr>
                <w:sz w:val="20"/>
                <w:szCs w:val="20"/>
                <w:color w:val="auto"/>
              </w:rPr>
            </w:pPr>
            <w:r>
              <w:rPr>
                <w:rFonts w:ascii="Calibri" w:cs="Calibri" w:eastAsia="Calibri" w:hAnsi="Calibri"/>
                <w:sz w:val="15"/>
                <w:szCs w:val="15"/>
                <w:b w:val="1"/>
                <w:bCs w:val="1"/>
                <w:color w:val="auto"/>
              </w:rPr>
              <w:t>$</w:t>
            </w:r>
          </w:p>
        </w:tc>
        <w:tc>
          <w:tcPr>
            <w:tcW w:w="14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34,084</w:t>
            </w:r>
          </w:p>
        </w:tc>
        <w:tc>
          <w:tcPr>
            <w:tcW w:w="80" w:type="dxa"/>
            <w:vAlign w:val="bottom"/>
          </w:tcPr>
          <w:p>
            <w:pPr>
              <w:spacing w:after="0"/>
              <w:rPr>
                <w:sz w:val="15"/>
                <w:szCs w:val="15"/>
                <w:color w:val="auto"/>
              </w:rPr>
            </w:pPr>
          </w:p>
        </w:tc>
        <w:tc>
          <w:tcPr>
            <w:tcW w:w="3000" w:type="dxa"/>
            <w:vAlign w:val="bottom"/>
            <w:tcBorders>
              <w:top w:val="single" w:sz="8" w:color="auto"/>
            </w:tcBorders>
          </w:tcPr>
          <w:p>
            <w:pPr>
              <w:jc w:val="right"/>
              <w:ind w:right="1386"/>
              <w:spacing w:after="0" w:line="177" w:lineRule="exact"/>
              <w:rPr>
                <w:sz w:val="20"/>
                <w:szCs w:val="20"/>
                <w:color w:val="auto"/>
              </w:rPr>
            </w:pPr>
            <w:r>
              <w:rPr>
                <w:rFonts w:ascii="Calibri" w:cs="Calibri" w:eastAsia="Calibri" w:hAnsi="Calibri"/>
                <w:sz w:val="15"/>
                <w:szCs w:val="15"/>
                <w:b w:val="1"/>
                <w:bCs w:val="1"/>
                <w:color w:val="auto"/>
              </w:rPr>
              <w:t>5</w:t>
            </w:r>
          </w:p>
        </w:tc>
      </w:tr>
      <w:tr>
        <w:trPr>
          <w:trHeight w:val="22"/>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86"/>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Reacquired franchise rights</w:t>
            </w:r>
          </w:p>
        </w:tc>
        <w:tc>
          <w:tcPr>
            <w:tcW w:w="10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10,856</w:t>
            </w:r>
          </w:p>
        </w:tc>
        <w:tc>
          <w:tcPr>
            <w:tcW w:w="3080" w:type="dxa"/>
            <w:vAlign w:val="bottom"/>
            <w:tcBorders>
              <w:bottom w:val="single" w:sz="8" w:color="CCEEFF"/>
            </w:tcBorders>
            <w:gridSpan w:val="2"/>
            <w:shd w:val="clear" w:color="auto" w:fill="CCEEFF"/>
          </w:tcPr>
          <w:p>
            <w:pPr>
              <w:jc w:val="right"/>
              <w:ind w:right="1386"/>
              <w:spacing w:after="0"/>
              <w:rPr>
                <w:sz w:val="20"/>
                <w:szCs w:val="20"/>
                <w:color w:val="auto"/>
              </w:rPr>
            </w:pPr>
            <w:r>
              <w:rPr>
                <w:rFonts w:ascii="Calibri" w:cs="Calibri" w:eastAsia="Calibri" w:hAnsi="Calibri"/>
                <w:sz w:val="15"/>
                <w:szCs w:val="15"/>
                <w:b w:val="1"/>
                <w:bCs w:val="1"/>
                <w:color w:val="auto"/>
              </w:rPr>
              <w:t>5</w:t>
            </w:r>
          </w:p>
        </w:tc>
      </w:tr>
      <w:tr>
        <w:trPr>
          <w:trHeight w:val="184"/>
        </w:trPr>
        <w:tc>
          <w:tcPr>
            <w:tcW w:w="5700" w:type="dxa"/>
            <w:vAlign w:val="bottom"/>
            <w:gridSpan w:val="2"/>
          </w:tcPr>
          <w:p>
            <w:pPr>
              <w:ind w:left="20"/>
              <w:spacing w:after="0"/>
              <w:rPr>
                <w:sz w:val="20"/>
                <w:szCs w:val="20"/>
                <w:color w:val="auto"/>
              </w:rPr>
            </w:pPr>
            <w:r>
              <w:rPr>
                <w:rFonts w:ascii="Calibri" w:cs="Calibri" w:eastAsia="Calibri" w:hAnsi="Calibri"/>
                <w:sz w:val="15"/>
                <w:szCs w:val="15"/>
                <w:color w:val="auto"/>
              </w:rPr>
              <w:t>Noncompete agreements</w:t>
            </w:r>
          </w:p>
        </w:tc>
        <w:tc>
          <w:tcPr>
            <w:tcW w:w="10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b w:val="1"/>
                <w:bCs w:val="1"/>
                <w:color w:val="auto"/>
              </w:rPr>
              <w:t>1,581</w:t>
            </w:r>
          </w:p>
        </w:tc>
        <w:tc>
          <w:tcPr>
            <w:tcW w:w="3080" w:type="dxa"/>
            <w:vAlign w:val="bottom"/>
            <w:gridSpan w:val="2"/>
          </w:tcPr>
          <w:p>
            <w:pPr>
              <w:jc w:val="right"/>
              <w:ind w:right="1386"/>
              <w:spacing w:after="0"/>
              <w:rPr>
                <w:sz w:val="20"/>
                <w:szCs w:val="20"/>
                <w:color w:val="auto"/>
              </w:rPr>
            </w:pPr>
            <w:r>
              <w:rPr>
                <w:rFonts w:ascii="Calibri" w:cs="Calibri" w:eastAsia="Calibri" w:hAnsi="Calibri"/>
                <w:sz w:val="15"/>
                <w:szCs w:val="15"/>
                <w:b w:val="1"/>
                <w:bCs w:val="1"/>
                <w:color w:val="auto"/>
              </w:rPr>
              <w:t>5</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r>
      <w:tr>
        <w:trPr>
          <w:trHeight w:val="199"/>
        </w:trPr>
        <w:tc>
          <w:tcPr>
            <w:tcW w:w="570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Total</w:t>
            </w:r>
          </w:p>
        </w:tc>
        <w:tc>
          <w:tcPr>
            <w:tcW w:w="1020" w:type="dxa"/>
            <w:vAlign w:val="bottom"/>
            <w:tcBorders>
              <w:bottom w:val="single" w:sz="8" w:color="CCEEFF"/>
            </w:tcBorders>
            <w:shd w:val="clear" w:color="auto" w:fill="CCEEFF"/>
          </w:tcPr>
          <w:p>
            <w:pPr>
              <w:jc w:val="right"/>
              <w:ind w:right="843"/>
              <w:spacing w:after="0" w:line="177" w:lineRule="exact"/>
              <w:rPr>
                <w:sz w:val="20"/>
                <w:szCs w:val="20"/>
                <w:color w:val="auto"/>
              </w:rPr>
            </w:pPr>
            <w:r>
              <w:rPr>
                <w:rFonts w:ascii="Calibri" w:cs="Calibri" w:eastAsia="Calibri" w:hAnsi="Calibri"/>
                <w:sz w:val="15"/>
                <w:szCs w:val="15"/>
                <w:b w:val="1"/>
                <w:bCs w:val="1"/>
                <w:color w:val="auto"/>
              </w:rPr>
              <w:t>$</w:t>
            </w:r>
          </w:p>
        </w:tc>
        <w:tc>
          <w:tcPr>
            <w:tcW w:w="14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46,521</w:t>
            </w:r>
          </w:p>
        </w:tc>
        <w:tc>
          <w:tcPr>
            <w:tcW w:w="3080" w:type="dxa"/>
            <w:vAlign w:val="bottom"/>
            <w:tcBorders>
              <w:bottom w:val="single" w:sz="8" w:color="CCEEFF"/>
            </w:tcBorders>
            <w:gridSpan w:val="2"/>
            <w:shd w:val="clear" w:color="auto" w:fill="CCEEFF"/>
          </w:tcPr>
          <w:p>
            <w:pPr>
              <w:jc w:val="right"/>
              <w:ind w:right="1386"/>
              <w:spacing w:after="0" w:line="173" w:lineRule="exact"/>
              <w:rPr>
                <w:sz w:val="20"/>
                <w:szCs w:val="20"/>
                <w:color w:val="auto"/>
              </w:rPr>
            </w:pPr>
            <w:r>
              <w:rPr>
                <w:rFonts w:ascii="Calibri" w:cs="Calibri" w:eastAsia="Calibri" w:hAnsi="Calibri"/>
                <w:sz w:val="15"/>
                <w:szCs w:val="15"/>
                <w:b w:val="1"/>
                <w:bCs w:val="1"/>
                <w:color w:val="auto"/>
              </w:rPr>
              <w:t>5</w:t>
            </w:r>
          </w:p>
        </w:tc>
      </w:tr>
      <w:tr>
        <w:trPr>
          <w:trHeight w:val="32"/>
        </w:trPr>
        <w:tc>
          <w:tcPr>
            <w:tcW w:w="5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Amortzaton of intangible assets for the three and nine months ended March 31, 2024 was $15.0 million and $46.2 million, respectvely, compared to $17.8 million and $54.7 million for the three and nine months ended March 31, 2023, respectvely. Estmated amortzaton of intangible assets for fscal years ending June 30, 2024, 2025, 2026, 2027, and 2028 is $61.1 million, $42.8 million, $33.1 million, $26.5 million and $18.7 million, respectvely.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3"/>
          <w:szCs w:val="13"/>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6: LONG-TERM DEBT</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components of long-term debt are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728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7"/>
        </w:trPr>
        <w:tc>
          <w:tcPr>
            <w:tcW w:w="728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500" w:type="dxa"/>
            <w:vAlign w:val="bottom"/>
          </w:tcPr>
          <w:p>
            <w:pPr>
              <w:spacing w:after="0"/>
              <w:rPr>
                <w:sz w:val="15"/>
                <w:szCs w:val="15"/>
                <w:color w:val="auto"/>
              </w:rPr>
            </w:pPr>
          </w:p>
        </w:tc>
        <w:tc>
          <w:tcPr>
            <w:tcW w:w="1520" w:type="dxa"/>
            <w:vAlign w:val="bottom"/>
            <w:gridSpan w:val="2"/>
          </w:tcPr>
          <w:p>
            <w:pPr>
              <w:ind w:left="420"/>
              <w:spacing w:after="0" w:line="177" w:lineRule="exact"/>
              <w:rPr>
                <w:sz w:val="20"/>
                <w:szCs w:val="20"/>
                <w:color w:val="auto"/>
              </w:rPr>
            </w:pPr>
            <w:r>
              <w:rPr>
                <w:rFonts w:ascii="Calibri" w:cs="Calibri" w:eastAsia="Calibri" w:hAnsi="Calibri"/>
                <w:sz w:val="15"/>
                <w:szCs w:val="15"/>
                <w:b w:val="1"/>
                <w:bCs w:val="1"/>
                <w:color w:val="auto"/>
              </w:rPr>
              <w:t>March 31, 2024</w:t>
            </w:r>
          </w:p>
        </w:tc>
        <w:tc>
          <w:tcPr>
            <w:tcW w:w="560" w:type="dxa"/>
            <w:vAlign w:val="bottom"/>
          </w:tcPr>
          <w:p>
            <w:pPr>
              <w:spacing w:after="0"/>
              <w:rPr>
                <w:sz w:val="15"/>
                <w:szCs w:val="15"/>
                <w:color w:val="auto"/>
              </w:rPr>
            </w:pPr>
          </w:p>
        </w:tc>
        <w:tc>
          <w:tcPr>
            <w:tcW w:w="1360" w:type="dxa"/>
            <w:vAlign w:val="bottom"/>
          </w:tcPr>
          <w:p>
            <w:pPr>
              <w:jc w:val="right"/>
              <w:spacing w:after="0" w:line="177" w:lineRule="exact"/>
              <w:rPr>
                <w:sz w:val="20"/>
                <w:szCs w:val="20"/>
                <w:color w:val="auto"/>
              </w:rPr>
            </w:pPr>
            <w:r>
              <w:rPr>
                <w:rFonts w:ascii="Calibri" w:cs="Calibri" w:eastAsia="Calibri" w:hAnsi="Calibri"/>
                <w:sz w:val="15"/>
                <w:szCs w:val="15"/>
                <w:color w:val="auto"/>
              </w:rPr>
              <w:t>June 30, 2023</w:t>
            </w:r>
          </w:p>
        </w:tc>
      </w:tr>
      <w:tr>
        <w:trPr>
          <w:trHeight w:val="22"/>
        </w:trPr>
        <w:tc>
          <w:tcPr>
            <w:tcW w:w="7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7"/>
        </w:trPr>
        <w:tc>
          <w:tcPr>
            <w:tcW w:w="7180" w:type="dxa"/>
            <w:vAlign w:val="bottom"/>
          </w:tcPr>
          <w:p>
            <w:pPr>
              <w:ind w:left="20"/>
              <w:spacing w:after="0" w:line="177" w:lineRule="exact"/>
              <w:rPr>
                <w:sz w:val="20"/>
                <w:szCs w:val="20"/>
                <w:color w:val="auto"/>
              </w:rPr>
            </w:pPr>
            <w:r>
              <w:rPr>
                <w:rFonts w:ascii="Calibri" w:cs="Calibri" w:eastAsia="Calibri" w:hAnsi="Calibri"/>
                <w:sz w:val="15"/>
                <w:szCs w:val="15"/>
                <w:color w:val="auto"/>
              </w:rPr>
              <w:t>Senior Notes, 5.250%, due October 2025</w:t>
            </w:r>
          </w:p>
        </w:tc>
        <w:tc>
          <w:tcPr>
            <w:tcW w:w="100" w:type="dxa"/>
            <w:vAlign w:val="bottom"/>
          </w:tcPr>
          <w:p>
            <w:pPr>
              <w:spacing w:after="0"/>
              <w:rPr>
                <w:sz w:val="15"/>
                <w:szCs w:val="15"/>
                <w:color w:val="auto"/>
              </w:rPr>
            </w:pPr>
          </w:p>
        </w:tc>
        <w:tc>
          <w:tcPr>
            <w:tcW w:w="500" w:type="dxa"/>
            <w:vAlign w:val="bottom"/>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4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350,000</w:t>
            </w:r>
          </w:p>
        </w:tc>
        <w:tc>
          <w:tcPr>
            <w:tcW w:w="100" w:type="dxa"/>
            <w:vAlign w:val="bottom"/>
          </w:tcPr>
          <w:p>
            <w:pPr>
              <w:spacing w:after="0"/>
              <w:rPr>
                <w:sz w:val="15"/>
                <w:szCs w:val="15"/>
                <w:color w:val="auto"/>
              </w:rPr>
            </w:pPr>
          </w:p>
        </w:tc>
        <w:tc>
          <w:tcPr>
            <w:tcW w:w="560" w:type="dxa"/>
            <w:vAlign w:val="bottom"/>
          </w:tcPr>
          <w:p>
            <w:pPr>
              <w:jc w:val="right"/>
              <w:ind w:right="403"/>
              <w:spacing w:after="0" w:line="177" w:lineRule="exact"/>
              <w:rPr>
                <w:sz w:val="20"/>
                <w:szCs w:val="20"/>
                <w:color w:val="auto"/>
              </w:rPr>
            </w:pPr>
            <w:r>
              <w:rPr>
                <w:rFonts w:ascii="Calibri" w:cs="Calibri" w:eastAsia="Calibri" w:hAnsi="Calibri"/>
                <w:sz w:val="15"/>
                <w:szCs w:val="15"/>
                <w:color w:val="auto"/>
                <w:w w:val="78"/>
              </w:rPr>
              <w:t>$</w:t>
            </w:r>
          </w:p>
        </w:tc>
        <w:tc>
          <w:tcPr>
            <w:tcW w:w="1360" w:type="dxa"/>
            <w:vAlign w:val="bottom"/>
          </w:tcPr>
          <w:p>
            <w:pPr>
              <w:jc w:val="right"/>
              <w:spacing w:after="0" w:line="177" w:lineRule="exact"/>
              <w:rPr>
                <w:sz w:val="20"/>
                <w:szCs w:val="20"/>
                <w:color w:val="auto"/>
              </w:rPr>
            </w:pPr>
            <w:r>
              <w:rPr>
                <w:rFonts w:ascii="Calibri" w:cs="Calibri" w:eastAsia="Calibri" w:hAnsi="Calibri"/>
                <w:sz w:val="15"/>
                <w:szCs w:val="15"/>
                <w:color w:val="auto"/>
              </w:rPr>
              <w:t>350,000</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Senior Notes, 2.500%, due July 2028</w:t>
            </w:r>
          </w:p>
        </w:tc>
        <w:tc>
          <w:tcPr>
            <w:tcW w:w="5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500,000</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500,000</w:t>
            </w:r>
          </w:p>
        </w:tc>
      </w:tr>
      <w:tr>
        <w:trPr>
          <w:trHeight w:val="184"/>
        </w:trPr>
        <w:tc>
          <w:tcPr>
            <w:tcW w:w="7280" w:type="dxa"/>
            <w:vAlign w:val="bottom"/>
            <w:gridSpan w:val="2"/>
          </w:tcPr>
          <w:p>
            <w:pPr>
              <w:ind w:left="20"/>
              <w:spacing w:after="0"/>
              <w:rPr>
                <w:sz w:val="20"/>
                <w:szCs w:val="20"/>
                <w:color w:val="auto"/>
              </w:rPr>
            </w:pPr>
            <w:r>
              <w:rPr>
                <w:rFonts w:ascii="Calibri" w:cs="Calibri" w:eastAsia="Calibri" w:hAnsi="Calibri"/>
                <w:sz w:val="15"/>
                <w:szCs w:val="15"/>
                <w:color w:val="auto"/>
              </w:rPr>
              <w:t>Senior Notes, 3.875%, due August 2030</w:t>
            </w:r>
          </w:p>
        </w:tc>
        <w:tc>
          <w:tcPr>
            <w:tcW w:w="5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650,000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650,000</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Debt issuance costs and discounts</w:t>
            </w:r>
          </w:p>
        </w:tc>
        <w:tc>
          <w:tcPr>
            <w:tcW w:w="5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(9,430)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(11,025)</w:t>
            </w:r>
          </w:p>
        </w:tc>
      </w:tr>
      <w:tr>
        <w:trPr>
          <w:trHeight w:val="177"/>
        </w:trPr>
        <w:tc>
          <w:tcPr>
            <w:tcW w:w="72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Total long-term debt</w:t>
            </w:r>
          </w:p>
        </w:tc>
        <w:tc>
          <w:tcPr>
            <w:tcW w:w="5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1,490,570</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1,488,975</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Less: Current porton</w:t>
            </w:r>
          </w:p>
        </w:tc>
        <w:tc>
          <w:tcPr>
            <w:tcW w:w="5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r>
      <w:tr>
        <w:trPr>
          <w:trHeight w:val="177"/>
        </w:trPr>
        <w:tc>
          <w:tcPr>
            <w:tcW w:w="72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Long-term porton</w:t>
            </w: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1,490,570</w:t>
            </w:r>
          </w:p>
        </w:tc>
        <w:tc>
          <w:tcPr>
            <w:tcW w:w="100" w:type="dxa"/>
            <w:vAlign w:val="bottom"/>
          </w:tcPr>
          <w:p>
            <w:pPr>
              <w:spacing w:after="0"/>
              <w:rPr>
                <w:sz w:val="15"/>
                <w:szCs w:val="15"/>
                <w:color w:val="auto"/>
              </w:rPr>
            </w:pPr>
          </w:p>
        </w:tc>
        <w:tc>
          <w:tcPr>
            <w:tcW w:w="560" w:type="dxa"/>
            <w:vAlign w:val="bottom"/>
            <w:tcBorders>
              <w:top w:val="single" w:sz="8" w:color="auto"/>
            </w:tcBorders>
          </w:tcPr>
          <w:p>
            <w:pPr>
              <w:jc w:val="right"/>
              <w:ind w:right="403"/>
              <w:spacing w:after="0" w:line="177" w:lineRule="exact"/>
              <w:rPr>
                <w:sz w:val="20"/>
                <w:szCs w:val="20"/>
                <w:color w:val="auto"/>
              </w:rPr>
            </w:pPr>
            <w:r>
              <w:rPr>
                <w:rFonts w:ascii="Calibri" w:cs="Calibri" w:eastAsia="Calibri" w:hAnsi="Calibri"/>
                <w:sz w:val="15"/>
                <w:szCs w:val="15"/>
                <w:color w:val="auto"/>
                <w:w w:val="78"/>
              </w:rPr>
              <w:t>$</w:t>
            </w: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1,488,975</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9"/>
        </w:trPr>
        <w:tc>
          <w:tcPr>
            <w:tcW w:w="72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Estmated fair value of long-term debt</w:t>
            </w:r>
          </w:p>
        </w:tc>
        <w:tc>
          <w:tcPr>
            <w:tcW w:w="500" w:type="dxa"/>
            <w:vAlign w:val="bottom"/>
            <w:tcBorders>
              <w:bottom w:val="single" w:sz="8" w:color="CCEEFF"/>
            </w:tcBorders>
            <w:shd w:val="clear" w:color="auto" w:fill="CCEEFF"/>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4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1,381,000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03"/>
              <w:spacing w:after="0" w:line="177" w:lineRule="exact"/>
              <w:rPr>
                <w:sz w:val="20"/>
                <w:szCs w:val="20"/>
                <w:color w:val="auto"/>
              </w:rPr>
            </w:pPr>
            <w:r>
              <w:rPr>
                <w:rFonts w:ascii="Calibri" w:cs="Calibri" w:eastAsia="Calibri" w:hAnsi="Calibri"/>
                <w:sz w:val="15"/>
                <w:szCs w:val="15"/>
                <w:color w:val="auto"/>
                <w:w w:val="78"/>
              </w:rPr>
              <w:t>$</w:t>
            </w:r>
          </w:p>
        </w:tc>
        <w:tc>
          <w:tcPr>
            <w:tcW w:w="13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1,339,000</w:t>
            </w:r>
          </w:p>
        </w:tc>
      </w:tr>
      <w:tr>
        <w:trPr>
          <w:trHeight w:val="52"/>
        </w:trPr>
        <w:tc>
          <w:tcPr>
            <w:tcW w:w="7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bl>
    <w:p>
      <w:pPr>
        <w:spacing w:after="0" w:line="172"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Our unsecured commited line of credit (CLOC) provides for an unsecured senior revolving credit facility in the aggregate principal amount of $1.5 billion, which includes a $175.0 million sublimit for swingline loans and a $50.0 million sublimit for standby leters of credit. We may request increases in the aggregate principal amount of the revolving credit facility of up to $500.0 million, subject to obtaining commitments from lenders and meetng certain other conditons. The CLOC will mature on June 11, 2026, unless extended pursuant to the terms of the CLOC, at which tme all outstanding amounts thereunder will be due and payable. Our CLOC includes an annual facility fee, which will vary depending on our then current credit ratngs.</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The CLOC is subject to various conditons, triggers, events or occurrences that could result in earlier terminaton and contains customary representatons, warrantes, covenants and events of default, including, without limitaton: (1) a covenant requiring the Company to maintain a debt-to-EBITDA rato, as defned by the CLOC agreement, calculated on a consolidated basis of no greater than (a) 3.50 to 1.00 as of the last day of each fscal quarter ending on March 31, June 30, and September 30 of each year and (b) 4.50 to 1.00 as of the last day of each fscal quarter ending on December 31 of each year; (2) a covenant requiring us to maintain an interest coverage rato (EBITDA-to-interest expense) calculated on a consolidated basis of not less than 2.50 to 1.00 as of the last date of any fscal quarter; and (3) covenants restrictng our ability to incur certain additonal debt, incur liens, merge or consolidate with other companies, sell or dispose of assets (including equity interests), liquidate or dissolve, engage in certain transactons with afliates or enter into certain restrictve agreements. The CLOC includes provisions for an equity cure which could potentally allow us to independently cure certain defaults. Proceeds under the CLOC may be used for working capital needs or for other general corporate purposes. We were in compliance with these requirements as of March 31, 2024.</w:t>
      </w:r>
    </w:p>
    <w:p>
      <w:pPr>
        <w:spacing w:after="0" w:line="105"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We had no outstanding balance under our CLOC and amounts available to borrow were not limited by the debt-to-EBITDA covenant as of March 31, 2024.</w:t>
      </w:r>
    </w:p>
    <w:p>
      <w:pPr>
        <w:spacing w:after="0" w:line="8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7: INCOME TAXES</w:t>
      </w:r>
    </w:p>
    <w:p>
      <w:pPr>
        <w:spacing w:after="0" w:line="112" w:lineRule="exact"/>
        <w:rPr>
          <w:sz w:val="20"/>
          <w:szCs w:val="20"/>
          <w:color w:val="auto"/>
        </w:rPr>
      </w:pPr>
    </w:p>
    <w:p>
      <w:pPr>
        <w:spacing w:after="0"/>
        <w:rPr>
          <w:sz w:val="20"/>
          <w:szCs w:val="20"/>
          <w:color w:val="auto"/>
        </w:rPr>
      </w:pPr>
      <w:r>
        <w:rPr>
          <w:rFonts w:ascii="Calibri" w:cs="Calibri" w:eastAsia="Calibri" w:hAnsi="Calibri"/>
          <w:sz w:val="16"/>
          <w:szCs w:val="16"/>
          <w:color w:val="auto"/>
        </w:rPr>
        <w:t>We fle a consolidated federal income tax return in the U.S. with the Internal Revenue Service (IRS) and fle tax returns in various state, local, and foreign jurisdictons.</w:t>
      </w:r>
    </w:p>
    <w:p>
      <w:pPr>
        <w:spacing w:after="0" w:line="114"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had gross unrecognized tax benefts of $245.8 million and $240.1 million as of March 31, 2024 and June 30, 2023, respectvely. The gross unrecognized tax benefts increased by $5.7 million during the nine months ended March 31, 2024. We believe it is reasonably possible that the balance of unrecognized tax benefts could decrease by approximately $121.8 million within the next twelve months. The antcipated decrease is due to the expiraton of statutes of limitatons and antcipated closure of various maters currently under examinaton or in appeals. For such maters where a change in the balance of unrecognized tax benefts is not yet deemed reasonably possible, no estmate has been included.</w:t>
      </w:r>
    </w:p>
    <w:p>
      <w:pPr>
        <w:spacing w:after="0" w:line="106"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Our efectve tax rate for contnuing operatons, including the efects of discrete tax items, was 17.6% and 23.3% for the nine months ended March 31, 2024 and 2023, respectvely. Discrete items decreased the efectve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259"/>
        <w:spacing w:after="0"/>
        <w:tabs>
          <w:tab w:leader="none" w:pos="360" w:val="left"/>
        </w:tabs>
        <w:numPr>
          <w:ilvl w:val="0"/>
          <w:numId w:val="11"/>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by 6.3% and 1.3% for the nine months ended March 31, 2024, and 2023, respectvely. Discrete income tax benefts of $26.0 million and $4.2 million were recorded in the nine months ended March 31, 2024 and 2023, respectvely. The discrete tax beneft recorded in the current period primarily resulted from setlements with tax authorites and statute of limitatons expiratons. The discrete tax beneft recorded in the prior period primarily resulted from state statute of limitatons expiratons. The impact discrete tax items have on our tax rate through the third quarter are slightly exaggerated versus the impact discrete tax items have on the full fscal year tax rate.</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8: COMMITMENTS AND CONTINGENCIES</w:t>
      </w:r>
    </w:p>
    <w:p>
      <w:pPr>
        <w:spacing w:after="0" w:line="112"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Our U.S. and Canadian businesses ofer our 100% accuracy guarantee. Assisted tax returns are covered by our 100% accuracy guarantee, whereby we will reimburse a client for penaltes and interest atributable to an H&amp;R Block error on a return. DIY tax returns are covered by our 100% accuracy guarantee, whereby we will reimburse a client up to a maximum of $10,000 if our sofware makes an arithmetc error that results in payment of penaltes and/or interest to the respectve taxing authority that a client would otherwise not have been required to pay. Our liability related to estmated losses under the 100% accuracy guarantee was $13.6 million and $15.8 million as of March 31, 2024 and June 30, 2023, respectvely. The short-term and long-term portons of this liability are included in deferred revenue and other liabilites in the consolidated balance sheets.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Liabilites related to acquisitons for (1) estmated contngent consideraton based on expected fnancial performance of the acquired business and economic conditons at the tme of acquisiton and (2) estmated accrued compensaton related to contnued employment of key employees were $27.9 million and $18.3 million as of March 31, 2024 and June 30, 2023 respectvely, with amounts recorded in deferred revenue and other liabilites. Should actual results difer from our estmates, future payments made will difer from the above estmate and any diferences will be recorded in results from contnuing operatons.</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have contractual commitments to fund certain franchises with approved short-term lines of credit for the purpose of meetng their seasonal working capital needs. Our total obligaton under these lines of credit was $21.3 million at March 31, 2024, and net of amounts drawn and outstanding, our remaining commitment to fund totaled $9.9 million.</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Efectve October 20, 2023, we amended the Program Management Agreement and entered into a new partcipaton agreement related to EA TLs originated by Pathward®, N.A. (Pathward). In fscal year 2024, EAs are being ofered as term loans and we discontnued EA LOCs. EA TLs are interest bearing with principal and interest due in full on March 31, and there are no annual fees or required monthly payments. EA TLs are ofered to clients in our ofces, in November and December, in amounts of $350 to $1,300. We contnue to purchase a 90% partcipaton interest in each loan made by Pathward in accordance with the partcipaton agreement. We purchased partcipaton interests of $346.3 million during the nine months ended March 31, 2024.</w:t>
      </w:r>
    </w:p>
    <w:p>
      <w:pPr>
        <w:spacing w:after="0" w:line="106" w:lineRule="exact"/>
        <w:rPr>
          <w:sz w:val="20"/>
          <w:szCs w:val="20"/>
          <w:color w:val="auto"/>
        </w:rPr>
      </w:pPr>
    </w:p>
    <w:p>
      <w:pPr>
        <w:jc w:val="both"/>
        <w:ind w:firstLine="193"/>
        <w:spacing w:after="0" w:line="259" w:lineRule="auto"/>
        <w:rPr>
          <w:sz w:val="20"/>
          <w:szCs w:val="20"/>
          <w:color w:val="auto"/>
        </w:rPr>
      </w:pPr>
      <w:r>
        <w:rPr>
          <w:rFonts w:ascii="Calibri" w:cs="Calibri" w:eastAsia="Calibri" w:hAnsi="Calibri"/>
          <w:sz w:val="16"/>
          <w:szCs w:val="16"/>
          <w:color w:val="auto"/>
        </w:rPr>
        <w:t>Refund Advance loans are originated by Pathward and ofered to certain assisted U.S. tax preparaton clients, based on client eligibility as determined by Pathward. We pay fees primarily based on loan size and customer type. We have provided a guarantee up to $18.0 million related to certain loans to clients prior to the IRS acceptng electronic fling. At March 31, 2024, we accrued an estmated liability of $1.4 million related to this guarantee, compared to $0.8 million at March 31, 2023.</w:t>
      </w:r>
    </w:p>
    <w:p>
      <w:pPr>
        <w:spacing w:after="0" w:line="71"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9: LITIGATION AND OTHER RELATED CONTINGENCIES</w:t>
      </w:r>
    </w:p>
    <w:p>
      <w:pPr>
        <w:spacing w:after="0" w:line="12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We are a defendant in numerous litgaton and arbitraton maters, arising both in the ordinary course of business and otherwise, including as described below. The maters described below are not all of the lawsuits or arbitratons to which we are subject. In some of the maters, very large or indeterminate amounts, including punitve damages, may be sought. U.S. jurisdictons permit considerable variaton in the asserton of monetary damages or other relief. Jurisdictons may permit claimants not to specify the monetary damages sought or may permit claimants to state only that the amount sought is sufcient to invoke the jurisdicton. In additon, jurisdictons may permit plaintfs to allege monetary damages in amounts well exceeding reasonably possible verdicts in the jurisdicton for similar maters. We believe that the monetary relief which may be specifed in a lawsuit or claim bears litle relevance to its merits or dispositon value due to this variability in pleadings and our experience in handling and resolving numerous claims over an extended period of tme.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3"/>
          <w:szCs w:val="13"/>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The outcome of a mater and the amount or range of potental loss at partcular points in tme may be difcult to ascertain. Among other things, uncertaintes can include how fact fnders will evaluate documentary evidence and the credibility and efectveness of witness testmony, and how courts and arbitrators will apply the law. Dispositon valuatons are also subject to the uncertainty of how opposing partes and their counsel will view the relevant evidence and applicable law.</w:t>
      </w:r>
    </w:p>
    <w:p>
      <w:pPr>
        <w:spacing w:after="0" w:line="102"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In additon to litgaton and arbitraton maters, we are also subject to other loss contngencies arising out of our business actvites, including as described below.</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accrue liabilites for litgaton, arbitraton and other related loss contngencies and any related setlements when it is probable that a loss has been incurred and the amount of the loss can be reasonably estmated. If a range of loss is estmated, and some amount within that range appears to be a beter estmate than any other amount within that range, then that amount is accrued. If no amount within the range can be identfed as a beter estmate than any other amount, we accrue the minimum amount in the range.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For such maters where a loss is believed to be reasonably possible, but not probable, or the loss cannot be reasonably estmated, no accrual has been made. It is possible that such maters could require us to pay damages or make other expenditures or accrue liabilites in amounts that could not be reasonably estmated as of March 31, 2024. While the potental future liabilites could be material in the partcular quarterly or annual periods in which they are recorded, based on informaton currently known, we do not believe any such liabilites are likely to have a material adverse efect on our business and our consolidated fnancial positon, results of operatons, and cash fows. Our accrued liabilites were $5.2 million and $0.2 million as of March 31, 2024 and June 30, 2023, respectvely.</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Our estmate of the aggregate range of reasonably possible losses includes (1) maters where a liability has been accrued and there is a reasonably possible loss in excess of the amount accrued for that liability, and (2) maters where a liability has not been accrued but we believe a loss is reasonably possible. This aggregate range only represents those losses as to which we are currently able to estmate a reasonably possible loss or range of loss. It does not represent our maximum loss exposure.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Maters for which we are not currently able to estmate the reasonably possible loss or range of loss are not included in this range. We are ofen unable to estmate the possible loss or range of loss untl developments in such maters have provided sufcient informaton to support an assessment of the reasonably possible loss or range of loss, such as precise informaton about the amount of damages or other remedies being asserted, the defenses to the claims being asserted, discovery from other partes and investgaton of factual allegatons, rulings by courts or arbitrators on motons or appeals, analyses by experts, or the status or terms of any setlement negotatons.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The estmated range of reasonably possible loss is based upon currently available informaton and is subject to signifcant judgment and a variety of assumptons, as well as known and unknown uncertaintes. The maters underlying the estmated range will change from tme to tme, and actual results may vary signifcantly from the current estmate. As of March 31, 2024, we believe the estmate of the aggregate range of reasonably possible losses in excess of amounts accrued, where the range of loss can be estmated, is not material.</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At the end of each reportng period, we review relevant informaton with respect to litgaton, arbitraton and other related loss contngencies and update our accruals, disclosures, and estmates of reasonably possible loss or range of loss based on such reviews. Costs incurred with defending maters are expensed as incurred. Any receivable for insurance recoveries is recorded separately from the corresponding liability, and only if recovery is determined to be probable and reasonably estmable.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believe we have meritorious defenses to the claims asserted in the various maters described in this note, and we intend to defend them vigorously. The amounts claimed in the maters are substantal, however, and there can be no assurances as to their outcomes. In the event of unfavorable outcomes, it could require modifcatons to our operatons; in additon, the amounts that may be required to be paid to discharge or setle the maters could be substantal and could have a material adverse impact on our business and our consolidated fnancial positon, results of operatons, and cash fows.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259"/>
        <w:spacing w:after="0"/>
        <w:tabs>
          <w:tab w:leader="none" w:pos="360" w:val="left"/>
        </w:tabs>
        <w:numPr>
          <w:ilvl w:val="0"/>
          <w:numId w:val="12"/>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Calibri" w:cs="Calibri" w:eastAsia="Calibri" w:hAnsi="Calibri"/>
          <w:sz w:val="17"/>
          <w:szCs w:val="17"/>
          <w:b w:val="1"/>
          <w:bCs w:val="1"/>
          <w:color w:val="auto"/>
        </w:rPr>
        <w:t xml:space="preserve">LITIGATION, CLAIMS OR OTHER LOSS CONTINGENCIES PERTAINING TO CONTINUING OPERATIONS </w:t>
      </w:r>
      <w:r>
        <w:rPr>
          <w:rFonts w:ascii="Calibri" w:cs="Calibri" w:eastAsia="Calibri" w:hAnsi="Calibri"/>
          <w:sz w:val="17"/>
          <w:szCs w:val="17"/>
          <w:color w:val="auto"/>
        </w:rPr>
        <w:t>–</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On February 23, 2024, the Federal Trade Commission (FTC) fled an administratve complaint before the FTC alleging unfair or deceptve business acts or practces in connecton with certain aspects of our DIY tax preparaton services. A hearing before an administratve law judge (ALJ) of the FTC is scheduled for October 23, 2024. We fled a complaint in federal court in the Western District of Missouri challenging the consttutonality of the ALJ’s removal protectons and seeking to enjoin the ALJ’s partcipaton in the adjudicaton of the mater, which remains pending. We have also received and are responding to certain governmental inquiries and other maters relatng to the IRS Free File Program and other aspects of our DIY tax preparaton services, including the use of pixels. An accrual related to these maters is included in our loss contngency accrual.</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DISCONTINUED MORTGAGE OPERATIONS </w:t>
      </w:r>
      <w:r>
        <w:rPr>
          <w:rFonts w:ascii="Calibri" w:cs="Calibri" w:eastAsia="Calibri" w:hAnsi="Calibri"/>
          <w:sz w:val="17"/>
          <w:szCs w:val="17"/>
          <w:color w:val="auto"/>
        </w:rPr>
        <w:t>– Although SCC ceased its mortgage loan originaton actvites in December 2007 and sold its loan servicing business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April 2008, SCC or the Company has been and may in the future be, subject to litgaton and other loss contngencies, including indemnifcaton and contributon claims, pertaining to SCC's mortgage business actvites that occurred prior to such terminaton and sale.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Partes, including underwriters, depositors, and securitzaton trustees, have been, remain, or may in the future be, involved in lawsuits, threatened lawsuits, or setlements related to securitzaton transactons in which SCC partcipated. A variety of claims are alleged in these maters, including violatons of federal and state securites laws and common law fraud, breaches of representatons and warrantes, or violatons of statutory requirements. SCC has received notces of potental indemnifcaton or contributon obligatons relatng to such maters. Additonal lawsuits against the partes to the securitzaton transactons may be fled in the future, and SCC may receive additonal notces of potental indemnifcaton, contributon or similar obligatons with respect to existng or new lawsuits or setlements of such lawsuits or other claims. We have not concluded that a loss related to any of these potental indemnifcaton or contributon claims is probable, nor have we accrued a liability related to any of these claims.</w:t>
      </w:r>
    </w:p>
    <w:p>
      <w:pPr>
        <w:spacing w:after="0" w:line="107"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It is difcult to predict either the likelihood of new maters being initated or the outcome of existng maters. In many of these maters it is not possible to estmate a reasonably possible loss or range of loss due to, among other things, the inherent uncertaintes involved in these maters and the indeterminate damages sought. If the amount that SCC is ultmately required to pay with respect to loss contngencies, together with payment of SCC's related administraton and legal expense, exceeds SCC's net assets, the creditors of SCC, other potental claimants, or a bankruptcy trustee if SCC were to fle or be forced into bankruptcy, may atempt to assert claims against us for payment of SCC's obligatons. Claimants also may atempt to assert claims against or seek payment directly from the Company even if SCC's assets exceed its liabilites. SCC's principal assets, as of March 31, 2024, total approximately $271 million and consist of an intercompany note receivable. We believe our legal positon is strong on any potental corporate veil-piercing arguments; however, if this positon is challenged and not upheld, it could have a material adverse efect on our business and our consolidated fnancial positon, results of operatons, and cash fows.</w:t>
      </w:r>
    </w:p>
    <w:p>
      <w:pPr>
        <w:spacing w:after="0" w:line="107"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OTHER </w:t>
      </w:r>
      <w:r>
        <w:rPr>
          <w:rFonts w:ascii="Calibri" w:cs="Calibri" w:eastAsia="Calibri" w:hAnsi="Calibri"/>
          <w:sz w:val="17"/>
          <w:szCs w:val="17"/>
          <w:color w:val="auto"/>
        </w:rPr>
        <w:t>– We are from tme to tme a party to litgaton, arbitraton and other loss contngencies not discussed herein arising out of our business operatons. These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maters may include actons by state atorneys general, other state regulators, federal regulators, individual plaintfs, and cases in which plaintfs seek to represent others who may be similarly situated.</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While we cannot provide assurance that we will ultmately prevail in each instance, we believe the amount, if any, we are required to pay to discharge or setle these other maters will not have a material adverse impact on our business and our consolidated fnancial positon, results of operatons, and cash fows.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3"/>
          <w:szCs w:val="13"/>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080" w:hanging="1082"/>
        <w:spacing w:after="0" w:line="234" w:lineRule="auto"/>
        <w:tabs>
          <w:tab w:leader="none" w:pos="1060" w:val="left"/>
        </w:tabs>
        <w:rPr>
          <w:sz w:val="20"/>
          <w:szCs w:val="20"/>
          <w:color w:val="auto"/>
        </w:rPr>
      </w:pPr>
      <w:r>
        <w:rPr>
          <w:rFonts w:ascii="Calibri" w:cs="Calibri" w:eastAsia="Calibri" w:hAnsi="Calibri"/>
          <w:sz w:val="24"/>
          <w:szCs w:val="24"/>
          <w:b w:val="1"/>
          <w:bCs w:val="1"/>
          <w:color w:val="14AA40"/>
        </w:rPr>
        <w:t>ITEM 2.</w:t>
        <w:tab/>
        <w:t>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RESULTS OF OPERATIONS</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Our subsidiaries provide assisted and do-it-yourself (DIY) tax preparaton solutons through multple channels (including in-person, online and mobile applicatons, virtual, and desktop sofware) and distribute H&amp;R Block-branded products and services, including those of our bank partners, to the general public primarily in the United States (U.S.), Canada and Australia. Tax returns are either prepared by H&amp;R Block tax professionals in one of our 6,643 company-owned or 2,168 franchise ofces (as of March 31, 2024), virtually or via an internet review or prepared and fled by our clients through our DIY tax solutons. We also ofer small business solutons through our company-owned and franchise ofces and online through Wave. We report a single segment that includes all of our contnuing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259"/>
        <w:spacing w:after="0"/>
        <w:tabs>
          <w:tab w:leader="none" w:pos="360" w:val="left"/>
        </w:tabs>
        <w:numPr>
          <w:ilvl w:val="0"/>
          <w:numId w:val="13"/>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762635</wp:posOffset>
            </wp:positionV>
            <wp:extent cx="71386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Consolidated – Financial Results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Calibri" w:cs="Calibri" w:eastAsia="Calibri" w:hAnsi="Calibri"/>
                <w:sz w:val="14"/>
                <w:szCs w:val="14"/>
                <w:color w:val="auto"/>
              </w:rPr>
              <w:t>(in 000s, except per share amounts)</w:t>
            </w:r>
          </w:p>
        </w:tc>
      </w:tr>
      <w:tr>
        <w:trPr>
          <w:trHeight w:val="26"/>
        </w:trPr>
        <w:tc>
          <w:tcPr>
            <w:tcW w:w="56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77"/>
        </w:trPr>
        <w:tc>
          <w:tcPr>
            <w:tcW w:w="566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Three months ended March 31,</w:t>
            </w:r>
          </w:p>
        </w:tc>
        <w:tc>
          <w:tcPr>
            <w:tcW w:w="36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100" w:type="dxa"/>
            <w:vAlign w:val="bottom"/>
          </w:tcPr>
          <w:p>
            <w:pPr>
              <w:spacing w:after="0"/>
              <w:rPr>
                <w:sz w:val="15"/>
                <w:szCs w:val="15"/>
                <w:color w:val="auto"/>
              </w:rPr>
            </w:pPr>
          </w:p>
        </w:tc>
        <w:tc>
          <w:tcPr>
            <w:tcW w:w="14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5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7"/>
        </w:trPr>
        <w:tc>
          <w:tcPr>
            <w:tcW w:w="5580" w:type="dxa"/>
            <w:vAlign w:val="bottom"/>
          </w:tcPr>
          <w:p>
            <w:pPr>
              <w:ind w:left="20"/>
              <w:spacing w:after="0" w:line="177" w:lineRule="exact"/>
              <w:rPr>
                <w:sz w:val="20"/>
                <w:szCs w:val="20"/>
                <w:color w:val="auto"/>
              </w:rPr>
            </w:pPr>
            <w:r>
              <w:rPr>
                <w:rFonts w:ascii="Calibri" w:cs="Calibri" w:eastAsia="Calibri" w:hAnsi="Calibri"/>
                <w:sz w:val="15"/>
                <w:szCs w:val="15"/>
                <w:color w:val="auto"/>
              </w:rPr>
              <w:t>Revenues: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tax preparaton and related services:</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4"/>
        </w:trPr>
        <w:tc>
          <w:tcPr>
            <w:tcW w:w="5660" w:type="dxa"/>
            <w:vAlign w:val="bottom"/>
            <w:gridSpan w:val="2"/>
          </w:tcPr>
          <w:p>
            <w:pPr>
              <w:ind w:left="240"/>
              <w:spacing w:after="0"/>
              <w:rPr>
                <w:sz w:val="20"/>
                <w:szCs w:val="20"/>
                <w:color w:val="auto"/>
              </w:rPr>
            </w:pPr>
            <w:r>
              <w:rPr>
                <w:rFonts w:ascii="Calibri" w:cs="Calibri" w:eastAsia="Calibri" w:hAnsi="Calibri"/>
                <w:sz w:val="15"/>
                <w:szCs w:val="15"/>
                <w:color w:val="auto"/>
              </w:rPr>
              <w:t>Assisted tax preparaton</w:t>
            </w:r>
          </w:p>
        </w:tc>
        <w:tc>
          <w:tcPr>
            <w:tcW w:w="360" w:type="dxa"/>
            <w:vAlign w:val="bottom"/>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1,534,825</w:t>
            </w:r>
          </w:p>
        </w:tc>
        <w:tc>
          <w:tcPr>
            <w:tcW w:w="100" w:type="dxa"/>
            <w:vAlign w:val="bottom"/>
          </w:tcPr>
          <w:p>
            <w:pPr>
              <w:spacing w:after="0"/>
              <w:rPr>
                <w:sz w:val="16"/>
                <w:szCs w:val="16"/>
                <w:color w:val="auto"/>
              </w:rPr>
            </w:pPr>
          </w:p>
        </w:tc>
        <w:tc>
          <w:tcPr>
            <w:tcW w:w="360" w:type="dxa"/>
            <w:vAlign w:val="bottom"/>
          </w:tcPr>
          <w:p>
            <w:pPr>
              <w:jc w:val="right"/>
              <w:ind w:right="183"/>
              <w:spacing w:after="0"/>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1,453,049</w:t>
            </w:r>
          </w:p>
        </w:tc>
        <w:tc>
          <w:tcPr>
            <w:tcW w:w="8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81,776</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5.6 %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Royaltes</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141,915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150,163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(8,248)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(5.5)%</w:t>
            </w:r>
          </w:p>
        </w:tc>
      </w:tr>
      <w:tr>
        <w:trPr>
          <w:trHeight w:val="184"/>
        </w:trPr>
        <w:tc>
          <w:tcPr>
            <w:tcW w:w="5660" w:type="dxa"/>
            <w:vAlign w:val="bottom"/>
            <w:gridSpan w:val="2"/>
          </w:tcPr>
          <w:p>
            <w:pPr>
              <w:ind w:left="220"/>
              <w:spacing w:after="0"/>
              <w:rPr>
                <w:sz w:val="20"/>
                <w:szCs w:val="20"/>
                <w:color w:val="auto"/>
              </w:rPr>
            </w:pPr>
            <w:r>
              <w:rPr>
                <w:rFonts w:ascii="Calibri" w:cs="Calibri" w:eastAsia="Calibri" w:hAnsi="Calibri"/>
                <w:sz w:val="15"/>
                <w:szCs w:val="15"/>
                <w:color w:val="auto"/>
              </w:rPr>
              <w:t>DIY tax preparaton</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198,570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167,022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31,548</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18.9 %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Refund Transfers</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118,937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117,384</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1,553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1.3 %</w:t>
            </w:r>
          </w:p>
        </w:tc>
      </w:tr>
      <w:tr>
        <w:trPr>
          <w:trHeight w:val="184"/>
        </w:trPr>
        <w:tc>
          <w:tcPr>
            <w:tcW w:w="5660" w:type="dxa"/>
            <w:vAlign w:val="bottom"/>
            <w:gridSpan w:val="2"/>
          </w:tcPr>
          <w:p>
            <w:pPr>
              <w:ind w:left="220"/>
              <w:spacing w:after="0"/>
              <w:rPr>
                <w:sz w:val="20"/>
                <w:szCs w:val="20"/>
                <w:color w:val="auto"/>
              </w:rPr>
            </w:pPr>
            <w:r>
              <w:rPr>
                <w:rFonts w:ascii="Calibri" w:cs="Calibri" w:eastAsia="Calibri" w:hAnsi="Calibri"/>
                <w:sz w:val="15"/>
                <w:szCs w:val="15"/>
                <w:color w:val="auto"/>
              </w:rPr>
              <w:t>Peace of Mind® Extended Service Plan</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16,813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16,750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63</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0.4 %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Tax Identty Shield®</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7,536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8,720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(1,184)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(13.6)%</w:t>
            </w:r>
          </w:p>
        </w:tc>
      </w:tr>
      <w:tr>
        <w:trPr>
          <w:trHeight w:val="184"/>
        </w:trPr>
        <w:tc>
          <w:tcPr>
            <w:tcW w:w="5660" w:type="dxa"/>
            <w:vAlign w:val="bottom"/>
            <w:gridSpan w:val="2"/>
          </w:tcPr>
          <w:p>
            <w:pPr>
              <w:ind w:left="240"/>
              <w:spacing w:after="0"/>
              <w:rPr>
                <w:sz w:val="20"/>
                <w:szCs w:val="20"/>
                <w:color w:val="auto"/>
              </w:rPr>
            </w:pPr>
            <w:r>
              <w:rPr>
                <w:rFonts w:ascii="Calibri" w:cs="Calibri" w:eastAsia="Calibri" w:hAnsi="Calibri"/>
                <w:sz w:val="15"/>
                <w:szCs w:val="15"/>
                <w:color w:val="auto"/>
              </w:rPr>
              <w:t>Other</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12,065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10,972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1,093</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10.0 %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660" w:type="dxa"/>
            <w:vAlign w:val="bottom"/>
            <w:tcBorders>
              <w:bottom w:val="single" w:sz="8" w:color="CCEEFF"/>
            </w:tcBorders>
            <w:gridSpan w:val="2"/>
            <w:shd w:val="clear" w:color="auto" w:fill="CCEEFF"/>
          </w:tcPr>
          <w:p>
            <w:pPr>
              <w:ind w:left="340"/>
              <w:spacing w:after="0" w:line="173" w:lineRule="exact"/>
              <w:rPr>
                <w:sz w:val="20"/>
                <w:szCs w:val="20"/>
                <w:color w:val="auto"/>
              </w:rPr>
            </w:pPr>
            <w:r>
              <w:rPr>
                <w:rFonts w:ascii="Calibri" w:cs="Calibri" w:eastAsia="Calibri" w:hAnsi="Calibri"/>
                <w:sz w:val="15"/>
                <w:szCs w:val="15"/>
                <w:color w:val="auto"/>
              </w:rPr>
              <w:t>Total U.S. tax preparaton and related services</w:t>
            </w: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2,030,661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1,924,060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106,601</w:t>
            </w:r>
          </w:p>
        </w:tc>
        <w:tc>
          <w:tcPr>
            <w:tcW w:w="15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5.5 %</w:t>
            </w: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Financial services: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gridSpan w:val="2"/>
            <w:shd w:val="clear" w:color="auto" w:fill="CCEEFF"/>
          </w:tcPr>
          <w:p>
            <w:pPr>
              <w:ind w:left="240"/>
              <w:spacing w:after="0" w:line="206" w:lineRule="exact"/>
              <w:rPr>
                <w:sz w:val="20"/>
                <w:szCs w:val="20"/>
                <w:color w:val="auto"/>
              </w:rPr>
            </w:pPr>
            <w:r>
              <w:rPr>
                <w:rFonts w:ascii="Calibri" w:cs="Calibri" w:eastAsia="Calibri" w:hAnsi="Calibri"/>
                <w:sz w:val="15"/>
                <w:szCs w:val="15"/>
                <w:color w:val="auto"/>
              </w:rPr>
              <w:t>Emerald Card® and Spruce</w:t>
            </w:r>
            <w:r>
              <w:rPr>
                <w:rFonts w:ascii="Calibri" w:cs="Calibri" w:eastAsia="Calibri" w:hAnsi="Calibri"/>
                <w:sz w:val="20"/>
                <w:szCs w:val="20"/>
                <w:color w:val="auto"/>
                <w:vertAlign w:val="superscript"/>
              </w:rPr>
              <w:t>SM</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41,160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44,358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(3,198)</w:t>
            </w:r>
          </w:p>
        </w:tc>
        <w:tc>
          <w:tcPr>
            <w:tcW w:w="1500" w:type="dxa"/>
            <w:vAlign w:val="bottom"/>
            <w:gridSpan w:val="2"/>
            <w:shd w:val="clear" w:color="auto" w:fill="CCEEFF"/>
          </w:tcPr>
          <w:p>
            <w:pPr>
              <w:jc w:val="right"/>
              <w:spacing w:after="0"/>
              <w:rPr>
                <w:sz w:val="20"/>
                <w:szCs w:val="20"/>
                <w:color w:val="auto"/>
              </w:rPr>
            </w:pPr>
            <w:r>
              <w:rPr>
                <w:rFonts w:ascii="Calibri" w:cs="Calibri" w:eastAsia="Calibri" w:hAnsi="Calibri"/>
                <w:sz w:val="15"/>
                <w:szCs w:val="15"/>
                <w:color w:val="auto"/>
              </w:rPr>
              <w:t>(7.2)%</w:t>
            </w:r>
          </w:p>
        </w:tc>
      </w:tr>
      <w:tr>
        <w:trPr>
          <w:trHeight w:val="184"/>
        </w:trPr>
        <w:tc>
          <w:tcPr>
            <w:tcW w:w="5660" w:type="dxa"/>
            <w:vAlign w:val="bottom"/>
            <w:gridSpan w:val="2"/>
          </w:tcPr>
          <w:p>
            <w:pPr>
              <w:ind w:left="220"/>
              <w:spacing w:after="0"/>
              <w:rPr>
                <w:sz w:val="20"/>
                <w:szCs w:val="20"/>
                <w:color w:val="auto"/>
              </w:rPr>
            </w:pPr>
            <w:r>
              <w:rPr>
                <w:rFonts w:ascii="Calibri" w:cs="Calibri" w:eastAsia="Calibri" w:hAnsi="Calibri"/>
                <w:sz w:val="15"/>
                <w:szCs w:val="15"/>
                <w:color w:val="auto"/>
              </w:rPr>
              <w:t>Interest and fee income on Emerald Advance®</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21,169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33,750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(12,581)</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(37.3)%</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66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fnancial services</w:t>
            </w: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62,329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78,108</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(15,779)</w:t>
            </w:r>
          </w:p>
        </w:tc>
        <w:tc>
          <w:tcPr>
            <w:tcW w:w="15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(20.2)%</w:t>
            </w: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Internatonal</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68,264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69,417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(1,153)</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(1.7)%</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Wave</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23,580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22,064</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1,516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6.9 %</w:t>
            </w:r>
          </w:p>
        </w:tc>
      </w:tr>
      <w:tr>
        <w:trPr>
          <w:trHeight w:val="177"/>
        </w:trPr>
        <w:tc>
          <w:tcPr>
            <w:tcW w:w="5660" w:type="dxa"/>
            <w:vAlign w:val="bottom"/>
            <w:gridSpan w:val="2"/>
          </w:tcPr>
          <w:p>
            <w:pPr>
              <w:ind w:left="420"/>
              <w:spacing w:after="0" w:line="173" w:lineRule="exact"/>
              <w:rPr>
                <w:sz w:val="20"/>
                <w:szCs w:val="20"/>
                <w:color w:val="auto"/>
              </w:rPr>
            </w:pPr>
            <w:r>
              <w:rPr>
                <w:rFonts w:ascii="Calibri" w:cs="Calibri" w:eastAsia="Calibri" w:hAnsi="Calibri"/>
                <w:sz w:val="15"/>
                <w:szCs w:val="15"/>
                <w:color w:val="auto"/>
              </w:rPr>
              <w:t>Total revenues</w:t>
            </w: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2,184,834</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2,093,649</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91,185</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4.4 %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6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Compensaton and benefts:</w:t>
            </w:r>
          </w:p>
        </w:tc>
        <w:tc>
          <w:tcPr>
            <w:tcW w:w="3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Field wages</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510,299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480,779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(29,520)</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(6.1)%</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 wages</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75,356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73,503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(1,853)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(2.5)%</w:t>
            </w: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Benefts and other compensaton</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99,653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100,368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715</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0.7 %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685,308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654,650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(30,658)</w:t>
            </w:r>
          </w:p>
        </w:tc>
        <w:tc>
          <w:tcPr>
            <w:tcW w:w="15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(4.7)%</w:t>
            </w:r>
          </w:p>
        </w:tc>
      </w:tr>
      <w:tr>
        <w:trPr>
          <w:trHeight w:val="184"/>
        </w:trPr>
        <w:tc>
          <w:tcPr>
            <w:tcW w:w="5660" w:type="dxa"/>
            <w:vAlign w:val="bottom"/>
            <w:gridSpan w:val="2"/>
          </w:tcPr>
          <w:p>
            <w:pPr>
              <w:ind w:left="20"/>
              <w:spacing w:after="0"/>
              <w:rPr>
                <w:sz w:val="20"/>
                <w:szCs w:val="20"/>
                <w:color w:val="auto"/>
              </w:rPr>
            </w:pPr>
            <w:r>
              <w:rPr>
                <w:rFonts w:ascii="Calibri" w:cs="Calibri" w:eastAsia="Calibri" w:hAnsi="Calibri"/>
                <w:sz w:val="15"/>
                <w:szCs w:val="15"/>
                <w:color w:val="auto"/>
              </w:rPr>
              <w:t>Occupancy</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119,364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118,111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(1,253)</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(1.1)%</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Marketng and advertsing</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194,349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210,508</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16,159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7.7 %</w:t>
            </w:r>
          </w:p>
        </w:tc>
      </w:tr>
      <w:tr>
        <w:trPr>
          <w:trHeight w:val="184"/>
        </w:trPr>
        <w:tc>
          <w:tcPr>
            <w:tcW w:w="5660" w:type="dxa"/>
            <w:vAlign w:val="bottom"/>
            <w:gridSpan w:val="2"/>
          </w:tcPr>
          <w:p>
            <w:pPr>
              <w:ind w:left="20"/>
              <w:spacing w:after="0"/>
              <w:rPr>
                <w:sz w:val="20"/>
                <w:szCs w:val="20"/>
                <w:color w:val="auto"/>
              </w:rPr>
            </w:pPr>
            <w:r>
              <w:rPr>
                <w:rFonts w:ascii="Calibri" w:cs="Calibri" w:eastAsia="Calibri" w:hAnsi="Calibri"/>
                <w:sz w:val="15"/>
                <w:szCs w:val="15"/>
                <w:color w:val="auto"/>
              </w:rPr>
              <w:t>Depreciaton and amortzaton</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30,672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32,313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1,641</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5.1 %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Bad debt</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41,008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34,273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(6,735)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(19.7)%</w:t>
            </w:r>
          </w:p>
        </w:tc>
      </w:tr>
      <w:tr>
        <w:trPr>
          <w:trHeight w:val="184"/>
        </w:trPr>
        <w:tc>
          <w:tcPr>
            <w:tcW w:w="5660" w:type="dxa"/>
            <w:vAlign w:val="bottom"/>
            <w:gridSpan w:val="2"/>
          </w:tcPr>
          <w:p>
            <w:pPr>
              <w:ind w:left="20"/>
              <w:spacing w:after="0"/>
              <w:rPr>
                <w:sz w:val="20"/>
                <w:szCs w:val="20"/>
                <w:color w:val="auto"/>
              </w:rPr>
            </w:pPr>
            <w:r>
              <w:rPr>
                <w:rFonts w:ascii="Calibri" w:cs="Calibri" w:eastAsia="Calibri" w:hAnsi="Calibri"/>
                <w:sz w:val="15"/>
                <w:szCs w:val="15"/>
                <w:color w:val="auto"/>
              </w:rPr>
              <w:t>Other</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185,929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179,292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(6,637)</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(3.7)%</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66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operatng expenses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1,256,630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1,229,147</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(27,483)</w:t>
            </w:r>
          </w:p>
        </w:tc>
        <w:tc>
          <w:tcPr>
            <w:tcW w:w="15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(2.2)%</w:t>
            </w:r>
          </w:p>
        </w:tc>
      </w:tr>
      <w:tr>
        <w:trPr>
          <w:trHeight w:val="177"/>
        </w:trPr>
        <w:tc>
          <w:tcPr>
            <w:tcW w:w="56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Other income (expense), net</w:t>
            </w: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5,224</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13,224</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(8,000)</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(60.5)%</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Interest expense on borrowings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(26,070)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(22,298)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(3,772)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(16.9)%</w:t>
            </w:r>
          </w:p>
        </w:tc>
      </w:tr>
      <w:tr>
        <w:trPr>
          <w:trHeight w:val="177"/>
        </w:trPr>
        <w:tc>
          <w:tcPr>
            <w:tcW w:w="56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Pretax income</w:t>
            </w: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907,358</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855,428</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51,930</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6.1 %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Income taxes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215,772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209,351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(6,421)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(3.1)%</w:t>
            </w:r>
          </w:p>
        </w:tc>
      </w:tr>
      <w:tr>
        <w:trPr>
          <w:trHeight w:val="177"/>
        </w:trPr>
        <w:tc>
          <w:tcPr>
            <w:tcW w:w="56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income from contnuing operatons</w:t>
            </w: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691,586</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646,077</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45,509</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7.0 %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 from discontnued operatons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(849)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(2,648)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1,799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67.9 %</w:t>
            </w:r>
          </w:p>
        </w:tc>
      </w:tr>
      <w:tr>
        <w:trPr>
          <w:trHeight w:val="177"/>
        </w:trPr>
        <w:tc>
          <w:tcPr>
            <w:tcW w:w="56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income</w:t>
            </w: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690,737</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643,429</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47,308</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7.4 %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6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DILUTED EARNINGS PER SHARE</w:t>
            </w:r>
          </w:p>
        </w:tc>
        <w:tc>
          <w:tcPr>
            <w:tcW w:w="3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Contnuing operatons</w:t>
            </w:r>
          </w:p>
        </w:tc>
        <w:tc>
          <w:tcPr>
            <w:tcW w:w="360" w:type="dxa"/>
            <w:vAlign w:val="bottom"/>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4.87</w:t>
            </w:r>
          </w:p>
        </w:tc>
        <w:tc>
          <w:tcPr>
            <w:tcW w:w="100" w:type="dxa"/>
            <w:vAlign w:val="bottom"/>
          </w:tcPr>
          <w:p>
            <w:pPr>
              <w:spacing w:after="0"/>
              <w:rPr>
                <w:sz w:val="16"/>
                <w:szCs w:val="16"/>
                <w:color w:val="auto"/>
              </w:rPr>
            </w:pPr>
          </w:p>
        </w:tc>
        <w:tc>
          <w:tcPr>
            <w:tcW w:w="360" w:type="dxa"/>
            <w:vAlign w:val="bottom"/>
          </w:tcPr>
          <w:p>
            <w:pPr>
              <w:jc w:val="right"/>
              <w:ind w:right="183"/>
              <w:spacing w:after="0"/>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4.14</w:t>
            </w:r>
          </w:p>
        </w:tc>
        <w:tc>
          <w:tcPr>
            <w:tcW w:w="8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0.73</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17.6 %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Discontnued operatons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(0.01)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50.0 %</w:t>
            </w:r>
          </w:p>
        </w:tc>
      </w:tr>
      <w:tr>
        <w:trPr>
          <w:trHeight w:val="177"/>
        </w:trPr>
        <w:tc>
          <w:tcPr>
            <w:tcW w:w="5660" w:type="dxa"/>
            <w:vAlign w:val="bottom"/>
            <w:gridSpan w:val="2"/>
          </w:tcPr>
          <w:p>
            <w:pPr>
              <w:ind w:left="140"/>
              <w:spacing w:after="0" w:line="173" w:lineRule="exact"/>
              <w:rPr>
                <w:sz w:val="20"/>
                <w:szCs w:val="20"/>
                <w:color w:val="auto"/>
              </w:rPr>
            </w:pPr>
            <w:r>
              <w:rPr>
                <w:rFonts w:ascii="Calibri" w:cs="Calibri" w:eastAsia="Calibri" w:hAnsi="Calibri"/>
                <w:sz w:val="15"/>
                <w:szCs w:val="15"/>
                <w:color w:val="auto"/>
              </w:rPr>
              <w:t>Consolidated</w:t>
            </w: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4.86</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4.12</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0.74</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18.0 %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66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5"/>
                <w:szCs w:val="15"/>
                <w:color w:val="auto"/>
              </w:rPr>
              <w:t>Adjusted diluted EPS</w:t>
            </w:r>
            <w:r>
              <w:rPr>
                <w:rFonts w:ascii="Calibri" w:cs="Calibri" w:eastAsia="Calibri" w:hAnsi="Calibri"/>
                <w:sz w:val="20"/>
                <w:szCs w:val="20"/>
                <w:color w:val="auto"/>
                <w:vertAlign w:val="superscript"/>
              </w:rPr>
              <w:t>(1)</w:t>
            </w:r>
          </w:p>
        </w:tc>
        <w:tc>
          <w:tcPr>
            <w:tcW w:w="360" w:type="dxa"/>
            <w:vAlign w:val="bottom"/>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4.94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Calibri" w:cs="Calibri" w:eastAsia="Calibri" w:hAnsi="Calibri"/>
                <w:sz w:val="15"/>
                <w:szCs w:val="15"/>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4.20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0.74</w:t>
            </w:r>
          </w:p>
        </w:tc>
        <w:tc>
          <w:tcPr>
            <w:tcW w:w="1500" w:type="dxa"/>
            <w:vAlign w:val="bottom"/>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17.6 %</w:t>
            </w:r>
          </w:p>
        </w:tc>
      </w:tr>
      <w:tr>
        <w:trPr>
          <w:trHeight w:val="238"/>
        </w:trPr>
        <w:tc>
          <w:tcPr>
            <w:tcW w:w="5660" w:type="dxa"/>
            <w:vAlign w:val="bottom"/>
            <w:tcBorders>
              <w:bottom w:val="single" w:sz="8" w:color="CCEEFF"/>
            </w:tcBorders>
            <w:gridSpan w:val="2"/>
          </w:tcPr>
          <w:p>
            <w:pPr>
              <w:ind w:left="20"/>
              <w:spacing w:after="0" w:line="206" w:lineRule="exact"/>
              <w:rPr>
                <w:sz w:val="20"/>
                <w:szCs w:val="20"/>
                <w:color w:val="auto"/>
              </w:rPr>
            </w:pPr>
            <w:r>
              <w:rPr>
                <w:rFonts w:ascii="Calibri" w:cs="Calibri" w:eastAsia="Calibri" w:hAnsi="Calibri"/>
                <w:sz w:val="15"/>
                <w:szCs w:val="15"/>
                <w:color w:val="auto"/>
              </w:rPr>
              <w:t xml:space="preserve">EBITDA </w:t>
            </w:r>
            <w:r>
              <w:rPr>
                <w:rFonts w:ascii="Calibri" w:cs="Calibri" w:eastAsia="Calibri" w:hAnsi="Calibri"/>
                <w:sz w:val="20"/>
                <w:szCs w:val="20"/>
                <w:color w:val="auto"/>
                <w:vertAlign w:val="superscript"/>
              </w:rPr>
              <w:t>(1)</w:t>
            </w:r>
          </w:p>
        </w:tc>
        <w:tc>
          <w:tcPr>
            <w:tcW w:w="360" w:type="dxa"/>
            <w:vAlign w:val="bottom"/>
            <w:tcBorders>
              <w:bottom w:val="single" w:sz="8" w:color="CCEEFF"/>
            </w:tcBorders>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94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b w:val="1"/>
                <w:bCs w:val="1"/>
                <w:color w:val="auto"/>
              </w:rPr>
              <w:t>964,100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jc w:val="right"/>
              <w:ind w:right="183"/>
              <w:spacing w:after="0"/>
              <w:rPr>
                <w:sz w:val="20"/>
                <w:szCs w:val="20"/>
                <w:color w:val="auto"/>
              </w:rPr>
            </w:pPr>
            <w:r>
              <w:rPr>
                <w:rFonts w:ascii="Calibri" w:cs="Calibri" w:eastAsia="Calibri" w:hAnsi="Calibri"/>
                <w:sz w:val="15"/>
                <w:szCs w:val="15"/>
                <w:color w:val="auto"/>
              </w:rPr>
              <w:t>$</w:t>
            </w:r>
          </w:p>
        </w:tc>
        <w:tc>
          <w:tcPr>
            <w:tcW w:w="94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910,039</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54,061</w:t>
            </w:r>
          </w:p>
        </w:tc>
        <w:tc>
          <w:tcPr>
            <w:tcW w:w="150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15"/>
                <w:szCs w:val="15"/>
                <w:color w:val="auto"/>
              </w:rPr>
              <w:t>5.9 %</w:t>
            </w:r>
          </w:p>
        </w:tc>
      </w:tr>
      <w:tr>
        <w:trPr>
          <w:trHeight w:val="20"/>
        </w:trPr>
        <w:tc>
          <w:tcPr>
            <w:tcW w:w="5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220" w:hanging="217"/>
        <w:spacing w:after="0"/>
        <w:tabs>
          <w:tab w:leader="none" w:pos="220" w:val="left"/>
        </w:tabs>
        <w:numPr>
          <w:ilvl w:val="0"/>
          <w:numId w:val="14"/>
        </w:numPr>
        <w:rPr>
          <w:rFonts w:ascii="Calibri" w:cs="Calibri" w:eastAsia="Calibri" w:hAnsi="Calibri"/>
          <w:sz w:val="18"/>
          <w:szCs w:val="18"/>
          <w:color w:val="auto"/>
          <w:vertAlign w:val="superscript"/>
        </w:rPr>
      </w:pPr>
      <w:r>
        <w:rPr>
          <w:rFonts w:ascii="Calibri" w:cs="Calibri" w:eastAsia="Calibri" w:hAnsi="Calibri"/>
          <w:sz w:val="14"/>
          <w:szCs w:val="14"/>
          <w:color w:val="auto"/>
        </w:rPr>
        <w:t>All non-GAAP measures are results from contnuing operatons. See "</w:t>
      </w:r>
      <w:r>
        <w:rPr>
          <w:rFonts w:ascii="Calibri" w:cs="Calibri" w:eastAsia="Calibri" w:hAnsi="Calibri"/>
          <w:sz w:val="14"/>
          <w:szCs w:val="14"/>
          <w:u w:val="single" w:color="auto"/>
          <w:color w:val="0000FF"/>
        </w:rPr>
        <w:t>Non-GAAP Financial Informaton</w:t>
      </w:r>
      <w:r>
        <w:rPr>
          <w:rFonts w:ascii="Calibri" w:cs="Calibri" w:eastAsia="Calibri" w:hAnsi="Calibri"/>
          <w:sz w:val="14"/>
          <w:szCs w:val="14"/>
          <w:color w:val="auto"/>
        </w:rPr>
        <w:t>" at the end of this item for a reconciliaton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3"/>
          <w:szCs w:val="13"/>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Three months ended March 31, 2024 compared to March 31, 2023</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Revenues increased $91.2 million, or 4.4%, from the prior year. U.S. assisted tax preparaton revenues increased $81.8 million, or 5.6%, due to a 4.4% increase in net average charge combined with higher company-owned tax return volumes in the current year. U.S. royalty revenue decreased $8.2 million, or 5.5%, due to lower franchise tax return volumes. During the year we purchased franchise ofces which results in increasing tax preparaton revenues and decreasing royaltes as the revenues and returns become company-owned afer the acquisiton. For the three months ended March 31, 2024 our total assisted tax return volume, which includes both company-owned and franchise ofces, decreased 1.1% from the prior year.</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U.S. DIY tax preparaton revenues increased $31.5 million, or 18.9%, primarily due to an 8.9% increase in online paid returns combined with a 10.3% increase in paid net average charge compared to the prior year.</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Interest and fee income on Emerald Advance® (EA) decreased $12.6 million, or 37.3%, due to lower customer fees under the new EA term loan, partally ofset by higher interest income in the current year due to the increase in EA loans and a later due date for the loans than the prior year.</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Total operatng expenses increased $27.5 million, or 2.2%, from the prior year. Field wages increased $29.5 million, or 6.1%, due to higher wages in the current year primarily due to the increase in company-owned volumes. Marketng and advertsing expense decreased $16.2 million, or 7.7%, primarily due to the tming of television advertsing in the current year compared to the prior year. Bad debt expense increased $6.7 million, or 19.7%, primarily due to an increase in Refund Transfers and higher bad debt rates in the current year.</w:t>
      </w:r>
    </w:p>
    <w:p>
      <w:pPr>
        <w:spacing w:after="0" w:line="102"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Other operatng expenses increased $6.6 million, or 3.7%. The components of other expenses are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62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562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Three months ended March 31,</w:t>
            </w:r>
          </w:p>
        </w:tc>
        <w:tc>
          <w:tcPr>
            <w:tcW w:w="42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8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77"/>
        </w:trPr>
        <w:tc>
          <w:tcPr>
            <w:tcW w:w="554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Consultng and outsourced services</w:t>
            </w:r>
          </w:p>
        </w:tc>
        <w:tc>
          <w:tcPr>
            <w:tcW w:w="80" w:type="dxa"/>
            <w:vAlign w:val="bottom"/>
          </w:tcPr>
          <w:p>
            <w:pPr>
              <w:spacing w:after="0"/>
              <w:rPr>
                <w:sz w:val="15"/>
                <w:szCs w:val="15"/>
                <w:color w:val="auto"/>
              </w:rPr>
            </w:pPr>
          </w:p>
        </w:tc>
        <w:tc>
          <w:tcPr>
            <w:tcW w:w="420" w:type="dxa"/>
            <w:vAlign w:val="bottom"/>
            <w:tcBorders>
              <w:top w:val="single" w:sz="8" w:color="auto"/>
            </w:tcBorders>
          </w:tcPr>
          <w:p>
            <w:pPr>
              <w:jc w:val="right"/>
              <w:ind w:right="243"/>
              <w:spacing w:after="0" w:line="177" w:lineRule="exact"/>
              <w:rPr>
                <w:sz w:val="20"/>
                <w:szCs w:val="20"/>
                <w:color w:val="auto"/>
              </w:rPr>
            </w:pPr>
            <w:r>
              <w:rPr>
                <w:rFonts w:ascii="Calibri" w:cs="Calibri" w:eastAsia="Calibri" w:hAnsi="Calibri"/>
                <w:sz w:val="15"/>
                <w:szCs w:val="15"/>
                <w:b w:val="1"/>
                <w:bCs w:val="1"/>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37,896</w:t>
            </w:r>
          </w:p>
        </w:tc>
        <w:tc>
          <w:tcPr>
            <w:tcW w:w="80" w:type="dxa"/>
            <w:vAlign w:val="bottom"/>
          </w:tcPr>
          <w:p>
            <w:pPr>
              <w:spacing w:after="0"/>
              <w:rPr>
                <w:sz w:val="15"/>
                <w:szCs w:val="15"/>
                <w:color w:val="auto"/>
              </w:rPr>
            </w:pPr>
          </w:p>
        </w:tc>
        <w:tc>
          <w:tcPr>
            <w:tcW w:w="420" w:type="dxa"/>
            <w:vAlign w:val="bottom"/>
            <w:tcBorders>
              <w:top w:val="single" w:sz="8" w:color="auto"/>
            </w:tcBorders>
          </w:tcPr>
          <w:p>
            <w:pPr>
              <w:jc w:val="right"/>
              <w:ind w:right="243"/>
              <w:spacing w:after="0" w:line="177" w:lineRule="exact"/>
              <w:rPr>
                <w:sz w:val="20"/>
                <w:szCs w:val="20"/>
                <w:color w:val="auto"/>
              </w:rPr>
            </w:pPr>
            <w:r>
              <w:rPr>
                <w:rFonts w:ascii="Calibri" w:cs="Calibri" w:eastAsia="Calibri" w:hAnsi="Calibri"/>
                <w:sz w:val="15"/>
                <w:szCs w:val="15"/>
                <w:color w:val="auto"/>
              </w:rPr>
              <w:t>$</w:t>
            </w: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42,130</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4,234</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10.0 %</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Bank partner fees</w:t>
            </w: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29,681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24,778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(4,903)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(19.8)%</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Client claims and refunds</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b w:val="1"/>
                <w:bCs w:val="1"/>
                <w:color w:val="auto"/>
              </w:rPr>
              <w:t>8,117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8,787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670</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7.6 %</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Employee and travel expenses</w:t>
            </w: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8,368</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9,906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1,538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15.5 %</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Technology-related expenses</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b w:val="1"/>
                <w:bCs w:val="1"/>
                <w:color w:val="auto"/>
              </w:rPr>
              <w:t>30,623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26,385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(4,238)</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(16.1)%</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Credit card/bank charges</w:t>
            </w: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36,702</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34,159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(2,543)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(7.4)%</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Insurance</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b w:val="1"/>
                <w:bCs w:val="1"/>
                <w:color w:val="auto"/>
              </w:rPr>
              <w:t>2,645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2,891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246</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8.5 %</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Legal fees and setlements</w:t>
            </w:r>
          </w:p>
        </w:tc>
        <w:tc>
          <w:tcPr>
            <w:tcW w:w="4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11,286</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2,685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(8,601)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(320.3)%</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Supplies</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b w:val="1"/>
                <w:bCs w:val="1"/>
                <w:color w:val="auto"/>
              </w:rPr>
              <w:t>11,231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15,956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4,725</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29.6 %</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w:t>
            </w:r>
          </w:p>
        </w:tc>
        <w:tc>
          <w:tcPr>
            <w:tcW w:w="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9,380</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11,615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2,235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19.2 %</w:t>
            </w:r>
          </w:p>
        </w:tc>
      </w:tr>
      <w:tr>
        <w:trPr>
          <w:trHeight w:val="177"/>
        </w:trPr>
        <w:tc>
          <w:tcPr>
            <w:tcW w:w="5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jc w:val="right"/>
              <w:ind w:right="243"/>
              <w:spacing w:after="0" w:line="177" w:lineRule="exact"/>
              <w:rPr>
                <w:sz w:val="20"/>
                <w:szCs w:val="20"/>
                <w:color w:val="auto"/>
              </w:rPr>
            </w:pPr>
            <w:r>
              <w:rPr>
                <w:rFonts w:ascii="Calibri" w:cs="Calibri" w:eastAsia="Calibri" w:hAnsi="Calibri"/>
                <w:sz w:val="15"/>
                <w:szCs w:val="15"/>
                <w:b w:val="1"/>
                <w:bCs w:val="1"/>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185,929</w:t>
            </w:r>
          </w:p>
        </w:tc>
        <w:tc>
          <w:tcPr>
            <w:tcW w:w="80" w:type="dxa"/>
            <w:vAlign w:val="bottom"/>
          </w:tcPr>
          <w:p>
            <w:pPr>
              <w:spacing w:after="0"/>
              <w:rPr>
                <w:sz w:val="15"/>
                <w:szCs w:val="15"/>
                <w:color w:val="auto"/>
              </w:rPr>
            </w:pPr>
          </w:p>
        </w:tc>
        <w:tc>
          <w:tcPr>
            <w:tcW w:w="420" w:type="dxa"/>
            <w:vAlign w:val="bottom"/>
            <w:tcBorders>
              <w:top w:val="single" w:sz="8" w:color="auto"/>
            </w:tcBorders>
          </w:tcPr>
          <w:p>
            <w:pPr>
              <w:jc w:val="right"/>
              <w:ind w:right="243"/>
              <w:spacing w:after="0" w:line="177" w:lineRule="exact"/>
              <w:rPr>
                <w:sz w:val="20"/>
                <w:szCs w:val="20"/>
                <w:color w:val="auto"/>
              </w:rPr>
            </w:pPr>
            <w:r>
              <w:rPr>
                <w:rFonts w:ascii="Calibri" w:cs="Calibri" w:eastAsia="Calibri" w:hAnsi="Calibri"/>
                <w:sz w:val="15"/>
                <w:szCs w:val="15"/>
                <w:color w:val="auto"/>
              </w:rPr>
              <w:t>$</w:t>
            </w: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179,292</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(6,637)</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(3.7)%</w:t>
            </w:r>
          </w:p>
        </w:tc>
      </w:tr>
      <w:tr>
        <w:trPr>
          <w:trHeight w:val="59"/>
        </w:trPr>
        <w:tc>
          <w:tcPr>
            <w:tcW w:w="5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r>
      <w:tr>
        <w:trPr>
          <w:trHeight w:val="20"/>
        </w:trPr>
        <w:tc>
          <w:tcPr>
            <w:tcW w:w="55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420" w:type="dxa"/>
            <w:vAlign w:val="bottom"/>
            <w:tcBorders>
              <w:top w:val="single" w:sz="8" w:color="CCEEFF"/>
            </w:tcBorders>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Bank partner fees increased $4.9 million, or 19.8%, due to the increase in Refund Advance loans in the current year. Legal fees and setlements expense increased $8.6 million in the current year. Supplies expense decreased $4.7 million, or 29.6%, primarily due to lower ofce supplies purchased in the current year.</w:t>
      </w:r>
    </w:p>
    <w:p>
      <w:pPr>
        <w:spacing w:after="0" w:line="103"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Other income (expense), net decreased $8.0 million, or 60.5%, primarily due to income from a legal setlement in the prior year.</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We recorded income tax expense of $215.8 million in the current year compared to $209.4 million in the prior year. The efectve tax rate for the three months ended March 31, 2024, and 2023 was 23.8% and 24.5%, respectvely.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0" w:hanging="259"/>
        <w:spacing w:after="0"/>
        <w:tabs>
          <w:tab w:leader="none" w:pos="360" w:val="left"/>
        </w:tabs>
        <w:numPr>
          <w:ilvl w:val="0"/>
          <w:numId w:val="15"/>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696595</wp:posOffset>
            </wp:positionV>
            <wp:extent cx="70973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7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Consolidated - Financial Results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Calibri" w:cs="Calibri" w:eastAsia="Calibri" w:hAnsi="Calibri"/>
                <w:sz w:val="14"/>
                <w:szCs w:val="14"/>
                <w:color w:val="auto"/>
              </w:rPr>
              <w:t>(in 000s, except per share amounts)</w:t>
            </w:r>
          </w:p>
        </w:tc>
      </w:tr>
      <w:tr>
        <w:trPr>
          <w:trHeight w:val="26"/>
        </w:trPr>
        <w:tc>
          <w:tcPr>
            <w:tcW w:w="5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77"/>
        </w:trPr>
        <w:tc>
          <w:tcPr>
            <w:tcW w:w="552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Nine months ended March 31,</w:t>
            </w:r>
          </w:p>
        </w:tc>
        <w:tc>
          <w:tcPr>
            <w:tcW w:w="36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120" w:type="dxa"/>
            <w:vAlign w:val="bottom"/>
          </w:tcPr>
          <w:p>
            <w:pPr>
              <w:spacing w:after="0"/>
              <w:rPr>
                <w:sz w:val="15"/>
                <w:szCs w:val="15"/>
                <w:color w:val="auto"/>
              </w:rPr>
            </w:pPr>
          </w:p>
        </w:tc>
        <w:tc>
          <w:tcPr>
            <w:tcW w:w="14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5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7"/>
        </w:trPr>
        <w:tc>
          <w:tcPr>
            <w:tcW w:w="5400" w:type="dxa"/>
            <w:vAlign w:val="bottom"/>
          </w:tcPr>
          <w:p>
            <w:pPr>
              <w:ind w:left="20"/>
              <w:spacing w:after="0" w:line="177" w:lineRule="exact"/>
              <w:rPr>
                <w:sz w:val="20"/>
                <w:szCs w:val="20"/>
                <w:color w:val="auto"/>
              </w:rPr>
            </w:pPr>
            <w:r>
              <w:rPr>
                <w:rFonts w:ascii="Calibri" w:cs="Calibri" w:eastAsia="Calibri" w:hAnsi="Calibri"/>
                <w:sz w:val="15"/>
                <w:szCs w:val="15"/>
                <w:color w:val="auto"/>
              </w:rPr>
              <w:t>Revenues: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tax preparaton and related services:</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4"/>
        </w:trPr>
        <w:tc>
          <w:tcPr>
            <w:tcW w:w="5520" w:type="dxa"/>
            <w:vAlign w:val="bottom"/>
            <w:gridSpan w:val="2"/>
          </w:tcPr>
          <w:p>
            <w:pPr>
              <w:ind w:left="240"/>
              <w:spacing w:after="0"/>
              <w:rPr>
                <w:sz w:val="20"/>
                <w:szCs w:val="20"/>
                <w:color w:val="auto"/>
              </w:rPr>
            </w:pPr>
            <w:r>
              <w:rPr>
                <w:rFonts w:ascii="Calibri" w:cs="Calibri" w:eastAsia="Calibri" w:hAnsi="Calibri"/>
                <w:sz w:val="15"/>
                <w:szCs w:val="15"/>
                <w:color w:val="auto"/>
              </w:rPr>
              <w:t>Assisted tax preparaton</w:t>
            </w:r>
          </w:p>
        </w:tc>
        <w:tc>
          <w:tcPr>
            <w:tcW w:w="360" w:type="dxa"/>
            <w:vAlign w:val="bottom"/>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1,622,430</w:t>
            </w:r>
          </w:p>
        </w:tc>
        <w:tc>
          <w:tcPr>
            <w:tcW w:w="120" w:type="dxa"/>
            <w:vAlign w:val="bottom"/>
          </w:tcPr>
          <w:p>
            <w:pPr>
              <w:spacing w:after="0"/>
              <w:rPr>
                <w:sz w:val="16"/>
                <w:szCs w:val="16"/>
                <w:color w:val="auto"/>
              </w:rPr>
            </w:pPr>
          </w:p>
        </w:tc>
        <w:tc>
          <w:tcPr>
            <w:tcW w:w="360" w:type="dxa"/>
            <w:vAlign w:val="bottom"/>
          </w:tcPr>
          <w:p>
            <w:pPr>
              <w:jc w:val="right"/>
              <w:ind w:right="183"/>
              <w:spacing w:after="0"/>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1,530,577</w:t>
            </w:r>
          </w:p>
        </w:tc>
        <w:tc>
          <w:tcPr>
            <w:tcW w:w="12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91,853</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6.0 %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Royaltes</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153,070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161,337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(8,267)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(5.1)%</w:t>
            </w:r>
          </w:p>
        </w:tc>
      </w:tr>
      <w:tr>
        <w:trPr>
          <w:trHeight w:val="184"/>
        </w:trPr>
        <w:tc>
          <w:tcPr>
            <w:tcW w:w="5520" w:type="dxa"/>
            <w:vAlign w:val="bottom"/>
            <w:gridSpan w:val="2"/>
          </w:tcPr>
          <w:p>
            <w:pPr>
              <w:ind w:left="220"/>
              <w:spacing w:after="0"/>
              <w:rPr>
                <w:sz w:val="20"/>
                <w:szCs w:val="20"/>
                <w:color w:val="auto"/>
              </w:rPr>
            </w:pPr>
            <w:r>
              <w:rPr>
                <w:rFonts w:ascii="Calibri" w:cs="Calibri" w:eastAsia="Calibri" w:hAnsi="Calibri"/>
                <w:sz w:val="15"/>
                <w:szCs w:val="15"/>
                <w:color w:val="auto"/>
              </w:rPr>
              <w:t>DIY tax preparaton</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215,529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182,330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33,199</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18.2 %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Refund Transfers</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120,892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120,210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682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0.6 %</w:t>
            </w:r>
          </w:p>
        </w:tc>
      </w:tr>
      <w:tr>
        <w:trPr>
          <w:trHeight w:val="184"/>
        </w:trPr>
        <w:tc>
          <w:tcPr>
            <w:tcW w:w="5520" w:type="dxa"/>
            <w:vAlign w:val="bottom"/>
            <w:gridSpan w:val="2"/>
          </w:tcPr>
          <w:p>
            <w:pPr>
              <w:ind w:left="220"/>
              <w:spacing w:after="0"/>
              <w:rPr>
                <w:sz w:val="20"/>
                <w:szCs w:val="20"/>
                <w:color w:val="auto"/>
              </w:rPr>
            </w:pPr>
            <w:r>
              <w:rPr>
                <w:rFonts w:ascii="Calibri" w:cs="Calibri" w:eastAsia="Calibri" w:hAnsi="Calibri"/>
                <w:sz w:val="15"/>
                <w:szCs w:val="15"/>
                <w:color w:val="auto"/>
              </w:rPr>
              <w:t>Peace of Mind® Extended Service Plan</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59,100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58,840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260</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0.4 %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Tax Identty Shield®</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16,810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19,237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(2,427)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(12.6)%</w:t>
            </w:r>
          </w:p>
        </w:tc>
      </w:tr>
      <w:tr>
        <w:trPr>
          <w:trHeight w:val="184"/>
        </w:trPr>
        <w:tc>
          <w:tcPr>
            <w:tcW w:w="5520" w:type="dxa"/>
            <w:vAlign w:val="bottom"/>
            <w:gridSpan w:val="2"/>
          </w:tcPr>
          <w:p>
            <w:pPr>
              <w:ind w:left="240"/>
              <w:spacing w:after="0"/>
              <w:rPr>
                <w:sz w:val="20"/>
                <w:szCs w:val="20"/>
                <w:color w:val="auto"/>
              </w:rPr>
            </w:pPr>
            <w:r>
              <w:rPr>
                <w:rFonts w:ascii="Calibri" w:cs="Calibri" w:eastAsia="Calibri" w:hAnsi="Calibri"/>
                <w:sz w:val="15"/>
                <w:szCs w:val="15"/>
                <w:color w:val="auto"/>
              </w:rPr>
              <w:t>Other</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32,637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28,845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3,792</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13.1 %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520" w:type="dxa"/>
            <w:vAlign w:val="bottom"/>
            <w:tcBorders>
              <w:bottom w:val="single" w:sz="8" w:color="CCEEFF"/>
            </w:tcBorders>
            <w:gridSpan w:val="2"/>
            <w:shd w:val="clear" w:color="auto" w:fill="CCEEFF"/>
          </w:tcPr>
          <w:p>
            <w:pPr>
              <w:ind w:left="340"/>
              <w:spacing w:after="0" w:line="173" w:lineRule="exact"/>
              <w:rPr>
                <w:sz w:val="20"/>
                <w:szCs w:val="20"/>
                <w:color w:val="auto"/>
              </w:rPr>
            </w:pPr>
            <w:r>
              <w:rPr>
                <w:rFonts w:ascii="Calibri" w:cs="Calibri" w:eastAsia="Calibri" w:hAnsi="Calibri"/>
                <w:sz w:val="15"/>
                <w:szCs w:val="15"/>
                <w:color w:val="auto"/>
              </w:rPr>
              <w:t>Total U.S. tax preparaton and related services</w:t>
            </w: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2,220,468</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2,101,376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119,092</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5.7 %</w:t>
            </w: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Financial services: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gridSpan w:val="2"/>
            <w:shd w:val="clear" w:color="auto" w:fill="CCEEFF"/>
          </w:tcPr>
          <w:p>
            <w:pPr>
              <w:ind w:left="240"/>
              <w:spacing w:after="0" w:line="206" w:lineRule="exact"/>
              <w:rPr>
                <w:sz w:val="20"/>
                <w:szCs w:val="20"/>
                <w:color w:val="auto"/>
              </w:rPr>
            </w:pPr>
            <w:r>
              <w:rPr>
                <w:rFonts w:ascii="Calibri" w:cs="Calibri" w:eastAsia="Calibri" w:hAnsi="Calibri"/>
                <w:sz w:val="15"/>
                <w:szCs w:val="15"/>
                <w:color w:val="auto"/>
              </w:rPr>
              <w:t>Emerald Card® and Spruce</w:t>
            </w:r>
            <w:r>
              <w:rPr>
                <w:rFonts w:ascii="Calibri" w:cs="Calibri" w:eastAsia="Calibri" w:hAnsi="Calibri"/>
                <w:sz w:val="20"/>
                <w:szCs w:val="20"/>
                <w:color w:val="auto"/>
                <w:vertAlign w:val="superscript"/>
              </w:rPr>
              <w:t>SM</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61,493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68,448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(6,955)</w:t>
            </w:r>
          </w:p>
        </w:tc>
        <w:tc>
          <w:tcPr>
            <w:tcW w:w="1520" w:type="dxa"/>
            <w:vAlign w:val="bottom"/>
            <w:gridSpan w:val="2"/>
            <w:shd w:val="clear" w:color="auto" w:fill="CCEEFF"/>
          </w:tcPr>
          <w:p>
            <w:pPr>
              <w:jc w:val="right"/>
              <w:spacing w:after="0"/>
              <w:rPr>
                <w:sz w:val="20"/>
                <w:szCs w:val="20"/>
                <w:color w:val="auto"/>
              </w:rPr>
            </w:pPr>
            <w:r>
              <w:rPr>
                <w:rFonts w:ascii="Calibri" w:cs="Calibri" w:eastAsia="Calibri" w:hAnsi="Calibri"/>
                <w:sz w:val="15"/>
                <w:szCs w:val="15"/>
                <w:color w:val="auto"/>
              </w:rPr>
              <w:t>(10.2)%</w:t>
            </w:r>
          </w:p>
        </w:tc>
      </w:tr>
      <w:tr>
        <w:trPr>
          <w:trHeight w:val="184"/>
        </w:trPr>
        <w:tc>
          <w:tcPr>
            <w:tcW w:w="5520" w:type="dxa"/>
            <w:vAlign w:val="bottom"/>
            <w:gridSpan w:val="2"/>
          </w:tcPr>
          <w:p>
            <w:pPr>
              <w:ind w:left="220"/>
              <w:spacing w:after="0"/>
              <w:rPr>
                <w:sz w:val="20"/>
                <w:szCs w:val="20"/>
                <w:color w:val="auto"/>
              </w:rPr>
            </w:pPr>
            <w:r>
              <w:rPr>
                <w:rFonts w:ascii="Calibri" w:cs="Calibri" w:eastAsia="Calibri" w:hAnsi="Calibri"/>
                <w:sz w:val="15"/>
                <w:szCs w:val="15"/>
                <w:color w:val="auto"/>
              </w:rPr>
              <w:t>Interest and fee income on Emerald Advance®</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36,702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47,267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(10,565)</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(22.4)%</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52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fnancial services</w:t>
            </w: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98,195</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115,715</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(17,520)</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(15.1)%</w:t>
            </w: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Internatonal</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158,398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156,297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2,101</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1.3 %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Wave</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70,656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66,651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4,005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6.0 %</w:t>
            </w:r>
          </w:p>
        </w:tc>
      </w:tr>
      <w:tr>
        <w:trPr>
          <w:trHeight w:val="177"/>
        </w:trPr>
        <w:tc>
          <w:tcPr>
            <w:tcW w:w="5520" w:type="dxa"/>
            <w:vAlign w:val="bottom"/>
            <w:gridSpan w:val="2"/>
          </w:tcPr>
          <w:p>
            <w:pPr>
              <w:ind w:left="420"/>
              <w:spacing w:after="0" w:line="173" w:lineRule="exact"/>
              <w:rPr>
                <w:sz w:val="20"/>
                <w:szCs w:val="20"/>
                <w:color w:val="auto"/>
              </w:rPr>
            </w:pPr>
            <w:r>
              <w:rPr>
                <w:rFonts w:ascii="Calibri" w:cs="Calibri" w:eastAsia="Calibri" w:hAnsi="Calibri"/>
                <w:sz w:val="15"/>
                <w:szCs w:val="15"/>
                <w:color w:val="auto"/>
              </w:rPr>
              <w:t>Total revenues</w:t>
            </w: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2,547,717</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2,440,039</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107,678</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4.4 %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52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Compensaton and benefts:</w:t>
            </w:r>
          </w:p>
        </w:tc>
        <w:tc>
          <w:tcPr>
            <w:tcW w:w="3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Field wages</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650,529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618,656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(31,873)</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(5.2)%</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 wages</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222,125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207,786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(14,339)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(6.9)%</w:t>
            </w: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Benefts and other compensaton</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170,964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169,477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(1,487)</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(0.9)%</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1,043,618</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995,919</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(47,699)</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(4.8)%</w:t>
            </w:r>
          </w:p>
        </w:tc>
      </w:tr>
      <w:tr>
        <w:trPr>
          <w:trHeight w:val="184"/>
        </w:trPr>
        <w:tc>
          <w:tcPr>
            <w:tcW w:w="5520" w:type="dxa"/>
            <w:vAlign w:val="bottom"/>
            <w:gridSpan w:val="2"/>
          </w:tcPr>
          <w:p>
            <w:pPr>
              <w:ind w:left="20"/>
              <w:spacing w:after="0"/>
              <w:rPr>
                <w:sz w:val="20"/>
                <w:szCs w:val="20"/>
                <w:color w:val="auto"/>
              </w:rPr>
            </w:pPr>
            <w:r>
              <w:rPr>
                <w:rFonts w:ascii="Calibri" w:cs="Calibri" w:eastAsia="Calibri" w:hAnsi="Calibri"/>
                <w:sz w:val="15"/>
                <w:szCs w:val="15"/>
                <w:color w:val="auto"/>
              </w:rPr>
              <w:t>Occupancy</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319,843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316,874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(2,969)</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(0.9)%</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Marketng and advertsing</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211,135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236,299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25,164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10.6 %</w:t>
            </w:r>
          </w:p>
        </w:tc>
      </w:tr>
      <w:tr>
        <w:trPr>
          <w:trHeight w:val="184"/>
        </w:trPr>
        <w:tc>
          <w:tcPr>
            <w:tcW w:w="5520" w:type="dxa"/>
            <w:vAlign w:val="bottom"/>
            <w:gridSpan w:val="2"/>
          </w:tcPr>
          <w:p>
            <w:pPr>
              <w:ind w:left="20"/>
              <w:spacing w:after="0"/>
              <w:rPr>
                <w:sz w:val="20"/>
                <w:szCs w:val="20"/>
                <w:color w:val="auto"/>
              </w:rPr>
            </w:pPr>
            <w:r>
              <w:rPr>
                <w:rFonts w:ascii="Calibri" w:cs="Calibri" w:eastAsia="Calibri" w:hAnsi="Calibri"/>
                <w:sz w:val="15"/>
                <w:szCs w:val="15"/>
                <w:color w:val="auto"/>
              </w:rPr>
              <w:t>Depreciaton and amortzaton</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91,004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98,660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7,656</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7.8 %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Bad debt</w:t>
            </w: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67,560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57,018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(10,542)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(18.5)%</w:t>
            </w:r>
          </w:p>
        </w:tc>
      </w:tr>
      <w:tr>
        <w:trPr>
          <w:trHeight w:val="184"/>
        </w:trPr>
        <w:tc>
          <w:tcPr>
            <w:tcW w:w="5520" w:type="dxa"/>
            <w:vAlign w:val="bottom"/>
            <w:gridSpan w:val="2"/>
          </w:tcPr>
          <w:p>
            <w:pPr>
              <w:ind w:left="20"/>
              <w:spacing w:after="0"/>
              <w:rPr>
                <w:sz w:val="20"/>
                <w:szCs w:val="20"/>
                <w:color w:val="auto"/>
              </w:rPr>
            </w:pPr>
            <w:r>
              <w:rPr>
                <w:rFonts w:ascii="Calibri" w:cs="Calibri" w:eastAsia="Calibri" w:hAnsi="Calibri"/>
                <w:sz w:val="15"/>
                <w:szCs w:val="15"/>
                <w:color w:val="auto"/>
              </w:rPr>
              <w:t>Other</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360,111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363,081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2,970</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0.8 %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52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operatng expenses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2,093,271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2,067,851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(25,420)</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(1.2)%</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Other income (expense), net</w:t>
            </w: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20,982</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21,020</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(38)</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(0.2)%</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Interest expense on borrowings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(63,304)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(57,107)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(6,197)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(10.9)%</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Pretax income</w:t>
            </w: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412,124</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336,101</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76,023</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22.6 %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Income taxes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72,527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78,254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5,727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7.3 %</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income from contnuing operatons</w:t>
            </w: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339,597</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257,847</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81,750</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31.7 %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 from discontnued operatons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(2,097)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(6,418)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4,321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67.3 %</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income</w:t>
            </w: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337,500</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251,429</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86,071</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34.2 %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52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DILUTED EARNINGS PER SHARE</w:t>
            </w:r>
          </w:p>
        </w:tc>
        <w:tc>
          <w:tcPr>
            <w:tcW w:w="3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Contnuing operatons</w:t>
            </w:r>
          </w:p>
        </w:tc>
        <w:tc>
          <w:tcPr>
            <w:tcW w:w="360" w:type="dxa"/>
            <w:vAlign w:val="bottom"/>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2.34</w:t>
            </w:r>
          </w:p>
        </w:tc>
        <w:tc>
          <w:tcPr>
            <w:tcW w:w="120" w:type="dxa"/>
            <w:vAlign w:val="bottom"/>
          </w:tcPr>
          <w:p>
            <w:pPr>
              <w:spacing w:after="0"/>
              <w:rPr>
                <w:sz w:val="16"/>
                <w:szCs w:val="16"/>
                <w:color w:val="auto"/>
              </w:rPr>
            </w:pPr>
          </w:p>
        </w:tc>
        <w:tc>
          <w:tcPr>
            <w:tcW w:w="360" w:type="dxa"/>
            <w:vAlign w:val="bottom"/>
          </w:tcPr>
          <w:p>
            <w:pPr>
              <w:jc w:val="right"/>
              <w:ind w:right="183"/>
              <w:spacing w:after="0"/>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1.62</w:t>
            </w:r>
          </w:p>
        </w:tc>
        <w:tc>
          <w:tcPr>
            <w:tcW w:w="12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0.72</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44.4 %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Discontnued operatons</w:t>
            </w: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(0.02)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50.0 %</w:t>
            </w:r>
          </w:p>
        </w:tc>
      </w:tr>
      <w:tr>
        <w:trPr>
          <w:trHeight w:val="177"/>
        </w:trPr>
        <w:tc>
          <w:tcPr>
            <w:tcW w:w="5520" w:type="dxa"/>
            <w:vAlign w:val="bottom"/>
            <w:gridSpan w:val="2"/>
          </w:tcPr>
          <w:p>
            <w:pPr>
              <w:ind w:left="140"/>
              <w:spacing w:after="0" w:line="173" w:lineRule="exact"/>
              <w:rPr>
                <w:sz w:val="20"/>
                <w:szCs w:val="20"/>
                <w:color w:val="auto"/>
              </w:rPr>
            </w:pPr>
            <w:r>
              <w:rPr>
                <w:rFonts w:ascii="Calibri" w:cs="Calibri" w:eastAsia="Calibri" w:hAnsi="Calibri"/>
                <w:sz w:val="15"/>
                <w:szCs w:val="15"/>
                <w:color w:val="auto"/>
              </w:rPr>
              <w:t>Consolidated</w:t>
            </w: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2.32</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1.58</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0.74</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46.8 %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52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5"/>
                <w:szCs w:val="15"/>
                <w:color w:val="auto"/>
              </w:rPr>
              <w:t>Adjusted diluted EPS</w:t>
            </w:r>
            <w:r>
              <w:rPr>
                <w:rFonts w:ascii="Calibri" w:cs="Calibri" w:eastAsia="Calibri" w:hAnsi="Calibri"/>
                <w:sz w:val="20"/>
                <w:szCs w:val="20"/>
                <w:color w:val="auto"/>
                <w:vertAlign w:val="superscript"/>
              </w:rPr>
              <w:t>(1)</w:t>
            </w:r>
          </w:p>
        </w:tc>
        <w:tc>
          <w:tcPr>
            <w:tcW w:w="360" w:type="dxa"/>
            <w:vAlign w:val="bottom"/>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Calibri" w:cs="Calibri" w:eastAsia="Calibri" w:hAnsi="Calibri"/>
                <w:sz w:val="15"/>
                <w:szCs w:val="15"/>
                <w:color w:val="auto"/>
              </w:rPr>
              <w:t>$</w:t>
            </w:r>
          </w:p>
        </w:tc>
        <w:tc>
          <w:tcPr>
            <w:tcW w:w="94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1.80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0.74</w:t>
            </w:r>
          </w:p>
        </w:tc>
        <w:tc>
          <w:tcPr>
            <w:tcW w:w="1520" w:type="dxa"/>
            <w:vAlign w:val="bottom"/>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41.1 %</w:t>
            </w:r>
          </w:p>
        </w:tc>
      </w:tr>
      <w:tr>
        <w:trPr>
          <w:trHeight w:val="238"/>
        </w:trPr>
        <w:tc>
          <w:tcPr>
            <w:tcW w:w="5520" w:type="dxa"/>
            <w:vAlign w:val="bottom"/>
            <w:tcBorders>
              <w:bottom w:val="single" w:sz="8" w:color="CCEEFF"/>
            </w:tcBorders>
            <w:gridSpan w:val="2"/>
          </w:tcPr>
          <w:p>
            <w:pPr>
              <w:ind w:left="20"/>
              <w:spacing w:after="0" w:line="206" w:lineRule="exact"/>
              <w:rPr>
                <w:sz w:val="20"/>
                <w:szCs w:val="20"/>
                <w:color w:val="auto"/>
              </w:rPr>
            </w:pPr>
            <w:r>
              <w:rPr>
                <w:rFonts w:ascii="Calibri" w:cs="Calibri" w:eastAsia="Calibri" w:hAnsi="Calibri"/>
                <w:sz w:val="15"/>
                <w:szCs w:val="15"/>
                <w:color w:val="auto"/>
              </w:rPr>
              <w:t xml:space="preserve">EBITDA </w:t>
            </w:r>
            <w:r>
              <w:rPr>
                <w:rFonts w:ascii="Calibri" w:cs="Calibri" w:eastAsia="Calibri" w:hAnsi="Calibri"/>
                <w:sz w:val="20"/>
                <w:szCs w:val="20"/>
                <w:color w:val="auto"/>
                <w:vertAlign w:val="superscript"/>
              </w:rPr>
              <w:t>(1)</w:t>
            </w:r>
          </w:p>
        </w:tc>
        <w:tc>
          <w:tcPr>
            <w:tcW w:w="360" w:type="dxa"/>
            <w:vAlign w:val="bottom"/>
            <w:tcBorders>
              <w:bottom w:val="single" w:sz="8" w:color="CCEEFF"/>
            </w:tcBorders>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94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b w:val="1"/>
                <w:bCs w:val="1"/>
                <w:color w:val="auto"/>
              </w:rPr>
              <w:t>566,432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jc w:val="right"/>
              <w:ind w:right="183"/>
              <w:spacing w:after="0"/>
              <w:rPr>
                <w:sz w:val="20"/>
                <w:szCs w:val="20"/>
                <w:color w:val="auto"/>
              </w:rPr>
            </w:pPr>
            <w:r>
              <w:rPr>
                <w:rFonts w:ascii="Calibri" w:cs="Calibri" w:eastAsia="Calibri" w:hAnsi="Calibri"/>
                <w:sz w:val="15"/>
                <w:szCs w:val="15"/>
                <w:color w:val="auto"/>
              </w:rPr>
              <w:t>$</w:t>
            </w:r>
          </w:p>
        </w:tc>
        <w:tc>
          <w:tcPr>
            <w:tcW w:w="94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491,868</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74,564</w:t>
            </w:r>
          </w:p>
        </w:tc>
        <w:tc>
          <w:tcPr>
            <w:tcW w:w="152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15"/>
                <w:szCs w:val="15"/>
                <w:color w:val="auto"/>
              </w:rPr>
              <w:t>15.2 %</w:t>
            </w:r>
          </w:p>
        </w:tc>
      </w:tr>
      <w:tr>
        <w:trPr>
          <w:trHeight w:val="20"/>
        </w:trPr>
        <w:tc>
          <w:tcPr>
            <w:tcW w:w="5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56" w:lineRule="exact"/>
        <w:rPr>
          <w:sz w:val="20"/>
          <w:szCs w:val="20"/>
          <w:color w:val="auto"/>
        </w:rPr>
      </w:pPr>
    </w:p>
    <w:p>
      <w:pPr>
        <w:ind w:left="120" w:hanging="117"/>
        <w:spacing w:after="0"/>
        <w:tabs>
          <w:tab w:leader="none" w:pos="120" w:val="left"/>
        </w:tabs>
        <w:numPr>
          <w:ilvl w:val="0"/>
          <w:numId w:val="16"/>
        </w:numPr>
        <w:rPr>
          <w:rFonts w:ascii="Calibri" w:cs="Calibri" w:eastAsia="Calibri" w:hAnsi="Calibri"/>
          <w:sz w:val="14"/>
          <w:szCs w:val="14"/>
          <w:color w:val="auto"/>
          <w:vertAlign w:val="superscript"/>
        </w:rPr>
      </w:pPr>
      <w:r>
        <w:rPr>
          <w:rFonts w:ascii="Calibri" w:cs="Calibri" w:eastAsia="Calibri" w:hAnsi="Calibri"/>
          <w:sz w:val="11"/>
          <w:szCs w:val="11"/>
          <w:color w:val="auto"/>
        </w:rPr>
        <w:t>All non-GAAP measures are results from contnuing operatons. See "</w:t>
      </w:r>
      <w:r>
        <w:rPr>
          <w:rFonts w:ascii="Calibri" w:cs="Calibri" w:eastAsia="Calibri" w:hAnsi="Calibri"/>
          <w:sz w:val="11"/>
          <w:szCs w:val="11"/>
          <w:u w:val="single" w:color="auto"/>
          <w:color w:val="0000FF"/>
        </w:rPr>
        <w:t>Non-GAAP Financial Informaton</w:t>
      </w:r>
      <w:r>
        <w:rPr>
          <w:rFonts w:ascii="Calibri" w:cs="Calibri" w:eastAsia="Calibri" w:hAnsi="Calibri"/>
          <w:sz w:val="11"/>
          <w:szCs w:val="11"/>
          <w:color w:val="auto"/>
        </w:rPr>
        <w:t>" at the end of this item for a reconciliaton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3"/>
          <w:szCs w:val="13"/>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1" w:name="page22"/>
    <w:bookmarkEnd w:id="21"/>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Nine months ended March 31, 2024 compared to March 31, 2023</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Revenues increased $107.7 million, or 4.4%, from the prior year. U.S. assisted tax preparaton revenues increased $91.9 million, or 6.0%, due to a 4.6% increase in net average charge combined with higher company-owned tax return volumes in the current year. U.S. royaltes revenue decreased $8.3 million, or 5.1%, due to lower franchise tax return volumes. During the year we purchased franchise ofces which results in increasing tax preparaton revenues and decreasing royaltes as the revenues and returns become company-owned afer the acquisiton. Through the nine months ended March 31, 2024 our total assisted tax return volume, which includes both company-owned and franchise ofces, decreased 1.1% from the prior year.</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U.S. DIY tax preparaton revenues increased $33.2 million, or 18.2%, primarily due to a 9.1% increase in online paid returns combined with a 9.4% increase in paid net average charge compared to the prior year.</w:t>
      </w:r>
    </w:p>
    <w:p>
      <w:pPr>
        <w:spacing w:after="0" w:line="99" w:lineRule="exact"/>
        <w:rPr>
          <w:sz w:val="20"/>
          <w:szCs w:val="20"/>
          <w:color w:val="auto"/>
        </w:rPr>
      </w:pPr>
    </w:p>
    <w:p>
      <w:pPr>
        <w:jc w:val="both"/>
        <w:ind w:firstLine="232"/>
        <w:spacing w:after="0" w:line="219" w:lineRule="auto"/>
        <w:rPr>
          <w:sz w:val="20"/>
          <w:szCs w:val="20"/>
          <w:color w:val="auto"/>
        </w:rPr>
      </w:pPr>
      <w:r>
        <w:rPr>
          <w:rFonts w:ascii="Calibri" w:cs="Calibri" w:eastAsia="Calibri" w:hAnsi="Calibri"/>
          <w:sz w:val="17"/>
          <w:szCs w:val="17"/>
          <w:color w:val="auto"/>
        </w:rPr>
        <w:t>Emerald Card® and Spruce</w:t>
      </w:r>
      <w:r>
        <w:rPr>
          <w:rFonts w:ascii="Calibri" w:cs="Calibri" w:eastAsia="Calibri" w:hAnsi="Calibri"/>
          <w:sz w:val="22"/>
          <w:szCs w:val="22"/>
          <w:color w:val="auto"/>
          <w:vertAlign w:val="superscript"/>
        </w:rPr>
        <w:t>SM</w:t>
      </w:r>
      <w:r>
        <w:rPr>
          <w:rFonts w:ascii="Calibri" w:cs="Calibri" w:eastAsia="Calibri" w:hAnsi="Calibri"/>
          <w:sz w:val="17"/>
          <w:szCs w:val="17"/>
          <w:color w:val="auto"/>
        </w:rPr>
        <w:t xml:space="preserve"> revenues decreased $7.0 million, or 10.2%, due to lower Emerald Card® actvity in the current year as a result of less funds being loaded on the cards. Interest and fee income on Emerald Advance® decreased $10.6 million, or 22.4%, due to lower customer fees under the new EA term loan, partally ofset by higher interest income due to the increase in EA loans and a longer loan term in the current year.</w:t>
      </w:r>
    </w:p>
    <w:p>
      <w:pPr>
        <w:spacing w:after="0" w:line="105" w:lineRule="exact"/>
        <w:rPr>
          <w:sz w:val="20"/>
          <w:szCs w:val="20"/>
          <w:color w:val="auto"/>
        </w:rPr>
      </w:pPr>
    </w:p>
    <w:p>
      <w:pPr>
        <w:jc w:val="both"/>
        <w:ind w:firstLine="232"/>
        <w:spacing w:after="0" w:line="256" w:lineRule="auto"/>
        <w:rPr>
          <w:sz w:val="20"/>
          <w:szCs w:val="20"/>
          <w:color w:val="auto"/>
        </w:rPr>
      </w:pPr>
      <w:r>
        <w:rPr>
          <w:rFonts w:ascii="Calibri" w:cs="Calibri" w:eastAsia="Calibri" w:hAnsi="Calibri"/>
          <w:sz w:val="16"/>
          <w:szCs w:val="16"/>
          <w:color w:val="auto"/>
        </w:rPr>
        <w:t>Total operatng expenses increased $25.4 million, or 1.2%, from the prior year period. Field wages increased $31.9 million, or 5.2%, due to higher wages in the current year primarily resultng from an increase in company-owned volumes. Other wages increased $14.3 million, or 6.9%, primarily due to higher corporate wages in the current year. Marketng and advertsing expense decreased $25.2 million, or 10.6%, primarily due to the tming of television advertsing in the current year compared to the prior year. Depreciaton and amortzaton expense decreased $7.7 million, or 7.8%, primarily due to lower amortzaton of capitalized sofware. Bad debt expense increased $10.5 million, or 18.5%, due to an increase in Refund Transfers and EA loans coupled with higher bad debt rates compared to the prior year.</w:t>
      </w:r>
    </w:p>
    <w:p>
      <w:pPr>
        <w:spacing w:after="0" w:line="90"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Other operatng expenses decreased $3.0 million, or 0.8%. The components of other expenses are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04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77"/>
        </w:trPr>
        <w:tc>
          <w:tcPr>
            <w:tcW w:w="504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Nine months ended March 31,</w:t>
            </w:r>
          </w:p>
        </w:tc>
        <w:tc>
          <w:tcPr>
            <w:tcW w:w="48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120" w:type="dxa"/>
            <w:vAlign w:val="bottom"/>
          </w:tcPr>
          <w:p>
            <w:pPr>
              <w:spacing w:after="0"/>
              <w:rPr>
                <w:sz w:val="15"/>
                <w:szCs w:val="15"/>
                <w:color w:val="auto"/>
              </w:rPr>
            </w:pPr>
          </w:p>
        </w:tc>
        <w:tc>
          <w:tcPr>
            <w:tcW w:w="154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77"/>
        </w:trPr>
        <w:tc>
          <w:tcPr>
            <w:tcW w:w="494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Consultng and outsourced services</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67,297</w:t>
            </w:r>
          </w:p>
        </w:tc>
        <w:tc>
          <w:tcPr>
            <w:tcW w:w="12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82,635</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w w:val="78"/>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15,338</w:t>
            </w:r>
          </w:p>
        </w:tc>
        <w:tc>
          <w:tcPr>
            <w:tcW w:w="120" w:type="dxa"/>
            <w:vAlign w:val="bottom"/>
          </w:tcPr>
          <w:p>
            <w:pPr>
              <w:spacing w:after="0"/>
              <w:rPr>
                <w:sz w:val="15"/>
                <w:szCs w:val="15"/>
                <w:color w:val="auto"/>
              </w:rPr>
            </w:pP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18.6 %</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Bank partner fees</w:t>
            </w: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28,616</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23,981</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(4,635)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(19.3)%</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Client claims and refunds</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17,463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21,002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3,539</w:t>
            </w:r>
          </w:p>
        </w:tc>
        <w:tc>
          <w:tcPr>
            <w:tcW w:w="1660" w:type="dxa"/>
            <w:vAlign w:val="bottom"/>
            <w:gridSpan w:val="2"/>
          </w:tcPr>
          <w:p>
            <w:pPr>
              <w:jc w:val="right"/>
              <w:spacing w:after="0"/>
              <w:rPr>
                <w:sz w:val="20"/>
                <w:szCs w:val="20"/>
                <w:color w:val="auto"/>
              </w:rPr>
            </w:pPr>
            <w:r>
              <w:rPr>
                <w:rFonts w:ascii="Calibri" w:cs="Calibri" w:eastAsia="Calibri" w:hAnsi="Calibri"/>
                <w:sz w:val="15"/>
                <w:szCs w:val="15"/>
                <w:color w:val="auto"/>
              </w:rPr>
              <w:t>16.9 %</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Employee and travel expenses</w:t>
            </w: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26,429</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30,675</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4,246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13.8 %</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Technology-related expenses</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80,962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76,789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(4,173)</w:t>
            </w:r>
          </w:p>
        </w:tc>
        <w:tc>
          <w:tcPr>
            <w:tcW w:w="1660" w:type="dxa"/>
            <w:vAlign w:val="bottom"/>
            <w:gridSpan w:val="2"/>
          </w:tcPr>
          <w:p>
            <w:pPr>
              <w:jc w:val="right"/>
              <w:spacing w:after="0"/>
              <w:rPr>
                <w:sz w:val="20"/>
                <w:szCs w:val="20"/>
                <w:color w:val="auto"/>
              </w:rPr>
            </w:pPr>
            <w:r>
              <w:rPr>
                <w:rFonts w:ascii="Calibri" w:cs="Calibri" w:eastAsia="Calibri" w:hAnsi="Calibri"/>
                <w:sz w:val="15"/>
                <w:szCs w:val="15"/>
                <w:color w:val="auto"/>
              </w:rPr>
              <w:t>(5.4)%</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Credit card/bank charges</w:t>
            </w: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71,639</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67,682</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(3,957)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(5.8)%</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Insurance</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8,071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6,260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(1,811)</w:t>
            </w:r>
          </w:p>
        </w:tc>
        <w:tc>
          <w:tcPr>
            <w:tcW w:w="1660" w:type="dxa"/>
            <w:vAlign w:val="bottom"/>
            <w:gridSpan w:val="2"/>
          </w:tcPr>
          <w:p>
            <w:pPr>
              <w:jc w:val="right"/>
              <w:spacing w:after="0"/>
              <w:rPr>
                <w:sz w:val="20"/>
                <w:szCs w:val="20"/>
                <w:color w:val="auto"/>
              </w:rPr>
            </w:pPr>
            <w:r>
              <w:rPr>
                <w:rFonts w:ascii="Calibri" w:cs="Calibri" w:eastAsia="Calibri" w:hAnsi="Calibri"/>
                <w:sz w:val="15"/>
                <w:szCs w:val="15"/>
                <w:color w:val="auto"/>
              </w:rPr>
              <w:t>(28.9)%</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Legal fees and setlements</w:t>
            </w: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19,715</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7,155</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(12,560)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(175.5)%</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Supplies</w:t>
            </w: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b w:val="1"/>
                <w:bCs w:val="1"/>
                <w:color w:val="auto"/>
              </w:rPr>
              <w:t>18,349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23,291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4,942</w:t>
            </w:r>
          </w:p>
        </w:tc>
        <w:tc>
          <w:tcPr>
            <w:tcW w:w="1660" w:type="dxa"/>
            <w:vAlign w:val="bottom"/>
            <w:gridSpan w:val="2"/>
          </w:tcPr>
          <w:p>
            <w:pPr>
              <w:jc w:val="right"/>
              <w:spacing w:after="0"/>
              <w:rPr>
                <w:sz w:val="20"/>
                <w:szCs w:val="20"/>
                <w:color w:val="auto"/>
              </w:rPr>
            </w:pPr>
            <w:r>
              <w:rPr>
                <w:rFonts w:ascii="Calibri" w:cs="Calibri" w:eastAsia="Calibri" w:hAnsi="Calibri"/>
                <w:sz w:val="15"/>
                <w:szCs w:val="15"/>
                <w:color w:val="auto"/>
              </w:rPr>
              <w:t>21.2 %</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w:t>
            </w:r>
          </w:p>
        </w:tc>
        <w:tc>
          <w:tcPr>
            <w:tcW w:w="4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21,570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23,611</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2,041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8.6 %</w:t>
            </w:r>
          </w:p>
        </w:tc>
      </w:tr>
      <w:tr>
        <w:trPr>
          <w:trHeight w:val="177"/>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360,111</w:t>
            </w:r>
          </w:p>
        </w:tc>
        <w:tc>
          <w:tcPr>
            <w:tcW w:w="12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363,081</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w w:val="78"/>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2,970</w:t>
            </w:r>
          </w:p>
        </w:tc>
        <w:tc>
          <w:tcPr>
            <w:tcW w:w="166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0.8 %</w:t>
            </w:r>
          </w:p>
        </w:tc>
      </w:tr>
      <w:tr>
        <w:trPr>
          <w:trHeight w:val="59"/>
        </w:trPr>
        <w:tc>
          <w:tcPr>
            <w:tcW w:w="49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r>
      <w:tr>
        <w:trPr>
          <w:trHeight w:val="20"/>
        </w:trPr>
        <w:tc>
          <w:tcPr>
            <w:tcW w:w="49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Consultng and outsourced services expense decreased $15.3 million, or 18.6%, due to lower contract labor, Emerald Card® data processing and call center expenses in the current year. Legal fees and setlements expense increased $12.6 million, or 175.5%, in the current year.</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 xml:space="preserve">We recorded income tax expense of $72.5 million in the current year compared to $78.3 million in the prior year. The efectve tax rate for the nine months ended March 31, 2024, and 2023 was 17.6% and 23.3%, respectvely. See </w:t>
      </w:r>
      <w:r>
        <w:rPr>
          <w:rFonts w:ascii="Calibri" w:cs="Calibri" w:eastAsia="Calibri" w:hAnsi="Calibri"/>
          <w:sz w:val="17"/>
          <w:szCs w:val="17"/>
          <w:u w:val="single" w:color="auto"/>
          <w:color w:val="0000FF"/>
        </w:rPr>
        <w:t>Item 1, note 7</w:t>
      </w:r>
      <w:r>
        <w:rPr>
          <w:rFonts w:ascii="Calibri" w:cs="Calibri" w:eastAsia="Calibri" w:hAnsi="Calibri"/>
          <w:sz w:val="17"/>
          <w:szCs w:val="17"/>
          <w:color w:val="auto"/>
        </w:rPr>
        <w:t xml:space="preserve"> to the consolidated fnancial statements for additonal discussion.</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Assisted tax return volume, which includes our company-owned and franchise operatons, decreased 1.2% from July 1, 2023 through April 30, 2024 compared to the prior year period. DIY online paid tax return volume from July 1, 2023 through April 30, 2024, increased 5.9% compared to the prior year period. Our business is highly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60" w:hanging="259"/>
        <w:spacing w:after="0"/>
        <w:tabs>
          <w:tab w:leader="none" w:pos="360" w:val="left"/>
        </w:tabs>
        <w:numPr>
          <w:ilvl w:val="0"/>
          <w:numId w:val="17"/>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seasonal and results for the nine months ended March 31, as well as results for the period ended April 30, may not be indicatve of results for the fscal year ended June 30, 2024.</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FINANCIAL CONDITION</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These comments should be read in conjuncton with the consolidated balance sheets and consolidated statements of cash fows included in </w:t>
      </w:r>
      <w:r>
        <w:rPr>
          <w:rFonts w:ascii="Calibri" w:cs="Calibri" w:eastAsia="Calibri" w:hAnsi="Calibri"/>
          <w:sz w:val="17"/>
          <w:szCs w:val="17"/>
          <w:u w:val="single" w:color="auto"/>
          <w:color w:val="0000FF"/>
        </w:rPr>
        <w:t>Part 1, Item 1</w:t>
      </w:r>
      <w:r>
        <w:rPr>
          <w:rFonts w:ascii="Calibri" w:cs="Calibri" w:eastAsia="Calibri" w:hAnsi="Calibri"/>
          <w:sz w:val="17"/>
          <w:szCs w:val="17"/>
          <w:color w:val="auto"/>
        </w:rPr>
        <w:t>.</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CAPITAL RESOURCES AND LIQUIDITY </w:t>
      </w:r>
      <w:r>
        <w:rPr>
          <w:rFonts w:ascii="Calibri" w:cs="Calibri" w:eastAsia="Calibri" w:hAnsi="Calibri"/>
          <w:sz w:val="17"/>
          <w:szCs w:val="17"/>
          <w:color w:val="auto"/>
        </w:rPr>
        <w:t>–</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OVERVIEW </w:t>
      </w:r>
      <w:r>
        <w:rPr>
          <w:rFonts w:ascii="Calibri" w:cs="Calibri" w:eastAsia="Calibri" w:hAnsi="Calibri"/>
          <w:sz w:val="17"/>
          <w:szCs w:val="17"/>
          <w:color w:val="auto"/>
        </w:rPr>
        <w:t>– Our primary sources of capital and liquidity include cash from operatons (including changes in working capital), draws on our unsecured commited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line of credit (CLOC), and issuances of debt. We use our sources of liquidity primarily to fund working capital, service and repay debt, pay dividends, repurchase shares of our common stock, and acquire businesses.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Our operatons are highly seasonal and substantally all of our revenues and cash fow are generated during the period from February through April in a typical year. Therefore, we normally require the use of cash to fund losses and working capital needs, periodically resultng in a working capital defcit, during the months of May through January. We typically have relied on available cash balances from the prior tax season and borrowings to meet liquidity needs.</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Given the likely availability of a number of liquidity optons discussed herein, we believe that, in the absence of any unexpected developments, our existng sources of capital as of March 31, 2024 are sufcient to meet our operatng, investng and fnancing needs.</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DISCUSSION OF CONSOLIDATED STATEMENTS OF CASH FLOWS </w:t>
      </w:r>
      <w:r>
        <w:rPr>
          <w:rFonts w:ascii="Calibri" w:cs="Calibri" w:eastAsia="Calibri" w:hAnsi="Calibri"/>
          <w:sz w:val="17"/>
          <w:szCs w:val="17"/>
          <w:color w:val="auto"/>
        </w:rPr>
        <w:t>– The following table summarizes our statements of cash fows for the nine months ended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March 31, 2024 and 2023. See </w:t>
      </w:r>
      <w:r>
        <w:rPr>
          <w:rFonts w:ascii="Calibri" w:cs="Calibri" w:eastAsia="Calibri" w:hAnsi="Calibri"/>
          <w:sz w:val="17"/>
          <w:szCs w:val="17"/>
          <w:u w:val="single" w:color="auto"/>
          <w:color w:val="0000FF"/>
        </w:rPr>
        <w:t>Item 1</w:t>
      </w:r>
      <w:r>
        <w:rPr>
          <w:rFonts w:ascii="Calibri" w:cs="Calibri" w:eastAsia="Calibri" w:hAnsi="Calibri"/>
          <w:sz w:val="17"/>
          <w:szCs w:val="17"/>
          <w:color w:val="auto"/>
        </w:rPr>
        <w:t xml:space="preserve"> for the complete consolidated statements of cash fows for these periods.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660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77"/>
        </w:trPr>
        <w:tc>
          <w:tcPr>
            <w:tcW w:w="660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Nine months ended March 31,</w:t>
            </w:r>
          </w:p>
        </w:tc>
        <w:tc>
          <w:tcPr>
            <w:tcW w:w="86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6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7"/>
        </w:trPr>
        <w:tc>
          <w:tcPr>
            <w:tcW w:w="6500" w:type="dxa"/>
            <w:vAlign w:val="bottom"/>
          </w:tcPr>
          <w:p>
            <w:pPr>
              <w:ind w:left="20"/>
              <w:spacing w:after="0" w:line="177" w:lineRule="exact"/>
              <w:rPr>
                <w:sz w:val="20"/>
                <w:szCs w:val="20"/>
                <w:color w:val="auto"/>
              </w:rPr>
            </w:pPr>
            <w:r>
              <w:rPr>
                <w:rFonts w:ascii="Calibri" w:cs="Calibri" w:eastAsia="Calibri" w:hAnsi="Calibri"/>
                <w:sz w:val="15"/>
                <w:szCs w:val="15"/>
                <w:color w:val="auto"/>
              </w:rPr>
              <w:t>Net cash provided by (used in):</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660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Operatng actvites</w:t>
            </w:r>
          </w:p>
        </w:tc>
        <w:tc>
          <w:tcPr>
            <w:tcW w:w="860" w:type="dxa"/>
            <w:vAlign w:val="bottom"/>
            <w:tcBorders>
              <w:bottom w:val="single" w:sz="8" w:color="CCEEFF"/>
            </w:tcBorders>
            <w:shd w:val="clear" w:color="auto" w:fill="CCEEFF"/>
          </w:tcPr>
          <w:p>
            <w:pPr>
              <w:jc w:val="right"/>
              <w:ind w:right="703"/>
              <w:spacing w:after="0"/>
              <w:rPr>
                <w:sz w:val="20"/>
                <w:szCs w:val="20"/>
                <w:color w:val="auto"/>
              </w:rPr>
            </w:pPr>
            <w:r>
              <w:rPr>
                <w:rFonts w:ascii="Calibri" w:cs="Calibri" w:eastAsia="Calibri" w:hAnsi="Calibri"/>
                <w:sz w:val="15"/>
                <w:szCs w:val="15"/>
                <w:b w:val="1"/>
                <w:bCs w:val="1"/>
                <w:color w:val="auto"/>
                <w:w w:val="7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420,264</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Calibri" w:cs="Calibri" w:eastAsia="Calibri" w:hAnsi="Calibri"/>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498,386</w:t>
            </w:r>
          </w:p>
        </w:tc>
      </w:tr>
      <w:tr>
        <w:trPr>
          <w:trHeight w:val="184"/>
        </w:trPr>
        <w:tc>
          <w:tcPr>
            <w:tcW w:w="6600" w:type="dxa"/>
            <w:vAlign w:val="bottom"/>
            <w:gridSpan w:val="2"/>
          </w:tcPr>
          <w:p>
            <w:pPr>
              <w:ind w:left="140"/>
              <w:spacing w:after="0"/>
              <w:rPr>
                <w:sz w:val="20"/>
                <w:szCs w:val="20"/>
                <w:color w:val="auto"/>
              </w:rPr>
            </w:pPr>
            <w:r>
              <w:rPr>
                <w:rFonts w:ascii="Calibri" w:cs="Calibri" w:eastAsia="Calibri" w:hAnsi="Calibri"/>
                <w:sz w:val="15"/>
                <w:szCs w:val="15"/>
                <w:color w:val="auto"/>
              </w:rPr>
              <w:t>Investng actvites</w:t>
            </w:r>
          </w:p>
        </w:tc>
        <w:tc>
          <w:tcPr>
            <w:tcW w:w="8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(99,643)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alibri" w:cs="Calibri" w:eastAsia="Calibri" w:hAnsi="Calibri"/>
                <w:sz w:val="15"/>
                <w:szCs w:val="15"/>
                <w:color w:val="auto"/>
              </w:rPr>
              <w:t>(101,287)</w:t>
            </w:r>
          </w:p>
        </w:tc>
      </w:tr>
      <w:tr>
        <w:trPr>
          <w:trHeight w:val="22"/>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660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Financing actvites</w:t>
            </w:r>
          </w:p>
        </w:tc>
        <w:tc>
          <w:tcPr>
            <w:tcW w:w="8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(520,503)</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(505,587)</w:t>
            </w:r>
          </w:p>
        </w:tc>
      </w:tr>
      <w:tr>
        <w:trPr>
          <w:trHeight w:val="184"/>
        </w:trPr>
        <w:tc>
          <w:tcPr>
            <w:tcW w:w="6600" w:type="dxa"/>
            <w:vAlign w:val="bottom"/>
            <w:gridSpan w:val="2"/>
          </w:tcPr>
          <w:p>
            <w:pPr>
              <w:ind w:left="20"/>
              <w:spacing w:after="0"/>
              <w:rPr>
                <w:sz w:val="20"/>
                <w:szCs w:val="20"/>
                <w:color w:val="auto"/>
              </w:rPr>
            </w:pPr>
            <w:r>
              <w:rPr>
                <w:rFonts w:ascii="Calibri" w:cs="Calibri" w:eastAsia="Calibri" w:hAnsi="Calibri"/>
                <w:sz w:val="15"/>
                <w:szCs w:val="15"/>
                <w:color w:val="auto"/>
              </w:rPr>
              <w:t>Efects of exchange rates on cash</w:t>
            </w:r>
          </w:p>
        </w:tc>
        <w:tc>
          <w:tcPr>
            <w:tcW w:w="8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(2,739)</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alibri" w:cs="Calibri" w:eastAsia="Calibri" w:hAnsi="Calibri"/>
                <w:sz w:val="15"/>
                <w:szCs w:val="15"/>
                <w:color w:val="auto"/>
              </w:rPr>
              <w:t>(7,880)</w:t>
            </w: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9"/>
        </w:trPr>
        <w:tc>
          <w:tcPr>
            <w:tcW w:w="660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decrease in cash and cash equivalents, including restricted balances</w:t>
            </w:r>
          </w:p>
        </w:tc>
        <w:tc>
          <w:tcPr>
            <w:tcW w:w="860" w:type="dxa"/>
            <w:vAlign w:val="bottom"/>
            <w:tcBorders>
              <w:bottom w:val="single" w:sz="8" w:color="CCEEFF"/>
            </w:tcBorders>
            <w:shd w:val="clear" w:color="auto" w:fill="CCEEFF"/>
          </w:tcPr>
          <w:p>
            <w:pPr>
              <w:jc w:val="right"/>
              <w:ind w:right="703"/>
              <w:spacing w:after="0" w:line="177" w:lineRule="exact"/>
              <w:rPr>
                <w:sz w:val="20"/>
                <w:szCs w:val="20"/>
                <w:color w:val="auto"/>
              </w:rPr>
            </w:pPr>
            <w:r>
              <w:rPr>
                <w:rFonts w:ascii="Calibri" w:cs="Calibri" w:eastAsia="Calibri" w:hAnsi="Calibri"/>
                <w:sz w:val="15"/>
                <w:szCs w:val="15"/>
                <w:b w:val="1"/>
                <w:bCs w:val="1"/>
                <w:color w:val="auto"/>
                <w:w w:val="78"/>
              </w:rPr>
              <w:t>$</w:t>
            </w:r>
          </w:p>
        </w:tc>
        <w:tc>
          <w:tcPr>
            <w:tcW w:w="14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(202,621)</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3"/>
              <w:spacing w:after="0" w:line="177" w:lineRule="exact"/>
              <w:rPr>
                <w:sz w:val="20"/>
                <w:szCs w:val="20"/>
                <w:color w:val="auto"/>
              </w:rPr>
            </w:pPr>
            <w:r>
              <w:rPr>
                <w:rFonts w:ascii="Calibri" w:cs="Calibri" w:eastAsia="Calibri" w:hAnsi="Calibri"/>
                <w:sz w:val="15"/>
                <w:szCs w:val="15"/>
                <w:color w:val="auto"/>
              </w:rPr>
              <w:t>$</w:t>
            </w:r>
          </w:p>
        </w:tc>
        <w:tc>
          <w:tcPr>
            <w:tcW w:w="14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(116,368)</w:t>
            </w:r>
          </w:p>
        </w:tc>
      </w:tr>
      <w:tr>
        <w:trPr>
          <w:trHeight w:val="32"/>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r>
    </w:tbl>
    <w:p>
      <w:pPr>
        <w:spacing w:after="0" w:line="159"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Operatng Actvites. </w:t>
      </w:r>
      <w:r>
        <w:rPr>
          <w:rFonts w:ascii="Calibri" w:cs="Calibri" w:eastAsia="Calibri" w:hAnsi="Calibri"/>
          <w:sz w:val="17"/>
          <w:szCs w:val="17"/>
          <w:color w:val="auto"/>
        </w:rPr>
        <w:t>Cash provided by operatons totaled $420.3 million for the nine months ended March 31, 2024 compared to $498.4 million in the prior year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period. The change is primarily due to higher receivables in the current year and the receipt of income tax receivables in the prior year, partally ofset by lower bonus and payroll tax payments in the current year.</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Investng Actvites. </w:t>
      </w:r>
      <w:r>
        <w:rPr>
          <w:rFonts w:ascii="Calibri" w:cs="Calibri" w:eastAsia="Calibri" w:hAnsi="Calibri"/>
          <w:sz w:val="17"/>
          <w:szCs w:val="17"/>
          <w:color w:val="auto"/>
        </w:rPr>
        <w:t>Cash used in investng actvites totaled $99.6 million for the nine months ended March 31, 2024 compared to $101.3 million in the prior year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period. The change is primarily due to lower payments to acquire businesses in the current year.</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Financing Actvites. </w:t>
      </w:r>
      <w:r>
        <w:rPr>
          <w:rFonts w:ascii="Calibri" w:cs="Calibri" w:eastAsia="Calibri" w:hAnsi="Calibri"/>
          <w:sz w:val="17"/>
          <w:szCs w:val="17"/>
          <w:color w:val="auto"/>
        </w:rPr>
        <w:t>Cash used in fnancing actvites totaled $520.5 million for the nine months ended March 31, 2024 compared to $505.6 million in the prior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year period. The change is primarily due to higher shares surrendered related to the vestng of stock-based compensaton awards in the current year.</w:t>
      </w:r>
    </w:p>
    <w:p>
      <w:pPr>
        <w:spacing w:after="0" w:line="103" w:lineRule="exact"/>
        <w:rPr>
          <w:sz w:val="20"/>
          <w:szCs w:val="20"/>
          <w:color w:val="auto"/>
        </w:rPr>
      </w:pPr>
    </w:p>
    <w:p>
      <w:pPr>
        <w:ind w:left="240"/>
        <w:spacing w:after="0"/>
        <w:rPr>
          <w:sz w:val="20"/>
          <w:szCs w:val="20"/>
          <w:color w:val="auto"/>
        </w:rPr>
      </w:pPr>
      <w:r>
        <w:rPr>
          <w:rFonts w:ascii="Calibri" w:cs="Calibri" w:eastAsia="Calibri" w:hAnsi="Calibri"/>
          <w:sz w:val="17"/>
          <w:szCs w:val="17"/>
          <w:b w:val="1"/>
          <w:bCs w:val="1"/>
          <w:color w:val="auto"/>
        </w:rPr>
        <w:t xml:space="preserve">CASH REQUIREMENTS </w:t>
      </w:r>
      <w:r>
        <w:rPr>
          <w:rFonts w:ascii="Calibri" w:cs="Calibri" w:eastAsia="Calibri" w:hAnsi="Calibri"/>
          <w:sz w:val="17"/>
          <w:szCs w:val="17"/>
          <w:color w:val="auto"/>
        </w:rPr>
        <w:t>–</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Dividends and Share Repurchases. </w:t>
      </w:r>
      <w:r>
        <w:rPr>
          <w:rFonts w:ascii="Calibri" w:cs="Calibri" w:eastAsia="Calibri" w:hAnsi="Calibri"/>
          <w:sz w:val="17"/>
          <w:szCs w:val="17"/>
          <w:color w:val="auto"/>
        </w:rPr>
        <w:t>Returning capital to shareholders in the form of dividends and the repurchase of outstanding shares is, and has historically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been, a signifcant component of our capital allocaton plan.</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We have consistently paid quarterly dividends. Dividends paid totaled $135.1 million and $133.8 million for the nine months ended March 31, 2024 and 2023, respectvely. Although we have historically paid dividends and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3"/>
          <w:szCs w:val="13"/>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color w:val="auto"/>
        </w:rPr>
        <w:t>to contnue to do so, there can be no assurances that circumstances will not change in the future that could afect our ability or decisions to pay dividends.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During the nine months ended March 31, 2024, we repurchased $350.1 million of our common stock at an average price of $43.66 per share, excluding excise taxes in connecton with such repurchases. In the prior year period, we repurchased $350.1 million of our common stock at an average price of $42.86 per share. Our current share repurchase program has remaining authorizaton of $350.0 million, which is efectve through June 2025.</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Share repurchases may be efectuated through open market transactons, some of which may be efectuated under SEC Rule 10b5-1. The Company may cancel, suspend, or extend the period for the purchase of shares at any tme. Any repurchases will be funded primarily through available cash and cash from operatons. Although we may contnue to repurchase shares, there is no assurance that we will purchase up to the full Board authorizaton.</w:t>
      </w:r>
    </w:p>
    <w:p>
      <w:pPr>
        <w:spacing w:after="0" w:line="105" w:lineRule="exact"/>
        <w:rPr>
          <w:sz w:val="20"/>
          <w:szCs w:val="20"/>
          <w:color w:val="auto"/>
        </w:rPr>
      </w:pPr>
    </w:p>
    <w:p>
      <w:pPr>
        <w:jc w:val="both"/>
        <w:ind w:firstLine="194"/>
        <w:spacing w:after="0" w:line="238" w:lineRule="auto"/>
        <w:rPr>
          <w:sz w:val="20"/>
          <w:szCs w:val="20"/>
          <w:color w:val="auto"/>
        </w:rPr>
      </w:pPr>
      <w:r>
        <w:rPr>
          <w:rFonts w:ascii="Calibri" w:cs="Calibri" w:eastAsia="Calibri" w:hAnsi="Calibri"/>
          <w:sz w:val="17"/>
          <w:szCs w:val="17"/>
          <w:b w:val="1"/>
          <w:bCs w:val="1"/>
          <w:color w:val="auto"/>
        </w:rPr>
        <w:t xml:space="preserve">Capital Investment. </w:t>
      </w:r>
      <w:r>
        <w:rPr>
          <w:rFonts w:ascii="Calibri" w:cs="Calibri" w:eastAsia="Calibri" w:hAnsi="Calibri"/>
          <w:sz w:val="17"/>
          <w:szCs w:val="17"/>
          <w:color w:val="auto"/>
        </w:rPr>
        <w:t>Capital expenditures totaled $53.8 million and $56.7 million for the nine months ended March 31, 2024 and 2023, respectvely. Our capital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expenditures relate primarily to recurring improvements to retail ofces, as well as investments in computers, sofware and related assets. In additon to our capital expenditures, we also made payments to acquire businesses. We acquired franchisee and compettor businesses totaling $43.2 million and $47.7 million during the nine months ended March 31, 2024 and 2023, respectvely. See </w:t>
      </w:r>
      <w:r>
        <w:rPr>
          <w:rFonts w:ascii="Calibri" w:cs="Calibri" w:eastAsia="Calibri" w:hAnsi="Calibri"/>
          <w:sz w:val="17"/>
          <w:szCs w:val="17"/>
          <w:u w:val="single" w:color="auto"/>
          <w:color w:val="0000FF"/>
        </w:rPr>
        <w:t>Item 1, note 5</w:t>
      </w:r>
      <w:r>
        <w:rPr>
          <w:rFonts w:ascii="Calibri" w:cs="Calibri" w:eastAsia="Calibri" w:hAnsi="Calibri"/>
          <w:sz w:val="17"/>
          <w:szCs w:val="17"/>
          <w:color w:val="auto"/>
        </w:rPr>
        <w:t xml:space="preserve"> for additonal informaton on our acquisitons.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FINANCING RESOURCES </w:t>
      </w:r>
      <w:r>
        <w:rPr>
          <w:rFonts w:ascii="Calibri" w:cs="Calibri" w:eastAsia="Calibri" w:hAnsi="Calibri"/>
          <w:sz w:val="17"/>
          <w:szCs w:val="17"/>
          <w:color w:val="auto"/>
        </w:rPr>
        <w:t>– The CLOC has capacity up to $1.5 billion and is scheduled to expire in June 2026. Proceeds under the CLOC may be used for working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capital needs or for other general corporate purposes. We had no outstanding balance under our CLOC and amounts available to borrow were not limited by the debt-to-EBITDA covenant as of March 31, 2024.</w:t>
      </w:r>
    </w:p>
    <w:p>
      <w:pPr>
        <w:spacing w:after="0" w:line="102"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The following table provides ratngs for debt issued by Block Financial LLC (Block Financial) as of March 31, 2024 and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138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gridSpan w:val="2"/>
          </w:tcPr>
          <w:p>
            <w:pPr>
              <w:ind w:left="20"/>
              <w:spacing w:after="0"/>
              <w:rPr>
                <w:sz w:val="20"/>
                <w:szCs w:val="20"/>
                <w:color w:val="auto"/>
              </w:rPr>
            </w:pPr>
            <w:r>
              <w:rPr>
                <w:rFonts w:ascii="Calibri" w:cs="Calibri" w:eastAsia="Calibri" w:hAnsi="Calibri"/>
                <w:sz w:val="15"/>
                <w:szCs w:val="15"/>
                <w:color w:val="auto"/>
              </w:rPr>
              <w:t>As of</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alibri" w:cs="Calibri" w:eastAsia="Calibri" w:hAnsi="Calibri"/>
                <w:sz w:val="15"/>
                <w:szCs w:val="15"/>
                <w:b w:val="1"/>
                <w:bCs w:val="1"/>
                <w:color w:val="auto"/>
              </w:rPr>
              <w:t>March 31, 2024</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Calibri" w:cs="Calibri" w:eastAsia="Calibri" w:hAnsi="Calibri"/>
                <w:sz w:val="15"/>
                <w:szCs w:val="15"/>
                <w:color w:val="auto"/>
              </w:rPr>
              <w:t>June 30, 2023</w:t>
            </w:r>
          </w:p>
        </w:tc>
        <w:tc>
          <w:tcPr>
            <w:tcW w:w="1220" w:type="dxa"/>
            <w:vAlign w:val="bottom"/>
          </w:tcPr>
          <w:p>
            <w:pPr>
              <w:spacing w:after="0"/>
              <w:rPr>
                <w:sz w:val="16"/>
                <w:szCs w:val="16"/>
                <w:color w:val="auto"/>
              </w:rPr>
            </w:pPr>
          </w:p>
        </w:tc>
      </w:tr>
      <w:tr>
        <w:trPr>
          <w:trHeight w:val="26"/>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177"/>
        </w:trPr>
        <w:tc>
          <w:tcPr>
            <w:tcW w:w="3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120"/>
              <w:spacing w:after="0" w:line="177" w:lineRule="exact"/>
              <w:rPr>
                <w:sz w:val="20"/>
                <w:szCs w:val="20"/>
                <w:color w:val="auto"/>
              </w:rPr>
            </w:pPr>
            <w:r>
              <w:rPr>
                <w:rFonts w:ascii="Calibri" w:cs="Calibri" w:eastAsia="Calibri" w:hAnsi="Calibri"/>
                <w:sz w:val="15"/>
                <w:szCs w:val="15"/>
                <w:color w:val="auto"/>
              </w:rPr>
              <w:t>Short-term</w:t>
            </w:r>
          </w:p>
        </w:tc>
        <w:tc>
          <w:tcPr>
            <w:tcW w:w="1300" w:type="dxa"/>
            <w:vAlign w:val="bottom"/>
            <w:tcBorders>
              <w:top w:val="single" w:sz="8" w:color="auto"/>
            </w:tcBorders>
            <w:gridSpan w:val="2"/>
          </w:tcPr>
          <w:p>
            <w:pPr>
              <w:jc w:val="right"/>
              <w:ind w:right="120"/>
              <w:spacing w:after="0" w:line="177" w:lineRule="exact"/>
              <w:rPr>
                <w:sz w:val="20"/>
                <w:szCs w:val="20"/>
                <w:color w:val="auto"/>
              </w:rPr>
            </w:pPr>
            <w:r>
              <w:rPr>
                <w:rFonts w:ascii="Calibri" w:cs="Calibri" w:eastAsia="Calibri" w:hAnsi="Calibri"/>
                <w:sz w:val="15"/>
                <w:szCs w:val="15"/>
                <w:color w:val="auto"/>
              </w:rPr>
              <w:t>Long-term</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Outlook</w:t>
            </w:r>
          </w:p>
        </w:tc>
        <w:tc>
          <w:tcPr>
            <w:tcW w:w="10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100"/>
              <w:spacing w:after="0" w:line="177" w:lineRule="exact"/>
              <w:rPr>
                <w:sz w:val="20"/>
                <w:szCs w:val="20"/>
                <w:color w:val="auto"/>
              </w:rPr>
            </w:pPr>
            <w:r>
              <w:rPr>
                <w:rFonts w:ascii="Calibri" w:cs="Calibri" w:eastAsia="Calibri" w:hAnsi="Calibri"/>
                <w:sz w:val="15"/>
                <w:szCs w:val="15"/>
                <w:color w:val="auto"/>
              </w:rPr>
              <w:t>Short-term</w:t>
            </w:r>
          </w:p>
        </w:tc>
        <w:tc>
          <w:tcPr>
            <w:tcW w:w="1320" w:type="dxa"/>
            <w:vAlign w:val="bottom"/>
            <w:tcBorders>
              <w:top w:val="single" w:sz="8" w:color="auto"/>
            </w:tcBorders>
            <w:gridSpan w:val="2"/>
          </w:tcPr>
          <w:p>
            <w:pPr>
              <w:jc w:val="right"/>
              <w:ind w:right="100"/>
              <w:spacing w:after="0" w:line="177" w:lineRule="exact"/>
              <w:rPr>
                <w:sz w:val="20"/>
                <w:szCs w:val="20"/>
                <w:color w:val="auto"/>
              </w:rPr>
            </w:pPr>
            <w:r>
              <w:rPr>
                <w:rFonts w:ascii="Calibri" w:cs="Calibri" w:eastAsia="Calibri" w:hAnsi="Calibri"/>
                <w:sz w:val="15"/>
                <w:szCs w:val="15"/>
                <w:color w:val="auto"/>
              </w:rPr>
              <w:t>Long-term</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Outlook</w:t>
            </w:r>
          </w:p>
        </w:tc>
      </w:tr>
      <w:tr>
        <w:trPr>
          <w:trHeight w:val="22"/>
        </w:trPr>
        <w:tc>
          <w:tcPr>
            <w:tcW w:w="3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7"/>
        </w:trPr>
        <w:tc>
          <w:tcPr>
            <w:tcW w:w="3380" w:type="dxa"/>
            <w:vAlign w:val="bottom"/>
          </w:tcPr>
          <w:p>
            <w:pPr>
              <w:ind w:left="20"/>
              <w:spacing w:after="0" w:line="177" w:lineRule="exact"/>
              <w:rPr>
                <w:sz w:val="20"/>
                <w:szCs w:val="20"/>
                <w:color w:val="auto"/>
              </w:rPr>
            </w:pPr>
            <w:r>
              <w:rPr>
                <w:rFonts w:ascii="Calibri" w:cs="Calibri" w:eastAsia="Calibri" w:hAnsi="Calibri"/>
                <w:sz w:val="15"/>
                <w:szCs w:val="15"/>
                <w:color w:val="auto"/>
              </w:rPr>
              <w:t>Moody's</w:t>
            </w:r>
          </w:p>
        </w:tc>
        <w:tc>
          <w:tcPr>
            <w:tcW w:w="10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P-3</w:t>
            </w:r>
          </w:p>
        </w:tc>
        <w:tc>
          <w:tcPr>
            <w:tcW w:w="10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Baa3</w:t>
            </w:r>
          </w:p>
        </w:tc>
        <w:tc>
          <w:tcPr>
            <w:tcW w:w="1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Stable</w:t>
            </w:r>
          </w:p>
        </w:tc>
        <w:tc>
          <w:tcPr>
            <w:tcW w:w="1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P-3</w:t>
            </w:r>
          </w:p>
        </w:tc>
        <w:tc>
          <w:tcPr>
            <w:tcW w:w="8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Baa3</w:t>
            </w:r>
          </w:p>
        </w:tc>
        <w:tc>
          <w:tcPr>
            <w:tcW w:w="1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Positve</w:t>
            </w:r>
          </w:p>
        </w:tc>
      </w:tr>
      <w:tr>
        <w:trPr>
          <w:trHeight w:val="22"/>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6"/>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S&amp;P</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Calibri" w:cs="Calibri" w:eastAsia="Calibri" w:hAnsi="Calibri"/>
                <w:sz w:val="15"/>
                <w:szCs w:val="15"/>
                <w:b w:val="1"/>
                <w:bCs w:val="1"/>
                <w:color w:val="auto"/>
              </w:rPr>
              <w:t>A-2</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Calibri" w:cs="Calibri" w:eastAsia="Calibri" w:hAnsi="Calibri"/>
                <w:sz w:val="15"/>
                <w:szCs w:val="15"/>
                <w:b w:val="1"/>
                <w:bCs w:val="1"/>
                <w:color w:val="auto"/>
              </w:rPr>
              <w:t>BBB</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Calibri" w:cs="Calibri" w:eastAsia="Calibri" w:hAnsi="Calibri"/>
                <w:sz w:val="15"/>
                <w:szCs w:val="15"/>
                <w:b w:val="1"/>
                <w:bCs w:val="1"/>
                <w:color w:val="auto"/>
              </w:rPr>
              <w:t>Stable</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5"/>
                <w:szCs w:val="15"/>
                <w:color w:val="auto"/>
              </w:rPr>
              <w:t>A-2</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5"/>
                <w:szCs w:val="15"/>
                <w:color w:val="auto"/>
              </w:rPr>
              <w:t>BBB</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Stable</w:t>
            </w:r>
          </w:p>
        </w:tc>
      </w:tr>
      <w:tr>
        <w:trPr>
          <w:trHeight w:val="52"/>
        </w:trPr>
        <w:tc>
          <w:tcPr>
            <w:tcW w:w="3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5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Other than described above, there have been no material changes in our borrowings from those reported as of June 30, 2023 in our Annual Report on Form 10-K.</w:t>
      </w:r>
    </w:p>
    <w:p>
      <w:pPr>
        <w:spacing w:after="0" w:line="114"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CASH AND OTHER ASSETS </w:t>
      </w:r>
      <w:r>
        <w:rPr>
          <w:rFonts w:ascii="Calibri" w:cs="Calibri" w:eastAsia="Calibri" w:hAnsi="Calibri"/>
          <w:sz w:val="17"/>
          <w:szCs w:val="17"/>
          <w:color w:val="auto"/>
        </w:rPr>
        <w:t>– As of March 31, 2024, we held cash and cash equivalents, excluding restricted amounts, of $794.6 million, including $130.8 million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held by our foreign subsidiaries.</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Foreign Operatons. </w:t>
      </w:r>
      <w:r>
        <w:rPr>
          <w:rFonts w:ascii="Calibri" w:cs="Calibri" w:eastAsia="Calibri" w:hAnsi="Calibri"/>
          <w:sz w:val="17"/>
          <w:szCs w:val="17"/>
          <w:color w:val="auto"/>
        </w:rPr>
        <w:t>Seasonal borrowing needs of our Canadian operatons are typically funded by our U.S. operatons. To mitgate foreign currency risk, we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sometmes enter into foreign exchange forward contracts. There were no forward contracts outstanding as of March 31, 2024.</w:t>
      </w:r>
    </w:p>
    <w:p>
      <w:pPr>
        <w:spacing w:after="0" w:line="103"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We do not currently intend to repatriate non-borrowed funds held by our foreign subsidiaries in a manner that would trigger a material tax liability.</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impact of changes in foreign exchange rates during the period on our internatonal cash balances resulted in an decrease of $2.7 million and $7.9 million during the nine months ended March 31, 2024 and 2023, respectvely.</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CONTRACTUAL OBLIGATIONS AND COMMERCIAL COMMITMENTS </w:t>
      </w:r>
      <w:r>
        <w:rPr>
          <w:rFonts w:ascii="Calibri" w:cs="Calibri" w:eastAsia="Calibri" w:hAnsi="Calibri"/>
          <w:sz w:val="17"/>
          <w:szCs w:val="17"/>
          <w:color w:val="auto"/>
        </w:rPr>
        <w:t>– EAs are originated by Pathward. We purchase a 90% partcipaton interest, at par, in all EAs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originated by Pathward in accordance with our partcipaton agreement. Efectve October 20, 2023, we amended the Program Management Agreement and entered into a new partcipaton agreement related to EAs originated by Pathward. We purchased partcipaton interests of $346.3 million during the nine months ended March 31, 2024.</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There have been no other material changes in our contractual obligatons and commercial commitments from those reported in our June 30,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hanging="259"/>
        <w:spacing w:after="0"/>
        <w:tabs>
          <w:tab w:leader="none" w:pos="360" w:val="left"/>
        </w:tabs>
        <w:numPr>
          <w:ilvl w:val="0"/>
          <w:numId w:val="18"/>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SUMMARIZED GUARANTOR FINANCIAL STATEMENTS </w:t>
      </w:r>
      <w:r>
        <w:rPr>
          <w:rFonts w:ascii="Calibri" w:cs="Calibri" w:eastAsia="Calibri" w:hAnsi="Calibri"/>
          <w:sz w:val="17"/>
          <w:szCs w:val="17"/>
          <w:color w:val="auto"/>
        </w:rPr>
        <w:t>– Block Financial is a 100% owned subsidiary of H&amp;R Block, Inc. Block Financial is the Issuer and H&amp;R Block,</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Inc. is the full and unconditonal Guarantor of our Senior Notes, CLOC and other indebtedness issued from tme to tme.</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following table presents summarized fnancial informaton for H&amp;R Block, Inc. (Guarantor) and Block Financial (Issuer) on a combined basis afer intercompany eliminatons and excludes investments in and equity earnings in non-guarantor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7138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6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SUMMARIZED BALANCE SHEET - GUARANTOR AND ISSUER</w:t>
            </w: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26"/>
        </w:trPr>
        <w:tc>
          <w:tcPr>
            <w:tcW w:w="6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77"/>
        </w:trPr>
        <w:tc>
          <w:tcPr>
            <w:tcW w:w="696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120" w:type="dxa"/>
            <w:vAlign w:val="bottom"/>
          </w:tcPr>
          <w:p>
            <w:pPr>
              <w:spacing w:after="0"/>
              <w:rPr>
                <w:sz w:val="15"/>
                <w:szCs w:val="15"/>
                <w:color w:val="auto"/>
              </w:rPr>
            </w:pPr>
          </w:p>
        </w:tc>
        <w:tc>
          <w:tcPr>
            <w:tcW w:w="2060" w:type="dxa"/>
            <w:vAlign w:val="bottom"/>
            <w:gridSpan w:val="2"/>
          </w:tcPr>
          <w:p>
            <w:pPr>
              <w:jc w:val="right"/>
              <w:ind w:right="100"/>
              <w:spacing w:after="0" w:line="177" w:lineRule="exact"/>
              <w:rPr>
                <w:sz w:val="20"/>
                <w:szCs w:val="20"/>
                <w:color w:val="auto"/>
              </w:rPr>
            </w:pPr>
            <w:r>
              <w:rPr>
                <w:rFonts w:ascii="Calibri" w:cs="Calibri" w:eastAsia="Calibri" w:hAnsi="Calibri"/>
                <w:sz w:val="15"/>
                <w:szCs w:val="15"/>
                <w:b w:val="1"/>
                <w:bCs w:val="1"/>
                <w:color w:val="auto"/>
              </w:rPr>
              <w:t>March 31, 2024</w:t>
            </w:r>
          </w:p>
        </w:tc>
        <w:tc>
          <w:tcPr>
            <w:tcW w:w="120" w:type="dxa"/>
            <w:vAlign w:val="bottom"/>
          </w:tcPr>
          <w:p>
            <w:pPr>
              <w:spacing w:after="0"/>
              <w:rPr>
                <w:sz w:val="15"/>
                <w:szCs w:val="15"/>
                <w:color w:val="auto"/>
              </w:rPr>
            </w:pPr>
          </w:p>
        </w:tc>
        <w:tc>
          <w:tcPr>
            <w:tcW w:w="1980" w:type="dxa"/>
            <w:vAlign w:val="bottom"/>
          </w:tcPr>
          <w:p>
            <w:pPr>
              <w:jc w:val="right"/>
              <w:spacing w:after="0" w:line="177" w:lineRule="exact"/>
              <w:rPr>
                <w:sz w:val="20"/>
                <w:szCs w:val="20"/>
                <w:color w:val="auto"/>
              </w:rPr>
            </w:pPr>
            <w:r>
              <w:rPr>
                <w:rFonts w:ascii="Calibri" w:cs="Calibri" w:eastAsia="Calibri" w:hAnsi="Calibri"/>
                <w:sz w:val="15"/>
                <w:szCs w:val="15"/>
                <w:color w:val="auto"/>
              </w:rPr>
              <w:t>June 30, 2023</w:t>
            </w:r>
          </w:p>
        </w:tc>
      </w:tr>
      <w:tr>
        <w:trPr>
          <w:trHeight w:val="22"/>
        </w:trPr>
        <w:tc>
          <w:tcPr>
            <w:tcW w:w="6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7"/>
        </w:trPr>
        <w:tc>
          <w:tcPr>
            <w:tcW w:w="6860" w:type="dxa"/>
            <w:vAlign w:val="bottom"/>
          </w:tcPr>
          <w:p>
            <w:pPr>
              <w:ind w:left="20"/>
              <w:spacing w:after="0" w:line="177" w:lineRule="exact"/>
              <w:rPr>
                <w:sz w:val="20"/>
                <w:szCs w:val="20"/>
                <w:color w:val="auto"/>
              </w:rPr>
            </w:pPr>
            <w:r>
              <w:rPr>
                <w:rFonts w:ascii="Calibri" w:cs="Calibri" w:eastAsia="Calibri" w:hAnsi="Calibri"/>
                <w:sz w:val="15"/>
                <w:szCs w:val="15"/>
                <w:color w:val="auto"/>
              </w:rPr>
              <w:t>Current assets</w:t>
            </w:r>
          </w:p>
        </w:tc>
        <w:tc>
          <w:tcPr>
            <w:tcW w:w="100" w:type="dxa"/>
            <w:vAlign w:val="bottom"/>
          </w:tcPr>
          <w:p>
            <w:pPr>
              <w:spacing w:after="0"/>
              <w:rPr>
                <w:sz w:val="15"/>
                <w:szCs w:val="15"/>
                <w:color w:val="auto"/>
              </w:rPr>
            </w:pPr>
          </w:p>
        </w:tc>
        <w:tc>
          <w:tcPr>
            <w:tcW w:w="1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9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90,867</w:t>
            </w:r>
          </w:p>
        </w:tc>
        <w:tc>
          <w:tcPr>
            <w:tcW w:w="80" w:type="dxa"/>
            <w:vAlign w:val="bottom"/>
          </w:tcPr>
          <w:p>
            <w:pPr>
              <w:spacing w:after="0"/>
              <w:rPr>
                <w:sz w:val="15"/>
                <w:szCs w:val="15"/>
                <w:color w:val="auto"/>
              </w:rPr>
            </w:pPr>
          </w:p>
        </w:tc>
        <w:tc>
          <w:tcPr>
            <w:tcW w:w="120" w:type="dxa"/>
            <w:vAlign w:val="bottom"/>
          </w:tcPr>
          <w:p>
            <w:pPr>
              <w:jc w:val="right"/>
              <w:spacing w:after="0" w:line="177" w:lineRule="exact"/>
              <w:rPr>
                <w:sz w:val="20"/>
                <w:szCs w:val="20"/>
                <w:color w:val="auto"/>
              </w:rPr>
            </w:pPr>
            <w:r>
              <w:rPr>
                <w:rFonts w:ascii="Calibri" w:cs="Calibri" w:eastAsia="Calibri" w:hAnsi="Calibri"/>
                <w:sz w:val="15"/>
                <w:szCs w:val="15"/>
                <w:color w:val="auto"/>
              </w:rPr>
              <w:t>$</w:t>
            </w:r>
          </w:p>
        </w:tc>
        <w:tc>
          <w:tcPr>
            <w:tcW w:w="1980" w:type="dxa"/>
            <w:vAlign w:val="bottom"/>
          </w:tcPr>
          <w:p>
            <w:pPr>
              <w:jc w:val="right"/>
              <w:spacing w:after="0" w:line="177" w:lineRule="exact"/>
              <w:rPr>
                <w:sz w:val="20"/>
                <w:szCs w:val="20"/>
                <w:color w:val="auto"/>
              </w:rPr>
            </w:pPr>
            <w:r>
              <w:rPr>
                <w:rFonts w:ascii="Calibri" w:cs="Calibri" w:eastAsia="Calibri" w:hAnsi="Calibri"/>
                <w:sz w:val="15"/>
                <w:szCs w:val="15"/>
                <w:color w:val="auto"/>
              </w:rPr>
              <w:t>37,407</w:t>
            </w:r>
          </w:p>
        </w:tc>
      </w:tr>
      <w:tr>
        <w:trPr>
          <w:trHeight w:val="22"/>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6"/>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Noncurrent assets</w:t>
            </w: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1,724,972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1,725,234</w:t>
            </w:r>
          </w:p>
        </w:tc>
      </w:tr>
      <w:tr>
        <w:trPr>
          <w:trHeight w:val="184"/>
        </w:trPr>
        <w:tc>
          <w:tcPr>
            <w:tcW w:w="6960" w:type="dxa"/>
            <w:vAlign w:val="bottom"/>
            <w:gridSpan w:val="2"/>
          </w:tcPr>
          <w:p>
            <w:pPr>
              <w:ind w:left="20"/>
              <w:spacing w:after="0"/>
              <w:rPr>
                <w:sz w:val="20"/>
                <w:szCs w:val="20"/>
                <w:color w:val="auto"/>
              </w:rPr>
            </w:pPr>
            <w:r>
              <w:rPr>
                <w:rFonts w:ascii="Calibri" w:cs="Calibri" w:eastAsia="Calibri" w:hAnsi="Calibri"/>
                <w:sz w:val="15"/>
                <w:szCs w:val="15"/>
                <w:color w:val="auto"/>
              </w:rPr>
              <w:t>Current liabilites</w:t>
            </w: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b w:val="1"/>
                <w:bCs w:val="1"/>
                <w:color w:val="auto"/>
              </w:rPr>
              <w:t>77,019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color w:val="auto"/>
              </w:rPr>
              <w:t>78,259</w:t>
            </w:r>
          </w:p>
        </w:tc>
      </w:tr>
      <w:tr>
        <w:trPr>
          <w:trHeight w:val="22"/>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6"/>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Noncurrent liabilites</w:t>
            </w: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1,491,783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1,494,010</w:t>
            </w:r>
          </w:p>
        </w:tc>
      </w:tr>
      <w:tr>
        <w:trPr>
          <w:trHeight w:val="52"/>
        </w:trPr>
        <w:tc>
          <w:tcPr>
            <w:tcW w:w="6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r>
        <w:trPr>
          <w:trHeight w:val="212"/>
        </w:trPr>
        <w:tc>
          <w:tcPr>
            <w:tcW w:w="696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r>
      <w:tr>
        <w:trPr>
          <w:trHeight w:val="177"/>
        </w:trPr>
        <w:tc>
          <w:tcPr>
            <w:tcW w:w="6960" w:type="dxa"/>
            <w:vAlign w:val="bottom"/>
            <w:gridSpan w:val="2"/>
          </w:tcPr>
          <w:p>
            <w:pPr>
              <w:ind w:left="20"/>
              <w:spacing w:after="0" w:line="177" w:lineRule="exact"/>
              <w:rPr>
                <w:sz w:val="20"/>
                <w:szCs w:val="20"/>
                <w:color w:val="auto"/>
              </w:rPr>
            </w:pPr>
            <w:r>
              <w:rPr>
                <w:rFonts w:ascii="Calibri" w:cs="Calibri" w:eastAsia="Calibri" w:hAnsi="Calibri"/>
                <w:sz w:val="15"/>
                <w:szCs w:val="15"/>
                <w:b w:val="1"/>
                <w:bCs w:val="1"/>
                <w:color w:val="auto"/>
              </w:rPr>
              <w:t>SUMMARIZED STATEMENTS OF OPERATIONS - GUARANTOR AND ISSUER</w:t>
            </w: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right"/>
              <w:spacing w:after="0" w:line="164" w:lineRule="exact"/>
              <w:rPr>
                <w:sz w:val="20"/>
                <w:szCs w:val="20"/>
                <w:color w:val="auto"/>
              </w:rPr>
            </w:pPr>
            <w:r>
              <w:rPr>
                <w:rFonts w:ascii="Calibri" w:cs="Calibri" w:eastAsia="Calibri" w:hAnsi="Calibri"/>
                <w:sz w:val="14"/>
                <w:szCs w:val="14"/>
                <w:color w:val="auto"/>
              </w:rPr>
              <w:t>(in 000s)</w:t>
            </w:r>
          </w:p>
        </w:tc>
      </w:tr>
      <w:tr>
        <w:trPr>
          <w:trHeight w:val="22"/>
        </w:trPr>
        <w:tc>
          <w:tcPr>
            <w:tcW w:w="6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43"/>
        </w:trPr>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right"/>
              <w:ind w:right="100"/>
              <w:spacing w:after="0" w:line="143" w:lineRule="exact"/>
              <w:rPr>
                <w:sz w:val="20"/>
                <w:szCs w:val="20"/>
                <w:color w:val="auto"/>
              </w:rPr>
            </w:pPr>
            <w:r>
              <w:rPr>
                <w:rFonts w:ascii="Calibri" w:cs="Calibri" w:eastAsia="Calibri" w:hAnsi="Calibri"/>
                <w:sz w:val="15"/>
                <w:szCs w:val="15"/>
                <w:b w:val="1"/>
                <w:bCs w:val="1"/>
                <w:color w:val="auto"/>
              </w:rPr>
              <w:t>Nine months ended March 31,</w:t>
            </w:r>
          </w:p>
        </w:tc>
        <w:tc>
          <w:tcPr>
            <w:tcW w:w="120" w:type="dxa"/>
            <w:vAlign w:val="bottom"/>
          </w:tcPr>
          <w:p>
            <w:pPr>
              <w:spacing w:after="0"/>
              <w:rPr>
                <w:sz w:val="12"/>
                <w:szCs w:val="12"/>
                <w:color w:val="auto"/>
              </w:rPr>
            </w:pPr>
          </w:p>
        </w:tc>
        <w:tc>
          <w:tcPr>
            <w:tcW w:w="1980" w:type="dxa"/>
            <w:vAlign w:val="bottom"/>
          </w:tcPr>
          <w:p>
            <w:pPr>
              <w:jc w:val="right"/>
              <w:spacing w:after="0" w:line="143" w:lineRule="exact"/>
              <w:rPr>
                <w:sz w:val="20"/>
                <w:szCs w:val="20"/>
                <w:color w:val="auto"/>
              </w:rPr>
            </w:pPr>
            <w:r>
              <w:rPr>
                <w:rFonts w:ascii="Calibri" w:cs="Calibri" w:eastAsia="Calibri" w:hAnsi="Calibri"/>
                <w:sz w:val="15"/>
                <w:szCs w:val="15"/>
                <w:color w:val="auto"/>
              </w:rPr>
              <w:t>Twelve months ended June 30,</w:t>
            </w:r>
          </w:p>
        </w:tc>
      </w:tr>
      <w:tr>
        <w:trPr>
          <w:trHeight w:val="184"/>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color w:val="auto"/>
              </w:rPr>
              <w:t>2023</w:t>
            </w:r>
          </w:p>
        </w:tc>
      </w:tr>
      <w:tr>
        <w:trPr>
          <w:trHeight w:val="26"/>
        </w:trPr>
        <w:tc>
          <w:tcPr>
            <w:tcW w:w="6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177"/>
        </w:trPr>
        <w:tc>
          <w:tcPr>
            <w:tcW w:w="68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Total revenues</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9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119,650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19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160,236</w:t>
            </w:r>
          </w:p>
        </w:tc>
      </w:tr>
      <w:tr>
        <w:trPr>
          <w:trHeight w:val="22"/>
        </w:trPr>
        <w:tc>
          <w:tcPr>
            <w:tcW w:w="6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6"/>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Income from contnuing operatons before income taxes</w:t>
            </w: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70,417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40,258</w:t>
            </w:r>
          </w:p>
        </w:tc>
      </w:tr>
      <w:tr>
        <w:trPr>
          <w:trHeight w:val="184"/>
        </w:trPr>
        <w:tc>
          <w:tcPr>
            <w:tcW w:w="6960" w:type="dxa"/>
            <w:vAlign w:val="bottom"/>
            <w:gridSpan w:val="2"/>
          </w:tcPr>
          <w:p>
            <w:pPr>
              <w:ind w:left="20"/>
              <w:spacing w:after="0"/>
              <w:rPr>
                <w:sz w:val="20"/>
                <w:szCs w:val="20"/>
                <w:color w:val="auto"/>
              </w:rPr>
            </w:pPr>
            <w:r>
              <w:rPr>
                <w:rFonts w:ascii="Calibri" w:cs="Calibri" w:eastAsia="Calibri" w:hAnsi="Calibri"/>
                <w:sz w:val="15"/>
                <w:szCs w:val="15"/>
                <w:color w:val="auto"/>
              </w:rPr>
              <w:t>Net income from contnuing operatons</w:t>
            </w: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b w:val="1"/>
                <w:bCs w:val="1"/>
                <w:color w:val="auto"/>
              </w:rPr>
              <w:t>54,127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color w:val="auto"/>
              </w:rPr>
              <w:t>31,713</w:t>
            </w:r>
          </w:p>
        </w:tc>
      </w:tr>
      <w:tr>
        <w:trPr>
          <w:trHeight w:val="22"/>
        </w:trPr>
        <w:tc>
          <w:tcPr>
            <w:tcW w:w="6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6"/>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income</w:t>
            </w: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52,029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23,613</w:t>
            </w:r>
          </w:p>
        </w:tc>
      </w:tr>
      <w:tr>
        <w:trPr>
          <w:trHeight w:val="52"/>
        </w:trPr>
        <w:tc>
          <w:tcPr>
            <w:tcW w:w="6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159"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table above refects $1.7 billion of non-current intercompany receivables due to the Issuer from non-guarantor subsidiaries as of March 31, 2024 and June 30, 2023, respectvely.</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REGULATORY ENVIRONMENT</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color w:val="auto"/>
        </w:rPr>
        <w:t>There have been no material changes in our regulatory environment from what was reported in our June 30, 2023 Annual Report on Form 10-K.</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NON-GAAP FINANCIAL INFORMATION</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Non-GAAP fnancial measures should not be considered as a substtute for, or superior to, measures of fnancial performance prepared in accordance with U.S. generally accepted accountng principles (GAAP). Because these measures are not measures of fnancial performance under GAAP and are susceptble to varying calculatons, they may not be comparable to similarly ttled measures for other companies.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consider our non-GAAP fnancial measures to be performance measures and a useful metric for management and investors to evaluate and compare the ongoing operatng performance of our business. We make adjustments for certain non-GAAP fnancial measures related to amortzaton of intangibles from acquisitons and goodwill impairments. We may consider whether other signifcant items that arise in the future should be excluded from our non-GAAP fnancial measures.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measure the performance of our business using a variety of metrics, including earnings before interest, taxes, depreciaton and amortzaton (EBITDA) from contnuing operatons, adjusted EBITDA from contnuing operatons, adjusted diluted earnings per share from contnuing operatons, free cash fow and free cash fow yield. We also use EBITDA from contnuing operatons and pretax income of contnuing operatons, each subject to permited adjustments, as performance metrics in incentve compensaton calculatons for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3"/>
          <w:szCs w:val="13"/>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The following is a reconciliaton of net income to EBITDA from contnuing operatons, which is a non-GAAP fnancial measure:</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3"/>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77"/>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00" w:type="dxa"/>
            <w:vAlign w:val="bottom"/>
            <w:gridSpan w:val="3"/>
          </w:tcPr>
          <w:p>
            <w:pPr>
              <w:jc w:val="right"/>
              <w:spacing w:after="0" w:line="177" w:lineRule="exact"/>
              <w:rPr>
                <w:sz w:val="20"/>
                <w:szCs w:val="20"/>
                <w:color w:val="auto"/>
              </w:rPr>
            </w:pPr>
            <w:r>
              <w:rPr>
                <w:rFonts w:ascii="Calibri" w:cs="Calibri" w:eastAsia="Calibri" w:hAnsi="Calibri"/>
                <w:sz w:val="15"/>
                <w:szCs w:val="15"/>
                <w:color w:val="auto"/>
              </w:rPr>
              <w:t>Three months ended March 31,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60" w:type="dxa"/>
            <w:vAlign w:val="bottom"/>
            <w:gridSpan w:val="3"/>
          </w:tcPr>
          <w:p>
            <w:pPr>
              <w:jc w:val="right"/>
              <w:spacing w:after="0" w:line="177" w:lineRule="exact"/>
              <w:rPr>
                <w:sz w:val="20"/>
                <w:szCs w:val="20"/>
                <w:color w:val="auto"/>
              </w:rPr>
            </w:pPr>
            <w:r>
              <w:rPr>
                <w:rFonts w:ascii="Calibri" w:cs="Calibri" w:eastAsia="Calibri" w:hAnsi="Calibri"/>
                <w:sz w:val="15"/>
                <w:szCs w:val="15"/>
                <w:color w:val="auto"/>
              </w:rPr>
              <w:t>Nine months ended March 31,</w:t>
            </w:r>
          </w:p>
        </w:tc>
        <w:tc>
          <w:tcPr>
            <w:tcW w:w="640" w:type="dxa"/>
            <w:vAlign w:val="bottom"/>
          </w:tcPr>
          <w:p>
            <w:pPr>
              <w:spacing w:after="0"/>
              <w:rPr>
                <w:sz w:val="15"/>
                <w:szCs w:val="15"/>
                <w:color w:val="auto"/>
              </w:rPr>
            </w:pPr>
          </w:p>
        </w:tc>
      </w:tr>
      <w:tr>
        <w:trPr>
          <w:trHeight w:val="22"/>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7"/>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4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77"/>
        </w:trPr>
        <w:tc>
          <w:tcPr>
            <w:tcW w:w="4460" w:type="dxa"/>
            <w:vAlign w:val="bottom"/>
          </w:tcPr>
          <w:p>
            <w:pPr>
              <w:ind w:left="20"/>
              <w:spacing w:after="0" w:line="177" w:lineRule="exact"/>
              <w:rPr>
                <w:sz w:val="20"/>
                <w:szCs w:val="20"/>
                <w:color w:val="auto"/>
              </w:rPr>
            </w:pPr>
            <w:r>
              <w:rPr>
                <w:rFonts w:ascii="Calibri" w:cs="Calibri" w:eastAsia="Calibri" w:hAnsi="Calibri"/>
                <w:sz w:val="15"/>
                <w:szCs w:val="15"/>
                <w:color w:val="auto"/>
              </w:rPr>
              <w:t>Net income - as reported</w:t>
            </w:r>
          </w:p>
        </w:tc>
        <w:tc>
          <w:tcPr>
            <w:tcW w:w="80" w:type="dxa"/>
            <w:vAlign w:val="bottom"/>
          </w:tcPr>
          <w:p>
            <w:pPr>
              <w:spacing w:after="0"/>
              <w:rPr>
                <w:sz w:val="15"/>
                <w:szCs w:val="15"/>
                <w:color w:val="auto"/>
              </w:rPr>
            </w:pPr>
          </w:p>
        </w:tc>
        <w:tc>
          <w:tcPr>
            <w:tcW w:w="380" w:type="dxa"/>
            <w:vAlign w:val="bottom"/>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690,737</w:t>
            </w:r>
          </w:p>
        </w:tc>
        <w:tc>
          <w:tcPr>
            <w:tcW w:w="100" w:type="dxa"/>
            <w:vAlign w:val="bottom"/>
          </w:tcPr>
          <w:p>
            <w:pPr>
              <w:spacing w:after="0"/>
              <w:rPr>
                <w:sz w:val="15"/>
                <w:szCs w:val="15"/>
                <w:color w:val="auto"/>
              </w:rPr>
            </w:pPr>
          </w:p>
        </w:tc>
        <w:tc>
          <w:tcPr>
            <w:tcW w:w="980" w:type="dxa"/>
            <w:vAlign w:val="bottom"/>
          </w:tcPr>
          <w:p>
            <w:pPr>
              <w:jc w:val="right"/>
              <w:ind w:right="823"/>
              <w:spacing w:after="0" w:line="177" w:lineRule="exact"/>
              <w:rPr>
                <w:sz w:val="20"/>
                <w:szCs w:val="20"/>
                <w:color w:val="auto"/>
              </w:rPr>
            </w:pPr>
            <w:r>
              <w:rPr>
                <w:rFonts w:ascii="Calibri" w:cs="Calibri" w:eastAsia="Calibri" w:hAnsi="Calibri"/>
                <w:sz w:val="15"/>
                <w:szCs w:val="15"/>
                <w:color w:val="auto"/>
                <w:w w:val="78"/>
              </w:rPr>
              <w:t>$</w:t>
            </w:r>
          </w:p>
        </w:tc>
        <w:tc>
          <w:tcPr>
            <w:tcW w:w="620" w:type="dxa"/>
            <w:vAlign w:val="bottom"/>
          </w:tcPr>
          <w:p>
            <w:pPr>
              <w:jc w:val="right"/>
              <w:ind w:right="3"/>
              <w:spacing w:after="0" w:line="177" w:lineRule="exact"/>
              <w:rPr>
                <w:sz w:val="20"/>
                <w:szCs w:val="20"/>
                <w:color w:val="auto"/>
              </w:rPr>
            </w:pPr>
            <w:r>
              <w:rPr>
                <w:rFonts w:ascii="Calibri" w:cs="Calibri" w:eastAsia="Calibri" w:hAnsi="Calibri"/>
                <w:sz w:val="15"/>
                <w:szCs w:val="15"/>
                <w:color w:val="auto"/>
              </w:rPr>
              <w:t>643,429</w:t>
            </w:r>
          </w:p>
        </w:tc>
        <w:tc>
          <w:tcPr>
            <w:tcW w:w="80" w:type="dxa"/>
            <w:vAlign w:val="bottom"/>
          </w:tcPr>
          <w:p>
            <w:pPr>
              <w:spacing w:after="0"/>
              <w:rPr>
                <w:sz w:val="15"/>
                <w:szCs w:val="15"/>
                <w:color w:val="auto"/>
              </w:rPr>
            </w:pPr>
          </w:p>
        </w:tc>
        <w:tc>
          <w:tcPr>
            <w:tcW w:w="400" w:type="dxa"/>
            <w:vAlign w:val="bottom"/>
          </w:tcPr>
          <w:p>
            <w:pPr>
              <w:jc w:val="right"/>
              <w:ind w:right="223"/>
              <w:spacing w:after="0" w:line="177" w:lineRule="exact"/>
              <w:rPr>
                <w:sz w:val="20"/>
                <w:szCs w:val="20"/>
                <w:color w:val="auto"/>
              </w:rPr>
            </w:pPr>
            <w:r>
              <w:rPr>
                <w:rFonts w:ascii="Calibri" w:cs="Calibri" w:eastAsia="Calibri" w:hAnsi="Calibri"/>
                <w:sz w:val="15"/>
                <w:szCs w:val="15"/>
                <w:b w:val="1"/>
                <w:bCs w:val="1"/>
                <w:color w:val="auto"/>
              </w:rPr>
              <w:t>$</w:t>
            </w: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337,500</w:t>
            </w:r>
          </w:p>
        </w:tc>
        <w:tc>
          <w:tcPr>
            <w:tcW w:w="100" w:type="dxa"/>
            <w:vAlign w:val="bottom"/>
          </w:tcPr>
          <w:p>
            <w:pPr>
              <w:spacing w:after="0"/>
              <w:rPr>
                <w:sz w:val="15"/>
                <w:szCs w:val="15"/>
                <w:color w:val="auto"/>
              </w:rPr>
            </w:pPr>
          </w:p>
        </w:tc>
        <w:tc>
          <w:tcPr>
            <w:tcW w:w="960" w:type="dxa"/>
            <w:vAlign w:val="bottom"/>
          </w:tcPr>
          <w:p>
            <w:pPr>
              <w:jc w:val="right"/>
              <w:ind w:right="803"/>
              <w:spacing w:after="0" w:line="177" w:lineRule="exact"/>
              <w:rPr>
                <w:sz w:val="20"/>
                <w:szCs w:val="20"/>
                <w:color w:val="auto"/>
              </w:rPr>
            </w:pPr>
            <w:r>
              <w:rPr>
                <w:rFonts w:ascii="Calibri" w:cs="Calibri" w:eastAsia="Calibri" w:hAnsi="Calibri"/>
                <w:sz w:val="15"/>
                <w:szCs w:val="15"/>
                <w:color w:val="auto"/>
                <w:w w:val="78"/>
              </w:rPr>
              <w:t>$</w:t>
            </w:r>
          </w:p>
        </w:tc>
        <w:tc>
          <w:tcPr>
            <w:tcW w:w="640" w:type="dxa"/>
            <w:vAlign w:val="bottom"/>
          </w:tcPr>
          <w:p>
            <w:pPr>
              <w:jc w:val="right"/>
              <w:ind w:right="4"/>
              <w:spacing w:after="0" w:line="177" w:lineRule="exact"/>
              <w:rPr>
                <w:sz w:val="20"/>
                <w:szCs w:val="20"/>
                <w:color w:val="auto"/>
              </w:rPr>
            </w:pPr>
            <w:r>
              <w:rPr>
                <w:rFonts w:ascii="Calibri" w:cs="Calibri" w:eastAsia="Calibri" w:hAnsi="Calibri"/>
                <w:sz w:val="15"/>
                <w:szCs w:val="15"/>
                <w:color w:val="auto"/>
              </w:rPr>
              <w:t>251,429</w:t>
            </w:r>
          </w:p>
        </w:tc>
      </w:tr>
      <w:tr>
        <w:trPr>
          <w:trHeight w:val="22"/>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6"/>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Discontnued operatons, net</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849</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2,648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2,097</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Calibri" w:cs="Calibri" w:eastAsia="Calibri" w:hAnsi="Calibri"/>
                <w:sz w:val="15"/>
                <w:szCs w:val="15"/>
                <w:color w:val="auto"/>
              </w:rPr>
              <w:t>6,418</w:t>
            </w:r>
          </w:p>
        </w:tc>
      </w:tr>
      <w:tr>
        <w:trPr>
          <w:trHeight w:val="177"/>
        </w:trPr>
        <w:tc>
          <w:tcPr>
            <w:tcW w:w="454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income from contnuing operatons - as reported</w:t>
            </w: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691,586</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646,077</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339,597</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
              <w:spacing w:after="0" w:line="177" w:lineRule="exact"/>
              <w:rPr>
                <w:sz w:val="20"/>
                <w:szCs w:val="20"/>
                <w:color w:val="auto"/>
              </w:rPr>
            </w:pPr>
            <w:r>
              <w:rPr>
                <w:rFonts w:ascii="Calibri" w:cs="Calibri" w:eastAsia="Calibri" w:hAnsi="Calibri"/>
                <w:sz w:val="15"/>
                <w:szCs w:val="15"/>
                <w:color w:val="auto"/>
              </w:rPr>
              <w:t>257,847</w:t>
            </w:r>
          </w:p>
        </w:tc>
      </w:tr>
      <w:tr>
        <w:trPr>
          <w:trHeight w:val="22"/>
        </w:trPr>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6"/>
        </w:trPr>
        <w:tc>
          <w:tcPr>
            <w:tcW w:w="454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Add back:</w:t>
            </w: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r>
      <w:tr>
        <w:trPr>
          <w:trHeight w:val="184"/>
        </w:trPr>
        <w:tc>
          <w:tcPr>
            <w:tcW w:w="4540" w:type="dxa"/>
            <w:vAlign w:val="bottom"/>
            <w:gridSpan w:val="2"/>
          </w:tcPr>
          <w:p>
            <w:pPr>
              <w:ind w:left="140"/>
              <w:spacing w:after="0"/>
              <w:rPr>
                <w:sz w:val="20"/>
                <w:szCs w:val="20"/>
                <w:color w:val="auto"/>
              </w:rPr>
            </w:pPr>
            <w:r>
              <w:rPr>
                <w:rFonts w:ascii="Calibri" w:cs="Calibri" w:eastAsia="Calibri" w:hAnsi="Calibri"/>
                <w:sz w:val="15"/>
                <w:szCs w:val="15"/>
                <w:color w:val="auto"/>
              </w:rPr>
              <w:t>Income taxes</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215,772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Calibri" w:cs="Calibri" w:eastAsia="Calibri" w:hAnsi="Calibri"/>
                <w:sz w:val="15"/>
                <w:szCs w:val="15"/>
                <w:color w:val="auto"/>
              </w:rPr>
              <w:t>209,351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72,527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Calibri" w:cs="Calibri" w:eastAsia="Calibri" w:hAnsi="Calibri"/>
                <w:sz w:val="15"/>
                <w:szCs w:val="15"/>
                <w:color w:val="auto"/>
              </w:rPr>
              <w:t>78,254</w:t>
            </w:r>
          </w:p>
        </w:tc>
      </w:tr>
      <w:tr>
        <w:trPr>
          <w:trHeight w:val="22"/>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6"/>
        </w:trPr>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Interest expense</w:t>
            </w: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26,070</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22,298</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63,304</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
              <w:spacing w:after="0"/>
              <w:rPr>
                <w:sz w:val="20"/>
                <w:szCs w:val="20"/>
                <w:color w:val="auto"/>
              </w:rPr>
            </w:pPr>
            <w:r>
              <w:rPr>
                <w:rFonts w:ascii="Calibri" w:cs="Calibri" w:eastAsia="Calibri" w:hAnsi="Calibri"/>
                <w:sz w:val="15"/>
                <w:szCs w:val="15"/>
                <w:color w:val="auto"/>
              </w:rPr>
              <w:t>57,107</w:t>
            </w:r>
          </w:p>
        </w:tc>
      </w:tr>
      <w:tr>
        <w:trPr>
          <w:trHeight w:val="184"/>
        </w:trPr>
        <w:tc>
          <w:tcPr>
            <w:tcW w:w="4540" w:type="dxa"/>
            <w:vAlign w:val="bottom"/>
            <w:gridSpan w:val="2"/>
          </w:tcPr>
          <w:p>
            <w:pPr>
              <w:ind w:left="140"/>
              <w:spacing w:after="0"/>
              <w:rPr>
                <w:sz w:val="20"/>
                <w:szCs w:val="20"/>
                <w:color w:val="auto"/>
              </w:rPr>
            </w:pPr>
            <w:r>
              <w:rPr>
                <w:rFonts w:ascii="Calibri" w:cs="Calibri" w:eastAsia="Calibri" w:hAnsi="Calibri"/>
                <w:sz w:val="15"/>
                <w:szCs w:val="15"/>
                <w:color w:val="auto"/>
              </w:rPr>
              <w:t>Depreciaton and amortzaton</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30,672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ind w:right="3"/>
              <w:spacing w:after="0"/>
              <w:rPr>
                <w:sz w:val="20"/>
                <w:szCs w:val="20"/>
                <w:color w:val="auto"/>
              </w:rPr>
            </w:pPr>
            <w:r>
              <w:rPr>
                <w:rFonts w:ascii="Calibri" w:cs="Calibri" w:eastAsia="Calibri" w:hAnsi="Calibri"/>
                <w:sz w:val="15"/>
                <w:szCs w:val="15"/>
                <w:color w:val="auto"/>
              </w:rPr>
              <w:t>32,313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b w:val="1"/>
                <w:bCs w:val="1"/>
                <w:color w:val="auto"/>
              </w:rPr>
              <w:t>91,004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Calibri" w:cs="Calibri" w:eastAsia="Calibri" w:hAnsi="Calibri"/>
                <w:sz w:val="15"/>
                <w:szCs w:val="15"/>
                <w:color w:val="auto"/>
              </w:rPr>
              <w:t>98,660</w:t>
            </w:r>
          </w:p>
        </w:tc>
      </w:tr>
      <w:tr>
        <w:trPr>
          <w:trHeight w:val="22"/>
        </w:trPr>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9"/>
        </w:trPr>
        <w:tc>
          <w:tcPr>
            <w:tcW w:w="4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272,514</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263,962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226,835</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
              <w:spacing w:after="0" w:line="177" w:lineRule="exact"/>
              <w:rPr>
                <w:sz w:val="20"/>
                <w:szCs w:val="20"/>
                <w:color w:val="auto"/>
              </w:rPr>
            </w:pPr>
            <w:r>
              <w:rPr>
                <w:rFonts w:ascii="Calibri" w:cs="Calibri" w:eastAsia="Calibri" w:hAnsi="Calibri"/>
                <w:sz w:val="15"/>
                <w:szCs w:val="15"/>
                <w:color w:val="auto"/>
              </w:rPr>
              <w:t>234,021</w:t>
            </w:r>
          </w:p>
        </w:tc>
      </w:tr>
      <w:tr>
        <w:trPr>
          <w:trHeight w:val="177"/>
        </w:trPr>
        <w:tc>
          <w:tcPr>
            <w:tcW w:w="454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EBITDA from contnuing operatons</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964,100</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ind w:right="823"/>
              <w:spacing w:after="0" w:line="177" w:lineRule="exact"/>
              <w:rPr>
                <w:sz w:val="20"/>
                <w:szCs w:val="20"/>
                <w:color w:val="auto"/>
              </w:rPr>
            </w:pPr>
            <w:r>
              <w:rPr>
                <w:rFonts w:ascii="Calibri" w:cs="Calibri" w:eastAsia="Calibri" w:hAnsi="Calibri"/>
                <w:sz w:val="15"/>
                <w:szCs w:val="15"/>
                <w:color w:val="auto"/>
                <w:w w:val="78"/>
              </w:rPr>
              <w:t>$</w:t>
            </w:r>
          </w:p>
        </w:tc>
        <w:tc>
          <w:tcPr>
            <w:tcW w:w="62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910,039</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b w:val="1"/>
                <w:bCs w:val="1"/>
                <w:color w:val="auto"/>
              </w:rPr>
              <w:t>$</w:t>
            </w: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566,432</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ind w:right="803"/>
              <w:spacing w:after="0" w:line="177" w:lineRule="exact"/>
              <w:rPr>
                <w:sz w:val="20"/>
                <w:szCs w:val="20"/>
                <w:color w:val="auto"/>
              </w:rPr>
            </w:pPr>
            <w:r>
              <w:rPr>
                <w:rFonts w:ascii="Calibri" w:cs="Calibri" w:eastAsia="Calibri" w:hAnsi="Calibri"/>
                <w:sz w:val="15"/>
                <w:szCs w:val="15"/>
                <w:color w:val="auto"/>
                <w:w w:val="78"/>
              </w:rPr>
              <w:t>$</w:t>
            </w:r>
          </w:p>
        </w:tc>
        <w:tc>
          <w:tcPr>
            <w:tcW w:w="640" w:type="dxa"/>
            <w:vAlign w:val="bottom"/>
            <w:tcBorders>
              <w:top w:val="single" w:sz="8" w:color="auto"/>
            </w:tcBorders>
          </w:tcPr>
          <w:p>
            <w:pPr>
              <w:jc w:val="right"/>
              <w:ind w:right="4"/>
              <w:spacing w:after="0" w:line="177" w:lineRule="exact"/>
              <w:rPr>
                <w:sz w:val="20"/>
                <w:szCs w:val="20"/>
                <w:color w:val="auto"/>
              </w:rPr>
            </w:pPr>
            <w:r>
              <w:rPr>
                <w:rFonts w:ascii="Calibri" w:cs="Calibri" w:eastAsia="Calibri" w:hAnsi="Calibri"/>
                <w:sz w:val="15"/>
                <w:szCs w:val="15"/>
                <w:color w:val="auto"/>
              </w:rPr>
              <w:t>491,868</w:t>
            </w:r>
          </w:p>
        </w:tc>
      </w:tr>
      <w:tr>
        <w:trPr>
          <w:trHeight w:val="59"/>
        </w:trPr>
        <w:tc>
          <w:tcPr>
            <w:tcW w:w="44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0"/>
        </w:trPr>
        <w:tc>
          <w:tcPr>
            <w:tcW w:w="44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r>
    </w:tbl>
    <w:p>
      <w:pPr>
        <w:spacing w:after="0" w:line="172"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following is a reconciliaton of our results from contnuing operatons to our adjusted results from contnuing operatons, which is a non-GAAP fnancial measure:</w:t>
      </w:r>
    </w:p>
    <w:p>
      <w:pPr>
        <w:spacing w:after="0" w:line="62" w:lineRule="exact"/>
        <w:rPr>
          <w:sz w:val="20"/>
          <w:szCs w:val="20"/>
          <w:color w:val="auto"/>
        </w:rPr>
      </w:pPr>
    </w:p>
    <w:p>
      <w:pPr>
        <w:ind w:left="9240"/>
        <w:spacing w:after="0"/>
        <w:rPr>
          <w:sz w:val="20"/>
          <w:szCs w:val="20"/>
          <w:color w:val="auto"/>
        </w:rPr>
      </w:pPr>
      <w:r>
        <w:rPr>
          <w:rFonts w:ascii="Calibri" w:cs="Calibri" w:eastAsia="Calibri" w:hAnsi="Calibri"/>
          <w:sz w:val="13"/>
          <w:szCs w:val="13"/>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Calibri" w:cs="Calibri" w:eastAsia="Calibri" w:hAnsi="Calibri"/>
                <w:sz w:val="15"/>
                <w:szCs w:val="15"/>
                <w:color w:val="auto"/>
              </w:rPr>
              <w:t>Three months ended March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Calibri" w:cs="Calibri" w:eastAsia="Calibri" w:hAnsi="Calibri"/>
                <w:sz w:val="15"/>
                <w:szCs w:val="15"/>
                <w:color w:val="auto"/>
              </w:rPr>
              <w:t>Nine months ended March 31,</w:t>
            </w:r>
          </w:p>
        </w:tc>
        <w:tc>
          <w:tcPr>
            <w:tcW w:w="620" w:type="dxa"/>
            <w:vAlign w:val="bottom"/>
          </w:tcPr>
          <w:p>
            <w:pPr>
              <w:spacing w:after="0"/>
              <w:rPr>
                <w:sz w:val="16"/>
                <w:szCs w:val="16"/>
                <w:color w:val="auto"/>
              </w:rPr>
            </w:pPr>
          </w:p>
        </w:tc>
      </w:tr>
      <w:tr>
        <w:trPr>
          <w:trHeight w:val="26"/>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7"/>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Calibri" w:cs="Calibri" w:eastAsia="Calibri" w:hAnsi="Calibri"/>
                <w:sz w:val="15"/>
                <w:szCs w:val="15"/>
                <w:color w:val="auto"/>
              </w:rPr>
              <w:t>2023</w:t>
            </w:r>
          </w:p>
        </w:tc>
      </w:tr>
      <w:tr>
        <w:trPr>
          <w:trHeight w:val="22"/>
        </w:trPr>
        <w:tc>
          <w:tcPr>
            <w:tcW w:w="4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7"/>
        </w:trPr>
        <w:tc>
          <w:tcPr>
            <w:tcW w:w="4480" w:type="dxa"/>
            <w:vAlign w:val="bottom"/>
          </w:tcPr>
          <w:p>
            <w:pPr>
              <w:ind w:left="20"/>
              <w:spacing w:after="0" w:line="177" w:lineRule="exact"/>
              <w:rPr>
                <w:sz w:val="20"/>
                <w:szCs w:val="20"/>
                <w:color w:val="auto"/>
              </w:rPr>
            </w:pPr>
            <w:r>
              <w:rPr>
                <w:rFonts w:ascii="Calibri" w:cs="Calibri" w:eastAsia="Calibri" w:hAnsi="Calibri"/>
                <w:sz w:val="15"/>
                <w:szCs w:val="15"/>
                <w:color w:val="auto"/>
              </w:rPr>
              <w:t>Net income from contnuing operatons - as reported</w:t>
            </w:r>
          </w:p>
        </w:tc>
        <w:tc>
          <w:tcPr>
            <w:tcW w:w="100" w:type="dxa"/>
            <w:vAlign w:val="bottom"/>
          </w:tcPr>
          <w:p>
            <w:pPr>
              <w:spacing w:after="0"/>
              <w:rPr>
                <w:sz w:val="15"/>
                <w:szCs w:val="15"/>
                <w:color w:val="auto"/>
              </w:rPr>
            </w:pPr>
          </w:p>
        </w:tc>
        <w:tc>
          <w:tcPr>
            <w:tcW w:w="380" w:type="dxa"/>
            <w:vAlign w:val="bottom"/>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691,586</w:t>
            </w:r>
          </w:p>
        </w:tc>
        <w:tc>
          <w:tcPr>
            <w:tcW w:w="80" w:type="dxa"/>
            <w:vAlign w:val="bottom"/>
          </w:tcPr>
          <w:p>
            <w:pPr>
              <w:spacing w:after="0"/>
              <w:rPr>
                <w:sz w:val="15"/>
                <w:szCs w:val="15"/>
                <w:color w:val="auto"/>
              </w:rPr>
            </w:pPr>
          </w:p>
        </w:tc>
        <w:tc>
          <w:tcPr>
            <w:tcW w:w="1000" w:type="dxa"/>
            <w:vAlign w:val="bottom"/>
          </w:tcPr>
          <w:p>
            <w:pPr>
              <w:jc w:val="right"/>
              <w:ind w:right="823"/>
              <w:spacing w:after="0" w:line="177" w:lineRule="exact"/>
              <w:rPr>
                <w:sz w:val="20"/>
                <w:szCs w:val="20"/>
                <w:color w:val="auto"/>
              </w:rPr>
            </w:pPr>
            <w:r>
              <w:rPr>
                <w:rFonts w:ascii="Calibri" w:cs="Calibri" w:eastAsia="Calibri" w:hAnsi="Calibri"/>
                <w:sz w:val="15"/>
                <w:szCs w:val="15"/>
                <w:color w:val="auto"/>
              </w:rPr>
              <w:t>$</w:t>
            </w:r>
          </w:p>
        </w:tc>
        <w:tc>
          <w:tcPr>
            <w:tcW w:w="600" w:type="dxa"/>
            <w:vAlign w:val="bottom"/>
          </w:tcPr>
          <w:p>
            <w:pPr>
              <w:jc w:val="right"/>
              <w:spacing w:after="0" w:line="177" w:lineRule="exact"/>
              <w:rPr>
                <w:sz w:val="20"/>
                <w:szCs w:val="20"/>
                <w:color w:val="auto"/>
              </w:rPr>
            </w:pPr>
            <w:r>
              <w:rPr>
                <w:rFonts w:ascii="Calibri" w:cs="Calibri" w:eastAsia="Calibri" w:hAnsi="Calibri"/>
                <w:sz w:val="15"/>
                <w:szCs w:val="15"/>
                <w:color w:val="auto"/>
              </w:rPr>
              <w:t>646,077</w:t>
            </w:r>
          </w:p>
        </w:tc>
        <w:tc>
          <w:tcPr>
            <w:tcW w:w="100" w:type="dxa"/>
            <w:vAlign w:val="bottom"/>
          </w:tcPr>
          <w:p>
            <w:pPr>
              <w:spacing w:after="0"/>
              <w:rPr>
                <w:sz w:val="15"/>
                <w:szCs w:val="15"/>
                <w:color w:val="auto"/>
              </w:rPr>
            </w:pPr>
          </w:p>
        </w:tc>
        <w:tc>
          <w:tcPr>
            <w:tcW w:w="380" w:type="dxa"/>
            <w:vAlign w:val="bottom"/>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339,597</w:t>
            </w:r>
          </w:p>
        </w:tc>
        <w:tc>
          <w:tcPr>
            <w:tcW w:w="80" w:type="dxa"/>
            <w:vAlign w:val="bottom"/>
          </w:tcPr>
          <w:p>
            <w:pPr>
              <w:spacing w:after="0"/>
              <w:rPr>
                <w:sz w:val="15"/>
                <w:szCs w:val="15"/>
                <w:color w:val="auto"/>
              </w:rPr>
            </w:pPr>
          </w:p>
        </w:tc>
        <w:tc>
          <w:tcPr>
            <w:tcW w:w="980" w:type="dxa"/>
            <w:vAlign w:val="bottom"/>
          </w:tcPr>
          <w:p>
            <w:pPr>
              <w:jc w:val="right"/>
              <w:ind w:right="803"/>
              <w:spacing w:after="0" w:line="177" w:lineRule="exact"/>
              <w:rPr>
                <w:sz w:val="20"/>
                <w:szCs w:val="20"/>
                <w:color w:val="auto"/>
              </w:rPr>
            </w:pPr>
            <w:r>
              <w:rPr>
                <w:rFonts w:ascii="Calibri" w:cs="Calibri" w:eastAsia="Calibri" w:hAnsi="Calibri"/>
                <w:sz w:val="15"/>
                <w:szCs w:val="15"/>
                <w:color w:val="auto"/>
              </w:rPr>
              <w:t>$</w:t>
            </w:r>
          </w:p>
        </w:tc>
        <w:tc>
          <w:tcPr>
            <w:tcW w:w="620" w:type="dxa"/>
            <w:vAlign w:val="bottom"/>
          </w:tcPr>
          <w:p>
            <w:pPr>
              <w:jc w:val="right"/>
              <w:spacing w:after="0" w:line="177" w:lineRule="exact"/>
              <w:rPr>
                <w:sz w:val="20"/>
                <w:szCs w:val="20"/>
                <w:color w:val="auto"/>
              </w:rPr>
            </w:pPr>
            <w:r>
              <w:rPr>
                <w:rFonts w:ascii="Calibri" w:cs="Calibri" w:eastAsia="Calibri" w:hAnsi="Calibri"/>
                <w:sz w:val="15"/>
                <w:szCs w:val="15"/>
                <w:color w:val="auto"/>
              </w:rPr>
              <w:t>257,847</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Adjustments:</w:t>
            </w: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184"/>
        </w:trPr>
        <w:tc>
          <w:tcPr>
            <w:tcW w:w="4580" w:type="dxa"/>
            <w:vAlign w:val="bottom"/>
            <w:gridSpan w:val="2"/>
          </w:tcPr>
          <w:p>
            <w:pPr>
              <w:ind w:left="140"/>
              <w:spacing w:after="0"/>
              <w:rPr>
                <w:sz w:val="20"/>
                <w:szCs w:val="20"/>
                <w:color w:val="auto"/>
              </w:rPr>
            </w:pPr>
            <w:r>
              <w:rPr>
                <w:rFonts w:ascii="Calibri" w:cs="Calibri" w:eastAsia="Calibri" w:hAnsi="Calibri"/>
                <w:sz w:val="15"/>
                <w:szCs w:val="15"/>
                <w:color w:val="auto"/>
              </w:rPr>
              <w:t>Amortzaton of intangibles related to acquisitons (pretax)</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12,869</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13,011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37,693</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alibri" w:cs="Calibri" w:eastAsia="Calibri" w:hAnsi="Calibri"/>
                <w:sz w:val="15"/>
                <w:szCs w:val="15"/>
                <w:color w:val="auto"/>
              </w:rPr>
              <w:t>38,546</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6"/>
        </w:trPr>
        <w:tc>
          <w:tcPr>
            <w:tcW w:w="4580" w:type="dxa"/>
            <w:vAlign w:val="bottom"/>
            <w:gridSpan w:val="2"/>
            <w:shd w:val="clear" w:color="auto" w:fill="CCEEFF"/>
          </w:tcPr>
          <w:p>
            <w:pPr>
              <w:ind w:left="140"/>
              <w:spacing w:after="0" w:line="206" w:lineRule="exact"/>
              <w:rPr>
                <w:sz w:val="20"/>
                <w:szCs w:val="20"/>
                <w:color w:val="auto"/>
              </w:rPr>
            </w:pPr>
            <w:r>
              <w:rPr>
                <w:rFonts w:ascii="Calibri" w:cs="Calibri" w:eastAsia="Calibri" w:hAnsi="Calibri"/>
                <w:sz w:val="15"/>
                <w:szCs w:val="15"/>
                <w:color w:val="auto"/>
              </w:rPr>
              <w:t xml:space="preserve">Tax efect of adjustments </w:t>
            </w:r>
            <w:r>
              <w:rPr>
                <w:rFonts w:ascii="Calibri" w:cs="Calibri" w:eastAsia="Calibri" w:hAnsi="Calibri"/>
                <w:sz w:val="20"/>
                <w:szCs w:val="20"/>
                <w:color w:val="auto"/>
                <w:vertAlign w:val="superscript"/>
              </w:rPr>
              <w:t>(1)</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(2,793)</w:t>
            </w:r>
          </w:p>
        </w:tc>
        <w:tc>
          <w:tcPr>
            <w:tcW w:w="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color w:val="auto"/>
              </w:rPr>
              <w:t>(3,190)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(8,815)</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color w:val="auto"/>
              </w:rPr>
              <w:t>(9,198)</w:t>
            </w:r>
          </w:p>
        </w:tc>
      </w:tr>
      <w:tr>
        <w:trPr>
          <w:trHeight w:val="177"/>
        </w:trPr>
        <w:tc>
          <w:tcPr>
            <w:tcW w:w="45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Adjusted net income from contnuing operatons</w:t>
            </w:r>
          </w:p>
        </w:tc>
        <w:tc>
          <w:tcPr>
            <w:tcW w:w="380" w:type="dxa"/>
            <w:vAlign w:val="bottom"/>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701,622</w:t>
            </w:r>
          </w:p>
        </w:tc>
        <w:tc>
          <w:tcPr>
            <w:tcW w:w="80" w:type="dxa"/>
            <w:vAlign w:val="bottom"/>
          </w:tcPr>
          <w:p>
            <w:pPr>
              <w:spacing w:after="0"/>
              <w:rPr>
                <w:sz w:val="15"/>
                <w:szCs w:val="15"/>
                <w:color w:val="auto"/>
              </w:rPr>
            </w:pPr>
          </w:p>
        </w:tc>
        <w:tc>
          <w:tcPr>
            <w:tcW w:w="1000" w:type="dxa"/>
            <w:vAlign w:val="bottom"/>
          </w:tcPr>
          <w:p>
            <w:pPr>
              <w:jc w:val="right"/>
              <w:ind w:right="823"/>
              <w:spacing w:after="0" w:line="177" w:lineRule="exact"/>
              <w:rPr>
                <w:sz w:val="20"/>
                <w:szCs w:val="20"/>
                <w:color w:val="auto"/>
              </w:rPr>
            </w:pPr>
            <w:r>
              <w:rPr>
                <w:rFonts w:ascii="Calibri" w:cs="Calibri" w:eastAsia="Calibri" w:hAnsi="Calibri"/>
                <w:sz w:val="15"/>
                <w:szCs w:val="15"/>
                <w:color w:val="auto"/>
              </w:rPr>
              <w:t>$</w:t>
            </w:r>
          </w:p>
        </w:tc>
        <w:tc>
          <w:tcPr>
            <w:tcW w:w="600" w:type="dxa"/>
            <w:vAlign w:val="bottom"/>
          </w:tcPr>
          <w:p>
            <w:pPr>
              <w:jc w:val="right"/>
              <w:spacing w:after="0" w:line="177" w:lineRule="exact"/>
              <w:rPr>
                <w:sz w:val="20"/>
                <w:szCs w:val="20"/>
                <w:color w:val="auto"/>
              </w:rPr>
            </w:pPr>
            <w:r>
              <w:rPr>
                <w:rFonts w:ascii="Calibri" w:cs="Calibri" w:eastAsia="Calibri" w:hAnsi="Calibri"/>
                <w:sz w:val="15"/>
                <w:szCs w:val="15"/>
                <w:color w:val="auto"/>
              </w:rPr>
              <w:t>655,898</w:t>
            </w:r>
          </w:p>
        </w:tc>
        <w:tc>
          <w:tcPr>
            <w:tcW w:w="100" w:type="dxa"/>
            <w:vAlign w:val="bottom"/>
          </w:tcPr>
          <w:p>
            <w:pPr>
              <w:spacing w:after="0"/>
              <w:rPr>
                <w:sz w:val="15"/>
                <w:szCs w:val="15"/>
                <w:color w:val="auto"/>
              </w:rPr>
            </w:pPr>
          </w:p>
        </w:tc>
        <w:tc>
          <w:tcPr>
            <w:tcW w:w="380" w:type="dxa"/>
            <w:vAlign w:val="bottom"/>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368,475</w:t>
            </w:r>
          </w:p>
        </w:tc>
        <w:tc>
          <w:tcPr>
            <w:tcW w:w="80" w:type="dxa"/>
            <w:vAlign w:val="bottom"/>
          </w:tcPr>
          <w:p>
            <w:pPr>
              <w:spacing w:after="0"/>
              <w:rPr>
                <w:sz w:val="15"/>
                <w:szCs w:val="15"/>
                <w:color w:val="auto"/>
              </w:rPr>
            </w:pPr>
          </w:p>
        </w:tc>
        <w:tc>
          <w:tcPr>
            <w:tcW w:w="980" w:type="dxa"/>
            <w:vAlign w:val="bottom"/>
          </w:tcPr>
          <w:p>
            <w:pPr>
              <w:jc w:val="right"/>
              <w:ind w:right="803"/>
              <w:spacing w:after="0" w:line="177" w:lineRule="exact"/>
              <w:rPr>
                <w:sz w:val="20"/>
                <w:szCs w:val="20"/>
                <w:color w:val="auto"/>
              </w:rPr>
            </w:pPr>
            <w:r>
              <w:rPr>
                <w:rFonts w:ascii="Calibri" w:cs="Calibri" w:eastAsia="Calibri" w:hAnsi="Calibri"/>
                <w:sz w:val="15"/>
                <w:szCs w:val="15"/>
                <w:color w:val="auto"/>
              </w:rPr>
              <w:t>$</w:t>
            </w:r>
          </w:p>
        </w:tc>
        <w:tc>
          <w:tcPr>
            <w:tcW w:w="620" w:type="dxa"/>
            <w:vAlign w:val="bottom"/>
          </w:tcPr>
          <w:p>
            <w:pPr>
              <w:jc w:val="right"/>
              <w:spacing w:after="0" w:line="177" w:lineRule="exact"/>
              <w:rPr>
                <w:sz w:val="20"/>
                <w:szCs w:val="20"/>
                <w:color w:val="auto"/>
              </w:rPr>
            </w:pPr>
            <w:r>
              <w:rPr>
                <w:rFonts w:ascii="Calibri" w:cs="Calibri" w:eastAsia="Calibri" w:hAnsi="Calibri"/>
                <w:sz w:val="15"/>
                <w:szCs w:val="15"/>
                <w:color w:val="auto"/>
              </w:rPr>
              <w:t>287,195</w:t>
            </w: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9"/>
        </w:trPr>
        <w:tc>
          <w:tcPr>
            <w:tcW w:w="45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Diluted earnings per share from contnuing operatons - as reported</w:t>
            </w: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4.87</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823"/>
              <w:spacing w:after="0" w:line="177" w:lineRule="exact"/>
              <w:rPr>
                <w:sz w:val="20"/>
                <w:szCs w:val="20"/>
                <w:color w:val="auto"/>
              </w:rPr>
            </w:pPr>
            <w:r>
              <w:rPr>
                <w:rFonts w:ascii="Calibri" w:cs="Calibri" w:eastAsia="Calibri" w:hAnsi="Calibri"/>
                <w:sz w:val="15"/>
                <w:szCs w:val="15"/>
                <w:color w:val="auto"/>
              </w:rPr>
              <w:t>$</w:t>
            </w:r>
          </w:p>
        </w:tc>
        <w:tc>
          <w:tcPr>
            <w:tcW w:w="6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4.14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2.34</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03"/>
              <w:spacing w:after="0" w:line="177" w:lineRule="exact"/>
              <w:rPr>
                <w:sz w:val="20"/>
                <w:szCs w:val="20"/>
                <w:color w:val="auto"/>
              </w:rPr>
            </w:pPr>
            <w:r>
              <w:rPr>
                <w:rFonts w:ascii="Calibri" w:cs="Calibri" w:eastAsia="Calibri" w:hAnsi="Calibri"/>
                <w:sz w:val="15"/>
                <w:szCs w:val="15"/>
                <w:color w:val="auto"/>
              </w:rPr>
              <w:t>$</w:t>
            </w:r>
          </w:p>
        </w:tc>
        <w:tc>
          <w:tcPr>
            <w:tcW w:w="6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1.62</w:t>
            </w: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Adjustments, net of tax</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0.07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0.06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0.20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alibri" w:cs="Calibri" w:eastAsia="Calibri" w:hAnsi="Calibri"/>
                <w:sz w:val="15"/>
                <w:szCs w:val="15"/>
                <w:color w:val="auto"/>
              </w:rPr>
              <w:t>0.18</w:t>
            </w: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9"/>
        </w:trPr>
        <w:tc>
          <w:tcPr>
            <w:tcW w:w="45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Adjusted diluted earnings per share from contnuing operatons</w:t>
            </w: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4.94</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23"/>
              <w:spacing w:after="0" w:line="177" w:lineRule="exact"/>
              <w:rPr>
                <w:sz w:val="20"/>
                <w:szCs w:val="20"/>
                <w:color w:val="auto"/>
              </w:rPr>
            </w:pPr>
            <w:r>
              <w:rPr>
                <w:rFonts w:ascii="Calibri" w:cs="Calibri" w:eastAsia="Calibri" w:hAnsi="Calibri"/>
                <w:sz w:val="15"/>
                <w:szCs w:val="15"/>
                <w:color w:val="auto"/>
              </w:rPr>
              <w:t>$</w:t>
            </w:r>
          </w:p>
        </w:tc>
        <w:tc>
          <w:tcPr>
            <w:tcW w:w="6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4.20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2.54</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03"/>
              <w:spacing w:after="0" w:line="177" w:lineRule="exact"/>
              <w:rPr>
                <w:sz w:val="20"/>
                <w:szCs w:val="20"/>
                <w:color w:val="auto"/>
              </w:rPr>
            </w:pPr>
            <w:r>
              <w:rPr>
                <w:rFonts w:ascii="Calibri" w:cs="Calibri" w:eastAsia="Calibri" w:hAnsi="Calibri"/>
                <w:sz w:val="15"/>
                <w:szCs w:val="15"/>
                <w:color w:val="auto"/>
              </w:rPr>
              <w:t>$</w:t>
            </w:r>
          </w:p>
        </w:tc>
        <w:tc>
          <w:tcPr>
            <w:tcW w:w="6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1.80</w:t>
            </w:r>
          </w:p>
        </w:tc>
      </w:tr>
      <w:tr>
        <w:trPr>
          <w:trHeight w:val="32"/>
        </w:trPr>
        <w:tc>
          <w:tcPr>
            <w:tcW w:w="4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r>
    </w:tbl>
    <w:p>
      <w:pPr>
        <w:spacing w:after="0" w:line="95" w:lineRule="exact"/>
        <w:rPr>
          <w:sz w:val="20"/>
          <w:szCs w:val="20"/>
          <w:color w:val="auto"/>
        </w:rPr>
      </w:pPr>
    </w:p>
    <w:p>
      <w:pPr>
        <w:spacing w:after="0"/>
        <w:rPr>
          <w:sz w:val="20"/>
          <w:szCs w:val="20"/>
          <w:color w:val="auto"/>
        </w:rPr>
      </w:pPr>
      <w:r>
        <w:rPr>
          <w:rFonts w:ascii="Calibri" w:cs="Calibri" w:eastAsia="Calibri" w:hAnsi="Calibri"/>
          <w:sz w:val="17"/>
          <w:szCs w:val="17"/>
          <w:color w:val="auto"/>
          <w:vertAlign w:val="superscript"/>
        </w:rPr>
        <w:t>(1)</w:t>
      </w:r>
      <w:r>
        <w:rPr>
          <w:rFonts w:ascii="Calibri" w:cs="Calibri" w:eastAsia="Calibri" w:hAnsi="Calibri"/>
          <w:sz w:val="14"/>
          <w:szCs w:val="14"/>
          <w:color w:val="auto"/>
        </w:rPr>
        <w:t>Tax efect of adjustments is the diference between the tax provision calculated on a GAAP basis and on an adjusted non-GAAP basis.</w:t>
      </w:r>
    </w:p>
    <w:p>
      <w:pPr>
        <w:spacing w:after="0" w:line="6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FORWARD-LOOKING INFORMATION</w:t>
      </w:r>
    </w:p>
    <w:p>
      <w:pPr>
        <w:spacing w:after="0" w:line="105" w:lineRule="exact"/>
        <w:rPr>
          <w:sz w:val="20"/>
          <w:szCs w:val="20"/>
          <w:color w:val="auto"/>
        </w:rPr>
      </w:pPr>
    </w:p>
    <w:p>
      <w:pPr>
        <w:jc w:val="both"/>
        <w:spacing w:after="0" w:line="254" w:lineRule="auto"/>
        <w:rPr>
          <w:sz w:val="20"/>
          <w:szCs w:val="20"/>
          <w:color w:val="auto"/>
        </w:rPr>
      </w:pPr>
      <w:r>
        <w:rPr>
          <w:rFonts w:ascii="Calibri" w:cs="Calibri" w:eastAsia="Calibri" w:hAnsi="Calibri"/>
          <w:sz w:val="16"/>
          <w:szCs w:val="16"/>
          <w:color w:val="auto"/>
        </w:rPr>
        <w:t>This report and other documents fled with the Securites and Exchange Commission (SEC) may contain forward-looking statements. In additon, our senior management may make forward-looking statements orally to analysts, investors, the media and others. Forward-looking statements can be identfed by the fact that they do not relate strictly to historical or current facts. They ofen include words or variaton of words such as "expects," "antcipates," "intends," "plans," "believes," "commits," "seeks," "estmates," "projects," "forecasts," "targets," "would," "will," "should," "could," "may" or other similar expressions. Forward-looking statements provide management's current expectatons or predictons of future conditons, events or results. All statements that address operatng performance, events or developments that we expect or antcipate will occur in the future are forward-looking statements. They may include estmates of revenues, client trajectory, income, efectve tax rate, earnings per share, cost savings, capital expenditures, dividends, share repurchases, liquidity, capital structure, market share, industry volumes or other fnancial items, descriptons of management's plans or objectves for future operatons, services or products, or descriptons of assumptons underlying any of the above. They may also include the expected impact of external events beyond the Company's control, such as outbreaks of infectous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hanging="259"/>
        <w:spacing w:after="0"/>
        <w:tabs>
          <w:tab w:leader="none" w:pos="360" w:val="left"/>
        </w:tabs>
        <w:numPr>
          <w:ilvl w:val="0"/>
          <w:numId w:val="19"/>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disease (including the coronavirus (COVID-19) pandemic), severe weather events, natural or manmade disasters, or changes in the regulatory environment in which we operate.</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All forward-looking statements speak only as of the date they are made and refect the Company's good faith beliefs, assumptons and expectatons, but they are not guarantees of future performance or events. Furthermore, the Company disclaims any obligaton to publicly update or revise any forward-looking statement to refect changes in underlying assumptons, factors, or expectatons, new informaton, data or methods, future events or other changes, except as required by law.</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By their nature, forward-looking statements are subject to risks and uncertaintes that could cause actual results to difer materially from those suggested by the forward-looking statements. Factors that might cause such diferences include, but are not limited to, a variety of economic, compettve, operatonal and regulatory factors, many of which are beyond the Company's control. In additon, factors that may cause the Company’s actual efectve tax rate to difer from estmates include the Company’s actual results from operatons compared to current estmates, future discrete items, changes in interpretatons and assumptons the Company has made, future actons of the Company, and increases in applicable tax rates in jurisdictons where the Company operates. Investors should understand that it is not possible to predict or identfy all such factors and, consequently, should not consider any such list to be a complete set of all potental risks or uncertaintes.</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Details about risks, uncertaintes and assumptons that could afect various aspects of our business are included throughout our Annual Report on Form 10-K for the fscal year ended June 30, 2023 and are also described from tme to tme in other flings with the SEC. Investors should carefully consider all of these risks, and should pay partcular atenton to Item 1A, "Risk Factors," and Item 7 under "Critcal Accountng Policies" of our Annual Report on Form 10-K for the fscal year ended June 30, 2023.</w:t>
      </w:r>
    </w:p>
    <w:p>
      <w:pPr>
        <w:spacing w:after="0" w:line="87"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24"/>
          <w:szCs w:val="24"/>
          <w:b w:val="1"/>
          <w:bCs w:val="1"/>
          <w:color w:val="14AA40"/>
        </w:rPr>
        <w:t>ITEM 3.</w:t>
        <w:tab/>
        <w:t>QUANTITATIVE AND QUALITATIVE DISCLOSURES ABOUT MARKET RISK</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There have been no material changes in our market risks from those reported in our June 30, 2023 Annual Report on Form 10-K.</w:t>
      </w:r>
    </w:p>
    <w:p>
      <w:pPr>
        <w:spacing w:after="0" w:line="86"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24"/>
          <w:szCs w:val="24"/>
          <w:b w:val="1"/>
          <w:bCs w:val="1"/>
          <w:color w:val="14AA40"/>
        </w:rPr>
        <w:t>ITEM 4.</w:t>
        <w:tab/>
        <w:t>CONTROLS AND PROCEDURES</w:t>
      </w:r>
    </w:p>
    <w:p>
      <w:pPr>
        <w:spacing w:after="0" w:line="12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b w:val="1"/>
          <w:bCs w:val="1"/>
          <w:color w:val="auto"/>
        </w:rPr>
        <w:t xml:space="preserve">EVALUATION OF DISCLOSURE CONTROLS AND PROCEDURES </w:t>
      </w:r>
      <w:r>
        <w:rPr>
          <w:rFonts w:ascii="Calibri" w:cs="Calibri" w:eastAsia="Calibri" w:hAnsi="Calibri"/>
          <w:sz w:val="17"/>
          <w:szCs w:val="17"/>
          <w:color w:val="auto"/>
        </w:rPr>
        <w:t>– As of the end of the period covered by this Form 10-Q, management, under the supervision and with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partcipaton of our Chief Executve Ofcer and Chief Financial Ofcer, evaluated the efectveness of the design and operaton of our disclosure controls and procedures (as defned in Exchange Act Rules 13a-15(e) and 15d-15(e)). Based on this evaluaton, our Chief Executve Ofcer and Chief Financial Ofcer have concluded that our disclosure controls and procedures were efectve as of the end of the period covered by this Quarterly Report on Form 10-Q.</w:t>
      </w:r>
    </w:p>
    <w:p>
      <w:pPr>
        <w:spacing w:after="0" w:line="105"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b w:val="1"/>
          <w:bCs w:val="1"/>
          <w:color w:val="auto"/>
        </w:rPr>
        <w:t xml:space="preserve">CHANGES IN INTERNAL CONTROL OVER FINANCIAL REPORTING </w:t>
      </w:r>
      <w:r>
        <w:rPr>
          <w:rFonts w:ascii="Calibri" w:cs="Calibri" w:eastAsia="Calibri" w:hAnsi="Calibri"/>
          <w:sz w:val="17"/>
          <w:szCs w:val="17"/>
          <w:color w:val="auto"/>
        </w:rPr>
        <w:t>– There were no changes during the three months ended March 31, 2024 that materially afected, 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are reasonably likely to materially afect, our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3"/>
          <w:szCs w:val="13"/>
          <w:color w:val="FFFFFF"/>
          <w:highlight w:val="black"/>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24"/>
          <w:szCs w:val="24"/>
          <w:b w:val="1"/>
          <w:bCs w:val="1"/>
          <w:color w:val="14AA40"/>
        </w:rPr>
        <w:t>PART II</w:t>
        <w:tab/>
        <w:t>OTHER INFORMATION</w:t>
      </w:r>
    </w:p>
    <w:p>
      <w:pPr>
        <w:spacing w:after="0" w:line="94"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24"/>
          <w:szCs w:val="24"/>
          <w:b w:val="1"/>
          <w:bCs w:val="1"/>
          <w:color w:val="14AA40"/>
        </w:rPr>
        <w:t>ITEM 1.</w:t>
        <w:tab/>
        <w:t>LEGAL PROCEEDINGS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For a descripton of our material pending legal proceedings, see discussion in </w:t>
      </w:r>
      <w:r>
        <w:rPr>
          <w:rFonts w:ascii="Calibri" w:cs="Calibri" w:eastAsia="Calibri" w:hAnsi="Calibri"/>
          <w:sz w:val="17"/>
          <w:szCs w:val="17"/>
          <w:u w:val="single" w:color="auto"/>
          <w:color w:val="0000FF"/>
        </w:rPr>
        <w:t>Part I, Item 1, note 9</w:t>
      </w:r>
      <w:r>
        <w:rPr>
          <w:rFonts w:ascii="Calibri" w:cs="Calibri" w:eastAsia="Calibri" w:hAnsi="Calibri"/>
          <w:sz w:val="17"/>
          <w:szCs w:val="17"/>
          <w:color w:val="auto"/>
        </w:rPr>
        <w:t xml:space="preserve"> to the consolidated fnancial statements.</w:t>
      </w:r>
    </w:p>
    <w:p>
      <w:pPr>
        <w:spacing w:after="0" w:line="86"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4"/>
          <w:szCs w:val="24"/>
          <w:b w:val="1"/>
          <w:bCs w:val="1"/>
          <w:color w:val="14AA40"/>
        </w:rPr>
        <w:t>ITEM 1A.</w:t>
        <w:tab/>
        <w:t>RISK FACTORS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There have been no material changes in our risk factors from those reported in our June 30, 2023 Annual Report on Form 10-K.</w:t>
      </w:r>
    </w:p>
    <w:p>
      <w:pPr>
        <w:spacing w:after="0" w:line="86"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2.</w:t>
        <w:tab/>
        <w:t>UNREGISTERED SALES OF EQUITY SECURITIES AND USE OF PROCEEDS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A summary of our purchases of H&amp;R Block common stock during the three months ended March 31, 2024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alibri" w:cs="Calibri" w:eastAsia="Calibri" w:hAnsi="Calibri"/>
                <w:sz w:val="14"/>
                <w:szCs w:val="14"/>
                <w:color w:val="auto"/>
              </w:rPr>
              <w:t>(in 000s, except per share amounts)</w:t>
            </w:r>
          </w:p>
        </w:tc>
      </w:tr>
      <w:tr>
        <w:trPr>
          <w:trHeight w:val="43"/>
        </w:trPr>
        <w:tc>
          <w:tcPr>
            <w:tcW w:w="2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195"/>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Calibri" w:cs="Calibri" w:eastAsia="Calibri" w:hAnsi="Calibri"/>
                <w:sz w:val="15"/>
                <w:szCs w:val="15"/>
                <w:color w:val="auto"/>
              </w:rPr>
              <w:t>Total Number of Shares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Calibri" w:cs="Calibri" w:eastAsia="Calibri" w:hAnsi="Calibri"/>
                <w:sz w:val="15"/>
                <w:szCs w:val="15"/>
                <w:color w:val="auto"/>
              </w:rPr>
              <w:t>Maximum Dollar Value of</w:t>
            </w:r>
          </w:p>
        </w:tc>
      </w:tr>
      <w:tr>
        <w:trPr>
          <w:trHeight w:val="155"/>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Calibri" w:cs="Calibri" w:eastAsia="Calibri" w:hAnsi="Calibri"/>
                <w:sz w:val="15"/>
                <w:szCs w:val="15"/>
                <w:color w:val="auto"/>
              </w:rPr>
              <w:t>Average</w:t>
            </w:r>
          </w:p>
        </w:tc>
        <w:tc>
          <w:tcPr>
            <w:tcW w:w="2460" w:type="dxa"/>
            <w:vAlign w:val="bottom"/>
          </w:tcPr>
          <w:p>
            <w:pPr>
              <w:jc w:val="right"/>
              <w:spacing w:after="0" w:line="155" w:lineRule="exact"/>
              <w:rPr>
                <w:sz w:val="20"/>
                <w:szCs w:val="20"/>
                <w:color w:val="auto"/>
              </w:rPr>
            </w:pPr>
            <w:r>
              <w:rPr>
                <w:rFonts w:ascii="Calibri" w:cs="Calibri" w:eastAsia="Calibri" w:hAnsi="Calibri"/>
                <w:sz w:val="15"/>
                <w:szCs w:val="15"/>
                <w:color w:val="auto"/>
              </w:rPr>
              <w:t>Purchased as Part of</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00" w:type="dxa"/>
            <w:vAlign w:val="bottom"/>
          </w:tcPr>
          <w:p>
            <w:pPr>
              <w:jc w:val="right"/>
              <w:spacing w:after="0" w:line="155" w:lineRule="exact"/>
              <w:rPr>
                <w:sz w:val="20"/>
                <w:szCs w:val="20"/>
                <w:color w:val="auto"/>
              </w:rPr>
            </w:pPr>
            <w:r>
              <w:rPr>
                <w:rFonts w:ascii="Calibri" w:cs="Calibri" w:eastAsia="Calibri" w:hAnsi="Calibri"/>
                <w:sz w:val="15"/>
                <w:szCs w:val="15"/>
                <w:color w:val="auto"/>
              </w:rPr>
              <w:t>Shares that May Yet Be</w:t>
            </w:r>
          </w:p>
        </w:tc>
      </w:tr>
      <w:tr>
        <w:trPr>
          <w:trHeight w:val="154"/>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jc w:val="right"/>
              <w:spacing w:after="0" w:line="154" w:lineRule="exact"/>
              <w:rPr>
                <w:sz w:val="20"/>
                <w:szCs w:val="20"/>
                <w:color w:val="auto"/>
              </w:rPr>
            </w:pPr>
            <w:r>
              <w:rPr>
                <w:rFonts w:ascii="Calibri" w:cs="Calibri" w:eastAsia="Calibri" w:hAnsi="Calibri"/>
                <w:sz w:val="15"/>
                <w:szCs w:val="15"/>
                <w:color w:val="auto"/>
              </w:rPr>
              <w:t>Total Number of</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00"/>
              <w:spacing w:after="0" w:line="154" w:lineRule="exact"/>
              <w:rPr>
                <w:sz w:val="20"/>
                <w:szCs w:val="20"/>
                <w:color w:val="auto"/>
              </w:rPr>
            </w:pPr>
            <w:r>
              <w:rPr>
                <w:rFonts w:ascii="Calibri" w:cs="Calibri" w:eastAsia="Calibri" w:hAnsi="Calibri"/>
                <w:sz w:val="15"/>
                <w:szCs w:val="15"/>
                <w:color w:val="auto"/>
              </w:rPr>
              <w:t>Price Paid</w:t>
            </w:r>
          </w:p>
        </w:tc>
        <w:tc>
          <w:tcPr>
            <w:tcW w:w="2460" w:type="dxa"/>
            <w:vAlign w:val="bottom"/>
          </w:tcPr>
          <w:p>
            <w:pPr>
              <w:jc w:val="right"/>
              <w:spacing w:after="0" w:line="154" w:lineRule="exact"/>
              <w:rPr>
                <w:sz w:val="20"/>
                <w:szCs w:val="20"/>
                <w:color w:val="auto"/>
              </w:rPr>
            </w:pPr>
            <w:r>
              <w:rPr>
                <w:rFonts w:ascii="Calibri" w:cs="Calibri" w:eastAsia="Calibri" w:hAnsi="Calibri"/>
                <w:sz w:val="15"/>
                <w:szCs w:val="15"/>
                <w:color w:val="auto"/>
              </w:rPr>
              <w:t>Publicly Announced Plans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00" w:type="dxa"/>
            <w:vAlign w:val="bottom"/>
          </w:tcPr>
          <w:p>
            <w:pPr>
              <w:jc w:val="right"/>
              <w:spacing w:after="0" w:line="154" w:lineRule="exact"/>
              <w:rPr>
                <w:sz w:val="20"/>
                <w:szCs w:val="20"/>
                <w:color w:val="auto"/>
              </w:rPr>
            </w:pPr>
            <w:r>
              <w:rPr>
                <w:rFonts w:ascii="Calibri" w:cs="Calibri" w:eastAsia="Calibri" w:hAnsi="Calibri"/>
                <w:sz w:val="15"/>
                <w:szCs w:val="15"/>
                <w:color w:val="auto"/>
              </w:rPr>
              <w:t>Purchased Under the Plans</w:t>
            </w:r>
          </w:p>
        </w:tc>
      </w:tr>
      <w:tr>
        <w:trPr>
          <w:trHeight w:val="211"/>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spacing w:after="0" w:line="211" w:lineRule="exact"/>
              <w:rPr>
                <w:sz w:val="20"/>
                <w:szCs w:val="20"/>
                <w:color w:val="auto"/>
              </w:rPr>
            </w:pPr>
            <w:r>
              <w:rPr>
                <w:rFonts w:ascii="Calibri" w:cs="Calibri" w:eastAsia="Calibri" w:hAnsi="Calibri"/>
                <w:sz w:val="15"/>
                <w:szCs w:val="15"/>
                <w:color w:val="auto"/>
              </w:rPr>
              <w:t xml:space="preserve">Shares Purchased </w:t>
            </w:r>
            <w:r>
              <w:rPr>
                <w:rFonts w:ascii="Calibri" w:cs="Calibri" w:eastAsia="Calibri" w:hAnsi="Calibri"/>
                <w:sz w:val="20"/>
                <w:szCs w:val="20"/>
                <w:color w:val="auto"/>
                <w:vertAlign w:val="superscript"/>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per Share</w:t>
            </w:r>
          </w:p>
        </w:tc>
        <w:tc>
          <w:tcPr>
            <w:tcW w:w="2460" w:type="dxa"/>
            <w:vAlign w:val="bottom"/>
          </w:tcPr>
          <w:p>
            <w:pPr>
              <w:jc w:val="right"/>
              <w:spacing w:after="0" w:line="211" w:lineRule="exact"/>
              <w:rPr>
                <w:sz w:val="20"/>
                <w:szCs w:val="20"/>
                <w:color w:val="auto"/>
              </w:rPr>
            </w:pPr>
            <w:r>
              <w:rPr>
                <w:rFonts w:ascii="Calibri" w:cs="Calibri" w:eastAsia="Calibri" w:hAnsi="Calibri"/>
                <w:sz w:val="15"/>
                <w:szCs w:val="15"/>
                <w:color w:val="auto"/>
              </w:rPr>
              <w:t xml:space="preserve">or Programs </w:t>
            </w:r>
            <w:r>
              <w:rPr>
                <w:rFonts w:ascii="Calibri" w:cs="Calibri" w:eastAsia="Calibri" w:hAnsi="Calibri"/>
                <w:sz w:val="20"/>
                <w:szCs w:val="20"/>
                <w:color w:val="auto"/>
                <w:vertAlign w:val="superscript"/>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jc w:val="right"/>
              <w:spacing w:after="0" w:line="211" w:lineRule="exact"/>
              <w:rPr>
                <w:sz w:val="20"/>
                <w:szCs w:val="20"/>
                <w:color w:val="auto"/>
              </w:rPr>
            </w:pPr>
            <w:r>
              <w:rPr>
                <w:rFonts w:ascii="Calibri" w:cs="Calibri" w:eastAsia="Calibri" w:hAnsi="Calibri"/>
                <w:sz w:val="15"/>
                <w:szCs w:val="15"/>
                <w:color w:val="auto"/>
              </w:rPr>
              <w:t xml:space="preserve">or Programs </w:t>
            </w:r>
            <w:r>
              <w:rPr>
                <w:rFonts w:ascii="Calibri" w:cs="Calibri" w:eastAsia="Calibri" w:hAnsi="Calibri"/>
                <w:sz w:val="20"/>
                <w:szCs w:val="20"/>
                <w:color w:val="auto"/>
                <w:vertAlign w:val="superscript"/>
              </w:rPr>
              <w:t>(2)</w:t>
            </w:r>
          </w:p>
        </w:tc>
      </w:tr>
      <w:tr>
        <w:trPr>
          <w:trHeight w:val="177"/>
        </w:trPr>
        <w:tc>
          <w:tcPr>
            <w:tcW w:w="270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January 1 - January 31</w:t>
            </w:r>
          </w:p>
        </w:tc>
        <w:tc>
          <w:tcPr>
            <w:tcW w:w="80" w:type="dxa"/>
            <w:vAlign w:val="bottom"/>
          </w:tcPr>
          <w:p>
            <w:pPr>
              <w:spacing w:after="0"/>
              <w:rPr>
                <w:sz w:val="15"/>
                <w:szCs w:val="15"/>
                <w:color w:val="auto"/>
              </w:rPr>
            </w:pPr>
          </w:p>
        </w:tc>
        <w:tc>
          <w:tcPr>
            <w:tcW w:w="1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03"/>
              <w:spacing w:after="0" w:line="177" w:lineRule="exact"/>
              <w:rPr>
                <w:sz w:val="20"/>
                <w:szCs w:val="20"/>
                <w:color w:val="auto"/>
              </w:rPr>
            </w:pPr>
            <w:r>
              <w:rPr>
                <w:rFonts w:ascii="Calibri" w:cs="Calibri" w:eastAsia="Calibri" w:hAnsi="Calibri"/>
                <w:sz w:val="15"/>
                <w:szCs w:val="15"/>
                <w:b w:val="1"/>
                <w:bCs w:val="1"/>
                <w:color w:val="auto"/>
              </w:rPr>
              <w:t>$</w:t>
            </w:r>
          </w:p>
        </w:tc>
        <w:tc>
          <w:tcPr>
            <w:tcW w:w="8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47.47</w:t>
            </w:r>
          </w:p>
        </w:tc>
        <w:tc>
          <w:tcPr>
            <w:tcW w:w="80" w:type="dxa"/>
            <w:vAlign w:val="bottom"/>
          </w:tcPr>
          <w:p>
            <w:pPr>
              <w:spacing w:after="0"/>
              <w:rPr>
                <w:sz w:val="15"/>
                <w:szCs w:val="15"/>
                <w:color w:val="auto"/>
              </w:rPr>
            </w:pPr>
          </w:p>
        </w:tc>
        <w:tc>
          <w:tcPr>
            <w:tcW w:w="2460" w:type="dxa"/>
            <w:vAlign w:val="bottom"/>
            <w:tcBorders>
              <w:top w:val="single" w:sz="8" w:color="auto"/>
            </w:tcBorders>
          </w:tcPr>
          <w:p>
            <w:pPr>
              <w:ind w:left="2260"/>
              <w:spacing w:after="0" w:line="177" w:lineRule="exact"/>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b w:val="1"/>
                <w:bCs w:val="1"/>
                <w:color w:val="auto"/>
              </w:rPr>
              <w:t>$</w:t>
            </w:r>
          </w:p>
        </w:tc>
        <w:tc>
          <w:tcPr>
            <w:tcW w:w="2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350,000</w:t>
            </w:r>
          </w:p>
        </w:tc>
      </w:tr>
      <w:tr>
        <w:trPr>
          <w:trHeight w:val="22"/>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February 1 - February 29</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w:t>
            </w:r>
          </w:p>
        </w:tc>
        <w:tc>
          <w:tcPr>
            <w:tcW w:w="3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Calibri" w:cs="Calibri" w:eastAsia="Calibri" w:hAnsi="Calibri"/>
                <w:sz w:val="15"/>
                <w:szCs w:val="15"/>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46.39</w:t>
            </w:r>
          </w:p>
        </w:tc>
        <w:tc>
          <w:tcPr>
            <w:tcW w:w="8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ind w:left="2260"/>
              <w:spacing w:after="0"/>
              <w:rPr>
                <w:sz w:val="20"/>
                <w:szCs w:val="20"/>
                <w:color w:val="auto"/>
              </w:rPr>
            </w:pPr>
            <w:r>
              <w:rPr>
                <w:rFonts w:ascii="Calibri" w:cs="Calibri" w:eastAsia="Calibri" w:hAnsi="Calibri"/>
                <w:sz w:val="15"/>
                <w:szCs w:val="15"/>
                <w:b w:val="1"/>
                <w:bCs w:val="1"/>
                <w:color w:val="auto"/>
              </w:rPr>
              <w:t>—</w:t>
            </w:r>
          </w:p>
        </w:tc>
        <w:tc>
          <w:tcPr>
            <w:tcW w:w="500" w:type="dxa"/>
            <w:vAlign w:val="bottom"/>
            <w:tcBorders>
              <w:bottom w:val="single" w:sz="8" w:color="CCEEFF"/>
            </w:tcBorders>
            <w:gridSpan w:val="2"/>
            <w:shd w:val="clear" w:color="auto" w:fill="CCEEFF"/>
          </w:tcPr>
          <w:p>
            <w:pPr>
              <w:jc w:val="right"/>
              <w:ind w:right="223"/>
              <w:spacing w:after="0"/>
              <w:rPr>
                <w:sz w:val="20"/>
                <w:szCs w:val="20"/>
                <w:color w:val="auto"/>
              </w:rPr>
            </w:pPr>
            <w:r>
              <w:rPr>
                <w:rFonts w:ascii="Calibri" w:cs="Calibri" w:eastAsia="Calibri" w:hAnsi="Calibri"/>
                <w:sz w:val="15"/>
                <w:szCs w:val="15"/>
                <w:b w:val="1"/>
                <w:bCs w:val="1"/>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350,000</w:t>
            </w:r>
          </w:p>
        </w:tc>
      </w:tr>
      <w:tr>
        <w:trPr>
          <w:trHeight w:val="184"/>
        </w:trPr>
        <w:tc>
          <w:tcPr>
            <w:tcW w:w="2780" w:type="dxa"/>
            <w:vAlign w:val="bottom"/>
            <w:gridSpan w:val="2"/>
          </w:tcPr>
          <w:p>
            <w:pPr>
              <w:ind w:left="20"/>
              <w:spacing w:after="0"/>
              <w:rPr>
                <w:sz w:val="20"/>
                <w:szCs w:val="20"/>
                <w:color w:val="auto"/>
              </w:rPr>
            </w:pPr>
            <w:r>
              <w:rPr>
                <w:rFonts w:ascii="Calibri" w:cs="Calibri" w:eastAsia="Calibri" w:hAnsi="Calibri"/>
                <w:sz w:val="15"/>
                <w:szCs w:val="15"/>
                <w:color w:val="auto"/>
              </w:rPr>
              <w:t>March 1 - March 31</w:t>
            </w:r>
          </w:p>
        </w:tc>
        <w:tc>
          <w:tcPr>
            <w:tcW w:w="1920" w:type="dxa"/>
            <w:vAlign w:val="bottom"/>
          </w:tcPr>
          <w:p>
            <w:pPr>
              <w:jc w:val="right"/>
              <w:spacing w:after="0"/>
              <w:rPr>
                <w:sz w:val="20"/>
                <w:szCs w:val="20"/>
                <w:color w:val="auto"/>
              </w:rPr>
            </w:pPr>
            <w:r>
              <w:rPr>
                <w:rFonts w:ascii="Calibri" w:cs="Calibri" w:eastAsia="Calibri" w:hAnsi="Calibri"/>
                <w:sz w:val="15"/>
                <w:szCs w:val="15"/>
                <w:b w:val="1"/>
                <w:bCs w:val="1"/>
                <w:color w:val="auto"/>
              </w:rPr>
              <w:t>1</w:t>
            </w:r>
          </w:p>
        </w:tc>
        <w:tc>
          <w:tcPr>
            <w:tcW w:w="380" w:type="dxa"/>
            <w:vAlign w:val="bottom"/>
            <w:gridSpan w:val="2"/>
          </w:tcPr>
          <w:p>
            <w:pPr>
              <w:jc w:val="right"/>
              <w:ind w:right="103"/>
              <w:spacing w:after="0"/>
              <w:rPr>
                <w:sz w:val="20"/>
                <w:szCs w:val="20"/>
                <w:color w:val="auto"/>
              </w:rPr>
            </w:pPr>
            <w:r>
              <w:rPr>
                <w:rFonts w:ascii="Calibri" w:cs="Calibri" w:eastAsia="Calibri" w:hAnsi="Calibri"/>
                <w:sz w:val="15"/>
                <w:szCs w:val="15"/>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5"/>
                <w:szCs w:val="15"/>
                <w:b w:val="1"/>
                <w:bCs w:val="1"/>
                <w:color w:val="auto"/>
              </w:rPr>
              <w:t>48.14</w:t>
            </w:r>
          </w:p>
        </w:tc>
        <w:tc>
          <w:tcPr>
            <w:tcW w:w="80" w:type="dxa"/>
            <w:vAlign w:val="bottom"/>
          </w:tcPr>
          <w:p>
            <w:pPr>
              <w:spacing w:after="0"/>
              <w:rPr>
                <w:sz w:val="16"/>
                <w:szCs w:val="16"/>
                <w:color w:val="auto"/>
              </w:rPr>
            </w:pPr>
          </w:p>
        </w:tc>
        <w:tc>
          <w:tcPr>
            <w:tcW w:w="2460" w:type="dxa"/>
            <w:vAlign w:val="bottom"/>
          </w:tcPr>
          <w:p>
            <w:pPr>
              <w:ind w:left="2260"/>
              <w:spacing w:after="0"/>
              <w:rPr>
                <w:sz w:val="20"/>
                <w:szCs w:val="20"/>
                <w:color w:val="auto"/>
              </w:rPr>
            </w:pPr>
            <w:r>
              <w:rPr>
                <w:rFonts w:ascii="Calibri" w:cs="Calibri" w:eastAsia="Calibri" w:hAnsi="Calibri"/>
                <w:sz w:val="15"/>
                <w:szCs w:val="15"/>
                <w:b w:val="1"/>
                <w:bCs w:val="1"/>
                <w:color w:val="auto"/>
              </w:rPr>
              <w:t>—</w:t>
            </w:r>
          </w:p>
        </w:tc>
        <w:tc>
          <w:tcPr>
            <w:tcW w:w="500" w:type="dxa"/>
            <w:vAlign w:val="bottom"/>
            <w:gridSpan w:val="2"/>
          </w:tcPr>
          <w:p>
            <w:pPr>
              <w:jc w:val="right"/>
              <w:ind w:right="223"/>
              <w:spacing w:after="0"/>
              <w:rPr>
                <w:sz w:val="20"/>
                <w:szCs w:val="20"/>
                <w:color w:val="auto"/>
              </w:rPr>
            </w:pPr>
            <w:r>
              <w:rPr>
                <w:rFonts w:ascii="Calibri" w:cs="Calibri" w:eastAsia="Calibri" w:hAnsi="Calibri"/>
                <w:sz w:val="15"/>
                <w:szCs w:val="15"/>
                <w:b w:val="1"/>
                <w:bCs w:val="1"/>
                <w:color w:val="auto"/>
              </w:rPr>
              <w:t>$</w:t>
            </w:r>
          </w:p>
        </w:tc>
        <w:tc>
          <w:tcPr>
            <w:tcW w:w="2300" w:type="dxa"/>
            <w:vAlign w:val="bottom"/>
          </w:tcPr>
          <w:p>
            <w:pPr>
              <w:jc w:val="right"/>
              <w:spacing w:after="0"/>
              <w:rPr>
                <w:sz w:val="20"/>
                <w:szCs w:val="20"/>
                <w:color w:val="auto"/>
              </w:rPr>
            </w:pPr>
            <w:r>
              <w:rPr>
                <w:rFonts w:ascii="Calibri" w:cs="Calibri" w:eastAsia="Calibri" w:hAnsi="Calibri"/>
                <w:sz w:val="15"/>
                <w:szCs w:val="15"/>
                <w:b w:val="1"/>
                <w:bCs w:val="1"/>
                <w:color w:val="auto"/>
              </w:rPr>
              <w:t>350,000</w:t>
            </w: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r>
      <w:tr>
        <w:trPr>
          <w:trHeight w:val="199"/>
        </w:trPr>
        <w:tc>
          <w:tcPr>
            <w:tcW w:w="2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7</w:t>
            </w:r>
          </w:p>
        </w:tc>
        <w:tc>
          <w:tcPr>
            <w:tcW w:w="380" w:type="dxa"/>
            <w:vAlign w:val="bottom"/>
            <w:tcBorders>
              <w:bottom w:val="single" w:sz="8" w:color="CCEEFF"/>
            </w:tcBorders>
            <w:gridSpan w:val="2"/>
            <w:shd w:val="clear" w:color="auto" w:fill="CCEEFF"/>
          </w:tcPr>
          <w:p>
            <w:pPr>
              <w:jc w:val="right"/>
              <w:ind w:right="103"/>
              <w:spacing w:after="0" w:line="173" w:lineRule="exact"/>
              <w:rPr>
                <w:sz w:val="20"/>
                <w:szCs w:val="20"/>
                <w:color w:val="auto"/>
              </w:rPr>
            </w:pPr>
            <w:r>
              <w:rPr>
                <w:rFonts w:ascii="Calibri" w:cs="Calibri" w:eastAsia="Calibri" w:hAnsi="Calibri"/>
                <w:sz w:val="15"/>
                <w:szCs w:val="15"/>
                <w:b w:val="1"/>
                <w:bCs w:val="1"/>
                <w:color w:val="auto"/>
              </w:rPr>
              <w:t>$</w:t>
            </w:r>
          </w:p>
        </w:tc>
        <w:tc>
          <w:tcPr>
            <w:tcW w:w="820" w:type="dxa"/>
            <w:vAlign w:val="bottom"/>
            <w:tcBorders>
              <w:bottom w:val="single" w:sz="8" w:color="CCEEFF"/>
            </w:tcBorders>
            <w:shd w:val="clear" w:color="auto" w:fill="CCEEFF"/>
          </w:tcPr>
          <w:p>
            <w:pPr>
              <w:jc w:val="right"/>
              <w:spacing w:after="0" w:line="173" w:lineRule="exact"/>
              <w:rPr>
                <w:sz w:val="20"/>
                <w:szCs w:val="20"/>
                <w:color w:val="auto"/>
              </w:rPr>
            </w:pPr>
            <w:r>
              <w:rPr>
                <w:rFonts w:ascii="Calibri" w:cs="Calibri" w:eastAsia="Calibri" w:hAnsi="Calibri"/>
                <w:sz w:val="15"/>
                <w:szCs w:val="15"/>
                <w:b w:val="1"/>
                <w:bCs w:val="1"/>
                <w:color w:val="auto"/>
              </w:rPr>
              <w:t>46.90</w:t>
            </w:r>
          </w:p>
        </w:tc>
        <w:tc>
          <w:tcPr>
            <w:tcW w:w="8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ind w:left="2260"/>
              <w:spacing w:after="0" w:line="177" w:lineRule="exact"/>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17"/>
                <w:szCs w:val="17"/>
                <w:color w:val="auto"/>
              </w:rPr>
            </w:pPr>
          </w:p>
        </w:tc>
      </w:tr>
      <w:tr>
        <w:trPr>
          <w:trHeight w:val="32"/>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bl>
    <w:p>
      <w:pPr>
        <w:spacing w:after="0" w:line="8" w:lineRule="exact"/>
        <w:rPr>
          <w:sz w:val="20"/>
          <w:szCs w:val="20"/>
          <w:color w:val="auto"/>
        </w:rPr>
      </w:pPr>
    </w:p>
    <w:p>
      <w:pPr>
        <w:ind w:left="160" w:hanging="157"/>
        <w:spacing w:after="0"/>
        <w:tabs>
          <w:tab w:leader="none" w:pos="160" w:val="left"/>
        </w:tabs>
        <w:numPr>
          <w:ilvl w:val="0"/>
          <w:numId w:val="20"/>
        </w:numPr>
        <w:rPr>
          <w:rFonts w:ascii="Calibri" w:cs="Calibri" w:eastAsia="Calibri" w:hAnsi="Calibri"/>
          <w:sz w:val="18"/>
          <w:szCs w:val="18"/>
          <w:color w:val="auto"/>
          <w:vertAlign w:val="superscript"/>
        </w:rPr>
      </w:pPr>
      <w:r>
        <w:rPr>
          <w:rFonts w:ascii="Calibri" w:cs="Calibri" w:eastAsia="Calibri" w:hAnsi="Calibri"/>
          <w:sz w:val="14"/>
          <w:szCs w:val="14"/>
          <w:color w:val="auto"/>
        </w:rPr>
        <w:t>We purchased approximately 7 thousand shares in connecton with funding employee income tax withholding obligatons arising upon the lapse of restrictons on restricted share units.</w:t>
      </w:r>
    </w:p>
    <w:p>
      <w:pPr>
        <w:spacing w:after="0" w:line="30" w:lineRule="exact"/>
        <w:rPr>
          <w:rFonts w:ascii="Calibri" w:cs="Calibri" w:eastAsia="Calibri" w:hAnsi="Calibri"/>
          <w:sz w:val="18"/>
          <w:szCs w:val="18"/>
          <w:color w:val="auto"/>
          <w:vertAlign w:val="superscript"/>
        </w:rPr>
      </w:pPr>
    </w:p>
    <w:p>
      <w:pPr>
        <w:ind w:left="160" w:hanging="157"/>
        <w:spacing w:after="0" w:line="192" w:lineRule="auto"/>
        <w:tabs>
          <w:tab w:leader="none" w:pos="160" w:val="left"/>
        </w:tabs>
        <w:numPr>
          <w:ilvl w:val="0"/>
          <w:numId w:val="20"/>
        </w:numPr>
        <w:rPr>
          <w:rFonts w:ascii="Calibri" w:cs="Calibri" w:eastAsia="Calibri" w:hAnsi="Calibri"/>
          <w:sz w:val="14"/>
          <w:szCs w:val="14"/>
          <w:color w:val="auto"/>
          <w:vertAlign w:val="superscript"/>
        </w:rPr>
      </w:pPr>
      <w:r>
        <w:rPr>
          <w:rFonts w:ascii="Calibri" w:cs="Calibri" w:eastAsia="Calibri" w:hAnsi="Calibri"/>
          <w:sz w:val="11"/>
          <w:szCs w:val="11"/>
          <w:color w:val="auto"/>
        </w:rPr>
        <w:t>In August 2022, we announced that our Board of Directors approved a $1.25 billion share repurchase program, efectve through June 2025.</w:t>
      </w:r>
    </w:p>
    <w:p>
      <w:pPr>
        <w:spacing w:after="0" w:line="81"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3.</w:t>
        <w:tab/>
        <w:t>DEFAULTS UPON SENIOR SECURITIES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None.</w:t>
      </w:r>
    </w:p>
    <w:p>
      <w:pPr>
        <w:spacing w:after="0" w:line="86"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4.</w:t>
        <w:tab/>
        <w:t>MINE SAFETY DISCLOSURES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Not applicable.</w:t>
      </w:r>
    </w:p>
    <w:p>
      <w:pPr>
        <w:spacing w:after="0" w:line="86"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5.</w:t>
        <w:tab/>
        <w:t>OTHER INFORMATION</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Director and Secton 16 Ofcer Trading Arrangements</w:t>
      </w:r>
    </w:p>
    <w:p>
      <w:pPr>
        <w:spacing w:after="0" w:line="105"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During the three months ended March 31, 2024, no director or ofcer of the Company adopted or terminated a "Rule 10b5-1 trading arrangement" or "non-Rule 10b5-1 trading arrangement," as each term is defned in Item 408(a) of Regulaton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hanging="259"/>
        <w:spacing w:after="0"/>
        <w:tabs>
          <w:tab w:leader="none" w:pos="360" w:val="left"/>
        </w:tabs>
        <w:numPr>
          <w:ilvl w:val="0"/>
          <w:numId w:val="21"/>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6.</w:t>
        <w:tab/>
        <w:t>EXHIBITS</w:t>
      </w:r>
    </w:p>
    <w:p>
      <w:pPr>
        <w:spacing w:after="0" w:line="58"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exhibits are numbered in accordance with the Exhibit Table of Item 601 of Regulaton S-K:</w:t>
      </w:r>
    </w:p>
    <w:p>
      <w:pPr>
        <w:spacing w:after="0" w:line="40" w:lineRule="exact"/>
        <w:rPr>
          <w:sz w:val="20"/>
          <w:szCs w:val="20"/>
          <w:color w:val="auto"/>
        </w:rPr>
      </w:pPr>
    </w:p>
    <w:p>
      <w:pPr>
        <w:ind w:left="1060" w:right="60" w:hanging="1040"/>
        <w:spacing w:after="0" w:line="230" w:lineRule="auto"/>
        <w:tabs>
          <w:tab w:leader="none" w:pos="1060" w:val="left"/>
        </w:tabs>
        <w:numPr>
          <w:ilvl w:val="0"/>
          <w:numId w:val="22"/>
        </w:numPr>
        <w:rPr>
          <w:rFonts w:ascii="Calibri" w:cs="Calibri" w:eastAsia="Calibri" w:hAnsi="Calibri"/>
          <w:sz w:val="17"/>
          <w:szCs w:val="17"/>
          <w:u w:val="single" w:color="auto"/>
          <w:color w:val="0000FF"/>
        </w:rPr>
      </w:pPr>
      <w:hyperlink r:id="rId76">
        <w:r>
          <w:rPr>
            <w:rFonts w:ascii="Calibri" w:cs="Calibri" w:eastAsia="Calibri" w:hAnsi="Calibri"/>
            <w:sz w:val="17"/>
            <w:szCs w:val="17"/>
            <w:u w:val="single" w:color="auto"/>
            <w:color w:val="0000FF"/>
          </w:rPr>
          <w:t>List of Guarantor and Issuer Subsidiaries, fled as Exhibit 22 to the Company’s Annual Report on Form 10-K for the year ended June 30, 2023, fle</w:t>
        </w:r>
      </w:hyperlink>
      <w:r>
        <w:rPr>
          <w:rFonts w:ascii="Calibri" w:cs="Calibri" w:eastAsia="Calibri" w:hAnsi="Calibri"/>
          <w:sz w:val="17"/>
          <w:szCs w:val="17"/>
          <w:u w:val="single" w:color="auto"/>
          <w:color w:val="0000FF"/>
        </w:rPr>
        <w:t xml:space="preserve"> </w:t>
      </w:r>
      <w:hyperlink r:id="rId76">
        <w:r>
          <w:rPr>
            <w:rFonts w:ascii="Calibri" w:cs="Calibri" w:eastAsia="Calibri" w:hAnsi="Calibri"/>
            <w:sz w:val="17"/>
            <w:szCs w:val="17"/>
            <w:u w:val="single" w:color="auto"/>
            <w:color w:val="0000FF"/>
          </w:rPr>
          <w:t>number 1-06089, is incorporated herein by reference.</w:t>
        </w:r>
      </w:hyperlink>
    </w:p>
    <w:p>
      <w:pPr>
        <w:spacing w:after="0" w:line="9" w:lineRule="exact"/>
        <w:rPr>
          <w:rFonts w:ascii="Calibri" w:cs="Calibri" w:eastAsia="Calibri" w:hAnsi="Calibri"/>
          <w:sz w:val="17"/>
          <w:szCs w:val="17"/>
          <w:u w:val="single" w:color="auto"/>
          <w:color w:val="0000FF"/>
        </w:rPr>
      </w:pPr>
    </w:p>
    <w:tbl>
      <w:tblPr>
        <w:tblLayout w:type="fixed"/>
        <w:tblInd w:w="0" w:type="dxa"/>
        <w:tblCellMar>
          <w:top w:w="0" w:type="dxa"/>
          <w:left w:w="0" w:type="dxa"/>
          <w:bottom w:w="0" w:type="dxa"/>
          <w:right w:w="0" w:type="dxa"/>
        </w:tblCellMar>
      </w:tblPr>
      <w:tr>
        <w:trPr>
          <w:trHeight w:val="208"/>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Calibri" w:cs="Calibri" w:eastAsia="Calibri" w:hAnsi="Calibri"/>
                <w:sz w:val="17"/>
                <w:szCs w:val="17"/>
                <w:color w:val="0000FF"/>
                <w:w w:val="92"/>
              </w:rPr>
              <w:t>31.</w:t>
            </w:r>
            <w:r>
              <w:rPr>
                <w:rFonts w:ascii="Calibri" w:cs="Calibri" w:eastAsia="Calibri" w:hAnsi="Calibri"/>
                <w:sz w:val="17"/>
                <w:szCs w:val="17"/>
                <w:u w:val="single" w:color="auto"/>
                <w:color w:val="0000FF"/>
                <w:w w:val="92"/>
              </w:rPr>
              <w:t>1</w:t>
            </w:r>
          </w:p>
        </w:tc>
        <w:tc>
          <w:tcPr>
            <w:tcW w:w="500" w:type="dxa"/>
            <w:vAlign w:val="bottom"/>
            <w:shd w:val="clear" w:color="auto" w:fill="CCEEFF"/>
          </w:tcPr>
          <w:p>
            <w:pPr>
              <w:spacing w:after="0"/>
              <w:rPr>
                <w:sz w:val="18"/>
                <w:szCs w:val="18"/>
                <w:color w:val="auto"/>
              </w:rPr>
            </w:pPr>
          </w:p>
        </w:tc>
        <w:tc>
          <w:tcPr>
            <w:tcW w:w="10280" w:type="dxa"/>
            <w:vAlign w:val="bottom"/>
            <w:gridSpan w:val="6"/>
            <w:shd w:val="clear" w:color="auto" w:fill="CCEEFF"/>
          </w:tcPr>
          <w:p>
            <w:pPr>
              <w:ind w:left="240"/>
              <w:spacing w:after="0"/>
              <w:rPr>
                <w:sz w:val="20"/>
                <w:szCs w:val="20"/>
                <w:color w:val="auto"/>
              </w:rPr>
            </w:pPr>
            <w:r>
              <w:rPr>
                <w:rFonts w:ascii="Calibri" w:cs="Calibri" w:eastAsia="Calibri" w:hAnsi="Calibri"/>
                <w:sz w:val="17"/>
                <w:szCs w:val="17"/>
                <w:color w:val="0000FF"/>
              </w:rPr>
              <w:t>Certfcaton by Chief Executve Ofcer pursuant to Secton 302 of the Sarbanes-Oxley Act of 2002.</w:t>
            </w: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line="167" w:lineRule="exact"/>
              <w:rPr>
                <w:sz w:val="20"/>
                <w:szCs w:val="20"/>
                <w:color w:val="auto"/>
              </w:rPr>
            </w:pPr>
            <w:r>
              <w:rPr>
                <w:rFonts w:ascii="Calibri" w:cs="Calibri" w:eastAsia="Calibri" w:hAnsi="Calibri"/>
                <w:sz w:val="17"/>
                <w:szCs w:val="17"/>
                <w:color w:val="0000FF"/>
                <w:w w:val="92"/>
              </w:rPr>
              <w:t>31.</w:t>
            </w:r>
            <w:r>
              <w:rPr>
                <w:rFonts w:ascii="Calibri" w:cs="Calibri" w:eastAsia="Calibri" w:hAnsi="Calibri"/>
                <w:sz w:val="17"/>
                <w:szCs w:val="17"/>
                <w:u w:val="single" w:color="auto"/>
                <w:color w:val="0000FF"/>
                <w:w w:val="92"/>
              </w:rPr>
              <w:t>2</w:t>
            </w:r>
          </w:p>
        </w:tc>
        <w:tc>
          <w:tcPr>
            <w:tcW w:w="500" w:type="dxa"/>
            <w:vAlign w:val="bottom"/>
          </w:tcPr>
          <w:p>
            <w:pPr>
              <w:spacing w:after="0"/>
              <w:rPr>
                <w:sz w:val="14"/>
                <w:szCs w:val="14"/>
                <w:color w:val="auto"/>
              </w:rPr>
            </w:pPr>
          </w:p>
        </w:tc>
        <w:tc>
          <w:tcPr>
            <w:tcW w:w="10280" w:type="dxa"/>
            <w:vAlign w:val="bottom"/>
            <w:gridSpan w:val="6"/>
          </w:tcPr>
          <w:p>
            <w:pPr>
              <w:ind w:left="240"/>
              <w:spacing w:after="0" w:line="167" w:lineRule="exact"/>
              <w:rPr>
                <w:sz w:val="20"/>
                <w:szCs w:val="20"/>
                <w:color w:val="auto"/>
              </w:rPr>
            </w:pPr>
            <w:r>
              <w:rPr>
                <w:rFonts w:ascii="Calibri" w:cs="Calibri" w:eastAsia="Calibri" w:hAnsi="Calibri"/>
                <w:sz w:val="17"/>
                <w:szCs w:val="17"/>
                <w:color w:val="0000FF"/>
              </w:rPr>
              <w:t>Certfcaton by Chief Financial Ofcer pursuant to Secton 302 of the Sarbanes-Oxley Act of 2002.</w:t>
            </w:r>
          </w:p>
        </w:tc>
      </w:tr>
      <w:tr>
        <w:trPr>
          <w:trHeight w:val="32"/>
        </w:trPr>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8"/>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line="167" w:lineRule="exact"/>
              <w:rPr>
                <w:sz w:val="20"/>
                <w:szCs w:val="20"/>
                <w:color w:val="auto"/>
              </w:rPr>
            </w:pPr>
            <w:r>
              <w:rPr>
                <w:rFonts w:ascii="Calibri" w:cs="Calibri" w:eastAsia="Calibri" w:hAnsi="Calibri"/>
                <w:sz w:val="17"/>
                <w:szCs w:val="17"/>
                <w:color w:val="0000FF"/>
                <w:w w:val="92"/>
              </w:rPr>
              <w:t>32.</w:t>
            </w:r>
            <w:r>
              <w:rPr>
                <w:rFonts w:ascii="Calibri" w:cs="Calibri" w:eastAsia="Calibri" w:hAnsi="Calibri"/>
                <w:sz w:val="17"/>
                <w:szCs w:val="17"/>
                <w:u w:val="single" w:color="auto"/>
                <w:color w:val="0000FF"/>
                <w:w w:val="92"/>
              </w:rPr>
              <w:t>1</w:t>
            </w:r>
          </w:p>
        </w:tc>
        <w:tc>
          <w:tcPr>
            <w:tcW w:w="500" w:type="dxa"/>
            <w:vAlign w:val="bottom"/>
            <w:shd w:val="clear" w:color="auto" w:fill="CCEEFF"/>
          </w:tcPr>
          <w:p>
            <w:pPr>
              <w:spacing w:after="0"/>
              <w:rPr>
                <w:sz w:val="14"/>
                <w:szCs w:val="14"/>
                <w:color w:val="auto"/>
              </w:rPr>
            </w:pPr>
          </w:p>
        </w:tc>
        <w:tc>
          <w:tcPr>
            <w:tcW w:w="10280" w:type="dxa"/>
            <w:vAlign w:val="bottom"/>
            <w:gridSpan w:val="6"/>
            <w:shd w:val="clear" w:color="auto" w:fill="CCEEFF"/>
          </w:tcPr>
          <w:p>
            <w:pPr>
              <w:ind w:left="240"/>
              <w:spacing w:after="0" w:line="167" w:lineRule="exact"/>
              <w:rPr>
                <w:sz w:val="20"/>
                <w:szCs w:val="20"/>
                <w:color w:val="auto"/>
              </w:rPr>
            </w:pPr>
            <w:r>
              <w:rPr>
                <w:rFonts w:ascii="Calibri" w:cs="Calibri" w:eastAsia="Calibri" w:hAnsi="Calibri"/>
                <w:sz w:val="17"/>
                <w:szCs w:val="17"/>
                <w:color w:val="0000FF"/>
              </w:rPr>
              <w:t>Certfcaton by Chief Executve Ofcer pursuant to 18 U.S.C. 1350, as adopted by Secton 906 of the Sarbanes-Oxley Act of 2002.</w:t>
            </w: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line="167" w:lineRule="exact"/>
              <w:rPr>
                <w:sz w:val="20"/>
                <w:szCs w:val="20"/>
                <w:color w:val="auto"/>
              </w:rPr>
            </w:pPr>
            <w:r>
              <w:rPr>
                <w:rFonts w:ascii="Calibri" w:cs="Calibri" w:eastAsia="Calibri" w:hAnsi="Calibri"/>
                <w:sz w:val="17"/>
                <w:szCs w:val="17"/>
                <w:color w:val="0000FF"/>
                <w:w w:val="92"/>
              </w:rPr>
              <w:t>32.</w:t>
            </w:r>
            <w:r>
              <w:rPr>
                <w:rFonts w:ascii="Calibri" w:cs="Calibri" w:eastAsia="Calibri" w:hAnsi="Calibri"/>
                <w:sz w:val="17"/>
                <w:szCs w:val="17"/>
                <w:u w:val="single" w:color="auto"/>
                <w:color w:val="0000FF"/>
                <w:w w:val="92"/>
              </w:rPr>
              <w:t>2</w:t>
            </w:r>
          </w:p>
        </w:tc>
        <w:tc>
          <w:tcPr>
            <w:tcW w:w="500" w:type="dxa"/>
            <w:vAlign w:val="bottom"/>
          </w:tcPr>
          <w:p>
            <w:pPr>
              <w:spacing w:after="0"/>
              <w:rPr>
                <w:sz w:val="14"/>
                <w:szCs w:val="14"/>
                <w:color w:val="auto"/>
              </w:rPr>
            </w:pPr>
          </w:p>
        </w:tc>
        <w:tc>
          <w:tcPr>
            <w:tcW w:w="10280" w:type="dxa"/>
            <w:vAlign w:val="bottom"/>
            <w:gridSpan w:val="6"/>
          </w:tcPr>
          <w:p>
            <w:pPr>
              <w:ind w:left="240"/>
              <w:spacing w:after="0" w:line="167" w:lineRule="exact"/>
              <w:rPr>
                <w:sz w:val="20"/>
                <w:szCs w:val="20"/>
                <w:color w:val="auto"/>
              </w:rPr>
            </w:pPr>
            <w:r>
              <w:rPr>
                <w:rFonts w:ascii="Calibri" w:cs="Calibri" w:eastAsia="Calibri" w:hAnsi="Calibri"/>
                <w:sz w:val="17"/>
                <w:szCs w:val="17"/>
                <w:color w:val="0000FF"/>
              </w:rPr>
              <w:t>Certfcaton by Chief Financial Ofcer pursuant to 18 U.S.C. 1350, as adopted by Secton 906 of the Sarbanes-Oxley Act of 2002.</w:t>
            </w:r>
          </w:p>
        </w:tc>
      </w:tr>
      <w:tr>
        <w:trPr>
          <w:trHeight w:val="32"/>
        </w:trPr>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2"/>
        </w:trPr>
        <w:tc>
          <w:tcPr>
            <w:tcW w:w="820" w:type="dxa"/>
            <w:vAlign w:val="bottom"/>
            <w:gridSpan w:val="3"/>
            <w:shd w:val="clear" w:color="auto" w:fill="CCEEFF"/>
          </w:tcPr>
          <w:p>
            <w:pPr>
              <w:ind w:left="20"/>
              <w:spacing w:after="0" w:line="173" w:lineRule="exact"/>
              <w:rPr>
                <w:sz w:val="20"/>
                <w:szCs w:val="20"/>
                <w:color w:val="auto"/>
              </w:rPr>
            </w:pPr>
            <w:r>
              <w:rPr>
                <w:rFonts w:ascii="Calibri" w:cs="Calibri" w:eastAsia="Calibri" w:hAnsi="Calibri"/>
                <w:sz w:val="17"/>
                <w:szCs w:val="17"/>
                <w:color w:val="auto"/>
              </w:rPr>
              <w:t>101.INS</w:t>
            </w:r>
          </w:p>
        </w:tc>
        <w:tc>
          <w:tcPr>
            <w:tcW w:w="10280" w:type="dxa"/>
            <w:vAlign w:val="bottom"/>
            <w:gridSpan w:val="6"/>
            <w:shd w:val="clear" w:color="auto" w:fill="CCEEFF"/>
          </w:tcPr>
          <w:p>
            <w:pPr>
              <w:ind w:left="240"/>
              <w:spacing w:after="0" w:line="173" w:lineRule="exact"/>
              <w:rPr>
                <w:sz w:val="20"/>
                <w:szCs w:val="20"/>
                <w:color w:val="auto"/>
              </w:rPr>
            </w:pPr>
            <w:r>
              <w:rPr>
                <w:rFonts w:ascii="Calibri" w:cs="Calibri" w:eastAsia="Calibri" w:hAnsi="Calibri"/>
                <w:sz w:val="17"/>
                <w:szCs w:val="17"/>
                <w:color w:val="auto"/>
              </w:rPr>
              <w:t>Inline XBRL Instance Document - the instance document does not appear in the Interactve Data File because its XBRL tags are embedded within</w:t>
            </w: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280" w:type="dxa"/>
            <w:vAlign w:val="bottom"/>
            <w:tcBorders>
              <w:bottom w:val="single" w:sz="8" w:color="CCEEFF"/>
            </w:tcBorders>
            <w:gridSpan w:val="6"/>
            <w:shd w:val="clear" w:color="auto" w:fill="CCEEFF"/>
          </w:tcPr>
          <w:p>
            <w:pPr>
              <w:ind w:left="240"/>
              <w:spacing w:after="0" w:line="205" w:lineRule="exact"/>
              <w:rPr>
                <w:sz w:val="20"/>
                <w:szCs w:val="20"/>
                <w:color w:val="auto"/>
              </w:rPr>
            </w:pPr>
            <w:r>
              <w:rPr>
                <w:rFonts w:ascii="Calibri" w:cs="Calibri" w:eastAsia="Calibri" w:hAnsi="Calibri"/>
                <w:sz w:val="17"/>
                <w:szCs w:val="17"/>
                <w:color w:val="auto"/>
              </w:rPr>
              <w:t>the Inline XBRL document</w:t>
            </w:r>
          </w:p>
        </w:tc>
      </w:tr>
      <w:tr>
        <w:trPr>
          <w:trHeight w:val="212"/>
        </w:trPr>
        <w:tc>
          <w:tcPr>
            <w:tcW w:w="8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101.SCH</w:t>
            </w:r>
          </w:p>
        </w:tc>
        <w:tc>
          <w:tcPr>
            <w:tcW w:w="10280" w:type="dxa"/>
            <w:vAlign w:val="bottom"/>
            <w:gridSpan w:val="6"/>
          </w:tcPr>
          <w:p>
            <w:pPr>
              <w:ind w:left="240"/>
              <w:spacing w:after="0" w:line="205" w:lineRule="exact"/>
              <w:rPr>
                <w:sz w:val="20"/>
                <w:szCs w:val="20"/>
                <w:color w:val="auto"/>
              </w:rPr>
            </w:pPr>
            <w:r>
              <w:rPr>
                <w:rFonts w:ascii="Calibri" w:cs="Calibri" w:eastAsia="Calibri" w:hAnsi="Calibri"/>
                <w:sz w:val="17"/>
                <w:szCs w:val="17"/>
                <w:color w:val="auto"/>
              </w:rPr>
              <w:t>Inline XBRL Taxonomy Extension Schema</w:t>
            </w:r>
          </w:p>
        </w:tc>
      </w:tr>
      <w:tr>
        <w:trPr>
          <w:trHeight w:val="226"/>
        </w:trPr>
        <w:tc>
          <w:tcPr>
            <w:tcW w:w="820" w:type="dxa"/>
            <w:vAlign w:val="bottom"/>
            <w:gridSpan w:val="3"/>
            <w:shd w:val="clear" w:color="auto" w:fill="CCEEFF"/>
          </w:tcPr>
          <w:p>
            <w:pPr>
              <w:ind w:left="20"/>
              <w:spacing w:after="0"/>
              <w:rPr>
                <w:sz w:val="20"/>
                <w:szCs w:val="20"/>
                <w:color w:val="auto"/>
              </w:rPr>
            </w:pPr>
            <w:r>
              <w:rPr>
                <w:rFonts w:ascii="Calibri" w:cs="Calibri" w:eastAsia="Calibri" w:hAnsi="Calibri"/>
                <w:sz w:val="17"/>
                <w:szCs w:val="17"/>
                <w:color w:val="auto"/>
              </w:rPr>
              <w:t>101.CAL</w:t>
            </w:r>
          </w:p>
        </w:tc>
        <w:tc>
          <w:tcPr>
            <w:tcW w:w="10280" w:type="dxa"/>
            <w:vAlign w:val="bottom"/>
            <w:gridSpan w:val="6"/>
            <w:shd w:val="clear" w:color="auto" w:fill="CCEEFF"/>
          </w:tcPr>
          <w:p>
            <w:pPr>
              <w:ind w:left="240"/>
              <w:spacing w:after="0"/>
              <w:rPr>
                <w:sz w:val="20"/>
                <w:szCs w:val="20"/>
                <w:color w:val="auto"/>
              </w:rPr>
            </w:pPr>
            <w:r>
              <w:rPr>
                <w:rFonts w:ascii="Calibri" w:cs="Calibri" w:eastAsia="Calibri" w:hAnsi="Calibri"/>
                <w:sz w:val="17"/>
                <w:szCs w:val="17"/>
                <w:color w:val="auto"/>
              </w:rPr>
              <w:t>Inline XBRL Extension Calculaton Linkbase</w:t>
            </w:r>
          </w:p>
        </w:tc>
      </w:tr>
      <w:tr>
        <w:trPr>
          <w:trHeight w:val="212"/>
        </w:trPr>
        <w:tc>
          <w:tcPr>
            <w:tcW w:w="8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101.LAB</w:t>
            </w:r>
          </w:p>
        </w:tc>
        <w:tc>
          <w:tcPr>
            <w:tcW w:w="10280" w:type="dxa"/>
            <w:vAlign w:val="bottom"/>
            <w:gridSpan w:val="6"/>
          </w:tcPr>
          <w:p>
            <w:pPr>
              <w:ind w:left="240"/>
              <w:spacing w:after="0" w:line="205" w:lineRule="exact"/>
              <w:rPr>
                <w:sz w:val="20"/>
                <w:szCs w:val="20"/>
                <w:color w:val="auto"/>
              </w:rPr>
            </w:pPr>
            <w:r>
              <w:rPr>
                <w:rFonts w:ascii="Calibri" w:cs="Calibri" w:eastAsia="Calibri" w:hAnsi="Calibri"/>
                <w:sz w:val="17"/>
                <w:szCs w:val="17"/>
                <w:color w:val="auto"/>
              </w:rPr>
              <w:t>Inline XBRL Taxonomy Extension Label Linkbase</w:t>
            </w:r>
          </w:p>
        </w:tc>
      </w:tr>
      <w:tr>
        <w:trPr>
          <w:trHeight w:val="226"/>
        </w:trPr>
        <w:tc>
          <w:tcPr>
            <w:tcW w:w="820" w:type="dxa"/>
            <w:vAlign w:val="bottom"/>
            <w:gridSpan w:val="3"/>
            <w:shd w:val="clear" w:color="auto" w:fill="CCEEFF"/>
          </w:tcPr>
          <w:p>
            <w:pPr>
              <w:ind w:left="20"/>
              <w:spacing w:after="0"/>
              <w:rPr>
                <w:sz w:val="20"/>
                <w:szCs w:val="20"/>
                <w:color w:val="auto"/>
              </w:rPr>
            </w:pPr>
            <w:r>
              <w:rPr>
                <w:rFonts w:ascii="Calibri" w:cs="Calibri" w:eastAsia="Calibri" w:hAnsi="Calibri"/>
                <w:sz w:val="17"/>
                <w:szCs w:val="17"/>
                <w:color w:val="auto"/>
              </w:rPr>
              <w:t>101.PRE</w:t>
            </w:r>
          </w:p>
        </w:tc>
        <w:tc>
          <w:tcPr>
            <w:tcW w:w="10280" w:type="dxa"/>
            <w:vAlign w:val="bottom"/>
            <w:gridSpan w:val="6"/>
            <w:shd w:val="clear" w:color="auto" w:fill="CCEEFF"/>
          </w:tcPr>
          <w:p>
            <w:pPr>
              <w:ind w:left="240"/>
              <w:spacing w:after="0"/>
              <w:rPr>
                <w:sz w:val="20"/>
                <w:szCs w:val="20"/>
                <w:color w:val="auto"/>
              </w:rPr>
            </w:pPr>
            <w:r>
              <w:rPr>
                <w:rFonts w:ascii="Calibri" w:cs="Calibri" w:eastAsia="Calibri" w:hAnsi="Calibri"/>
                <w:sz w:val="17"/>
                <w:szCs w:val="17"/>
                <w:color w:val="auto"/>
              </w:rPr>
              <w:t>Inline XBRL Taxonomy Extension Presentaton Linkbase</w:t>
            </w:r>
          </w:p>
        </w:tc>
      </w:tr>
      <w:tr>
        <w:trPr>
          <w:trHeight w:val="212"/>
        </w:trPr>
        <w:tc>
          <w:tcPr>
            <w:tcW w:w="8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101.DEF</w:t>
            </w:r>
          </w:p>
        </w:tc>
        <w:tc>
          <w:tcPr>
            <w:tcW w:w="10280" w:type="dxa"/>
            <w:vAlign w:val="bottom"/>
            <w:gridSpan w:val="6"/>
          </w:tcPr>
          <w:p>
            <w:pPr>
              <w:ind w:left="240"/>
              <w:spacing w:after="0" w:line="205" w:lineRule="exact"/>
              <w:rPr>
                <w:sz w:val="20"/>
                <w:szCs w:val="20"/>
                <w:color w:val="auto"/>
              </w:rPr>
            </w:pPr>
            <w:r>
              <w:rPr>
                <w:rFonts w:ascii="Calibri" w:cs="Calibri" w:eastAsia="Calibri" w:hAnsi="Calibri"/>
                <w:sz w:val="17"/>
                <w:szCs w:val="17"/>
                <w:color w:val="auto"/>
              </w:rPr>
              <w:t>Inline XBRL Taxonomy Extension Defniton Linkbase</w:t>
            </w:r>
          </w:p>
        </w:tc>
      </w:tr>
      <w:tr>
        <w:trPr>
          <w:trHeight w:val="226"/>
        </w:trPr>
        <w:tc>
          <w:tcPr>
            <w:tcW w:w="320" w:type="dxa"/>
            <w:vAlign w:val="bottom"/>
            <w:gridSpan w:val="2"/>
            <w:shd w:val="clear" w:color="auto" w:fill="CCEEFF"/>
          </w:tcPr>
          <w:p>
            <w:pPr>
              <w:ind w:left="20"/>
              <w:spacing w:after="0"/>
              <w:rPr>
                <w:sz w:val="20"/>
                <w:szCs w:val="20"/>
                <w:color w:val="auto"/>
              </w:rPr>
            </w:pPr>
            <w:r>
              <w:rPr>
                <w:rFonts w:ascii="Calibri" w:cs="Calibri" w:eastAsia="Calibri" w:hAnsi="Calibri"/>
                <w:sz w:val="17"/>
                <w:szCs w:val="17"/>
                <w:color w:val="auto"/>
              </w:rPr>
              <w:t>104</w:t>
            </w:r>
          </w:p>
        </w:tc>
        <w:tc>
          <w:tcPr>
            <w:tcW w:w="500" w:type="dxa"/>
            <w:vAlign w:val="bottom"/>
            <w:shd w:val="clear" w:color="auto" w:fill="CCEEFF"/>
          </w:tcPr>
          <w:p>
            <w:pPr>
              <w:spacing w:after="0"/>
              <w:rPr>
                <w:sz w:val="19"/>
                <w:szCs w:val="19"/>
                <w:color w:val="auto"/>
              </w:rPr>
            </w:pPr>
          </w:p>
        </w:tc>
        <w:tc>
          <w:tcPr>
            <w:tcW w:w="10280" w:type="dxa"/>
            <w:vAlign w:val="bottom"/>
            <w:gridSpan w:val="6"/>
            <w:shd w:val="clear" w:color="auto" w:fill="CCEEFF"/>
          </w:tcPr>
          <w:p>
            <w:pPr>
              <w:ind w:left="240"/>
              <w:spacing w:after="0"/>
              <w:rPr>
                <w:sz w:val="20"/>
                <w:szCs w:val="20"/>
                <w:color w:val="auto"/>
              </w:rPr>
            </w:pPr>
            <w:r>
              <w:rPr>
                <w:rFonts w:ascii="Calibri" w:cs="Calibri" w:eastAsia="Calibri" w:hAnsi="Calibri"/>
                <w:sz w:val="17"/>
                <w:szCs w:val="17"/>
                <w:color w:val="auto"/>
              </w:rPr>
              <w:t>Cover Page Interactve Data File (formated as Inline XBRL and contained in Exhibit 101)</w:t>
            </w:r>
          </w:p>
        </w:tc>
      </w:tr>
    </w:tbl>
    <w:p>
      <w:pPr>
        <w:spacing w:after="0" w:line="200" w:lineRule="exact"/>
        <w:rPr>
          <w:rFonts w:ascii="Calibri" w:cs="Calibri" w:eastAsia="Calibri" w:hAnsi="Calibri"/>
          <w:sz w:val="17"/>
          <w:szCs w:val="17"/>
          <w:u w:val="single" w:color="auto"/>
          <w:color w:val="0000FF"/>
        </w:rPr>
      </w:pPr>
    </w:p>
    <w:p>
      <w:pPr>
        <w:spacing w:after="0" w:line="200" w:lineRule="exact"/>
        <w:rPr>
          <w:rFonts w:ascii="Calibri" w:cs="Calibri" w:eastAsia="Calibri" w:hAnsi="Calibri"/>
          <w:sz w:val="17"/>
          <w:szCs w:val="17"/>
          <w:u w:val="single" w:color="auto"/>
          <w:color w:val="0000FF"/>
        </w:rPr>
      </w:pPr>
    </w:p>
    <w:p>
      <w:pPr>
        <w:spacing w:after="0" w:line="200" w:lineRule="exact"/>
        <w:rPr>
          <w:rFonts w:ascii="Calibri" w:cs="Calibri" w:eastAsia="Calibri" w:hAnsi="Calibri"/>
          <w:sz w:val="17"/>
          <w:szCs w:val="17"/>
          <w:u w:val="single" w:color="auto"/>
          <w:color w:val="0000FF"/>
        </w:rPr>
      </w:pPr>
    </w:p>
    <w:p>
      <w:pPr>
        <w:spacing w:after="0" w:line="200" w:lineRule="exact"/>
        <w:rPr>
          <w:rFonts w:ascii="Calibri" w:cs="Calibri" w:eastAsia="Calibri" w:hAnsi="Calibri"/>
          <w:sz w:val="17"/>
          <w:szCs w:val="17"/>
          <w:u w:val="single" w:color="auto"/>
          <w:color w:val="0000FF"/>
        </w:rPr>
      </w:pPr>
    </w:p>
    <w:p>
      <w:pPr>
        <w:spacing w:after="0" w:line="223" w:lineRule="exact"/>
        <w:rPr>
          <w:rFonts w:ascii="Calibri" w:cs="Calibri" w:eastAsia="Calibri" w:hAnsi="Calibri"/>
          <w:sz w:val="17"/>
          <w:szCs w:val="17"/>
          <w:u w:val="single" w:color="auto"/>
          <w:color w:val="0000FF"/>
        </w:rPr>
      </w:pPr>
    </w:p>
    <w:p>
      <w:pPr>
        <w:jc w:val="right"/>
        <w:spacing w:after="0"/>
        <w:tabs>
          <w:tab w:leader="none" w:pos="1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|Q3 FY2024 Form 10-Q</w:t>
      </w:r>
      <w:r>
        <w:rPr>
          <w:sz w:val="20"/>
          <w:szCs w:val="20"/>
          <w:color w:val="auto"/>
        </w:rPr>
        <w:tab/>
      </w:r>
      <w:r>
        <w:rPr>
          <w:rFonts w:ascii="Calibri" w:cs="Calibri" w:eastAsia="Calibri" w:hAnsi="Calibri"/>
          <w:sz w:val="13"/>
          <w:szCs w:val="13"/>
          <w:color w:val="FFFFFF"/>
          <w:highlight w:val="black"/>
        </w:rPr>
        <w:t>27</w:t>
      </w:r>
    </w:p>
    <w:p>
      <w:pPr>
        <w:spacing w:after="0" w:line="20" w:lineRule="exact"/>
        <w:rPr>
          <w:rFonts w:ascii="Calibri" w:cs="Calibri" w:eastAsia="Calibri" w:hAnsi="Calibri"/>
          <w:sz w:val="17"/>
          <w:szCs w:val="17"/>
          <w:u w:val="single" w:color="auto"/>
          <w:color w:val="0000FF"/>
        </w:rPr>
      </w:pPr>
      <w:r>
        <w:rPr>
          <w:rFonts w:ascii="Calibri" w:cs="Calibri" w:eastAsia="Calibri" w:hAnsi="Calibri"/>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29" w:name="page30"/>
    <w:bookmarkEnd w:id="29"/>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SIGNATURES</w:t>
      </w:r>
    </w:p>
    <w:p>
      <w:pPr>
        <w:spacing w:after="0" w:line="105"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Pursuant to the requirements of the Securites Exchange Act of 1934, the registrant has duly caused this report to be signed on its behalf by the undersigned thereunto duly authorized.</w:t>
      </w:r>
    </w:p>
    <w:p>
      <w:pPr>
        <w:spacing w:after="0" w:line="12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H&amp;R BLOCK, INC.</w:t>
      </w:r>
    </w:p>
    <w:p>
      <w:pPr>
        <w:spacing w:after="0" w:line="26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/s/ Jefrey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13970</wp:posOffset>
            </wp:positionV>
            <wp:extent cx="26358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Jefrey J. Jones II</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President and Chief Executve Ofcer</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May 9, 2024</w:t>
      </w:r>
    </w:p>
    <w:p>
      <w:pPr>
        <w:spacing w:after="0" w:line="26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13970</wp:posOffset>
            </wp:positionV>
            <wp:extent cx="26358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Tony G. Bowen</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Chief Financial Ofcer</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May 9, 2024</w:t>
      </w:r>
    </w:p>
    <w:p>
      <w:pPr>
        <w:spacing w:after="0" w:line="26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13970</wp:posOffset>
            </wp:positionV>
            <wp:extent cx="26358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Kellie J. Logerwell</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Chief Accountng Ofcer</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hanging="259"/>
        <w:spacing w:after="0"/>
        <w:tabs>
          <w:tab w:leader="none" w:pos="360" w:val="left"/>
        </w:tabs>
        <w:numPr>
          <w:ilvl w:val="0"/>
          <w:numId w:val="23"/>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Q3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jc w:val="right"/>
        <w:spacing w:after="0"/>
        <w:rPr>
          <w:sz w:val="20"/>
          <w:szCs w:val="20"/>
          <w:color w:val="auto"/>
        </w:rPr>
      </w:pPr>
      <w:r>
        <w:rPr>
          <w:rFonts w:ascii="Calibri" w:cs="Calibri" w:eastAsia="Calibri" w:hAnsi="Calibri"/>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302 OF THE SARBANES-OXLEY ACT OF 2002</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I, Jefrey J. Jones II, Chief Executve Ofcer, certfy that:</w:t>
      </w:r>
    </w:p>
    <w:p>
      <w:pPr>
        <w:spacing w:after="0" w:line="231" w:lineRule="exact"/>
        <w:rPr>
          <w:sz w:val="20"/>
          <w:szCs w:val="20"/>
          <w:color w:val="auto"/>
        </w:rPr>
      </w:pPr>
    </w:p>
    <w:p>
      <w:pPr>
        <w:ind w:left="160" w:hanging="157"/>
        <w:spacing w:after="0"/>
        <w:tabs>
          <w:tab w:leader="none" w:pos="160"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I have reviewed this quarterly report on Form 10-Q of H&amp;R Block, Inc.;</w:t>
      </w:r>
    </w:p>
    <w:p>
      <w:pPr>
        <w:spacing w:after="0" w:line="233" w:lineRule="exact"/>
        <w:rPr>
          <w:rFonts w:ascii="Calibri" w:cs="Calibri" w:eastAsia="Calibri" w:hAnsi="Calibri"/>
          <w:sz w:val="17"/>
          <w:szCs w:val="17"/>
          <w:color w:val="auto"/>
        </w:rPr>
      </w:pPr>
    </w:p>
    <w:p>
      <w:pPr>
        <w:ind w:right="280" w:firstLine="3"/>
        <w:spacing w:after="0" w:line="237" w:lineRule="auto"/>
        <w:tabs>
          <w:tab w:leader="none" w:pos="165"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Calibri" w:cs="Calibri" w:eastAsia="Calibri" w:hAnsi="Calibri"/>
          <w:sz w:val="17"/>
          <w:szCs w:val="17"/>
          <w:color w:val="auto"/>
        </w:rPr>
      </w:pPr>
    </w:p>
    <w:p>
      <w:pPr>
        <w:ind w:right="540" w:firstLine="3"/>
        <w:spacing w:after="0" w:line="237" w:lineRule="auto"/>
        <w:tabs>
          <w:tab w:leader="none" w:pos="165"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Calibri" w:cs="Calibri" w:eastAsia="Calibri" w:hAnsi="Calibri"/>
          <w:sz w:val="17"/>
          <w:szCs w:val="17"/>
          <w:color w:val="auto"/>
        </w:rPr>
      </w:pPr>
    </w:p>
    <w:p>
      <w:pPr>
        <w:ind w:left="160" w:hanging="157"/>
        <w:spacing w:after="0"/>
        <w:tabs>
          <w:tab w:leader="none" w:pos="160"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are responsible for establishing and maintaining disclosure controls and procedures (as defned in Exchange Act Rules</w:t>
      </w:r>
    </w:p>
    <w:p>
      <w:pPr>
        <w:spacing w:after="0" w:line="238" w:lineRule="auto"/>
        <w:rPr>
          <w:rFonts w:ascii="Calibri" w:cs="Calibri" w:eastAsia="Calibri" w:hAnsi="Calibri"/>
          <w:sz w:val="17"/>
          <w:szCs w:val="17"/>
          <w:color w:val="auto"/>
        </w:rPr>
      </w:pPr>
      <w:r>
        <w:rPr>
          <w:rFonts w:ascii="Calibri" w:cs="Calibri" w:eastAsia="Calibri" w:hAnsi="Calibri"/>
          <w:sz w:val="17"/>
          <w:szCs w:val="17"/>
          <w:color w:val="auto"/>
        </w:rPr>
        <w:t>13a-15(e) and 15d-15(e)) and internal control over fnancial reportng (as defned in Exchange Act Rules 13a-15(f) and 15d-15(f)) for the registrant and have:</w:t>
      </w:r>
    </w:p>
    <w:p>
      <w:pPr>
        <w:spacing w:after="0" w:line="234" w:lineRule="exact"/>
        <w:rPr>
          <w:sz w:val="20"/>
          <w:szCs w:val="20"/>
          <w:color w:val="auto"/>
        </w:rPr>
      </w:pPr>
    </w:p>
    <w:p>
      <w:pPr>
        <w:ind w:right="320" w:firstLine="3"/>
        <w:spacing w:after="0" w:line="238" w:lineRule="auto"/>
        <w:tabs>
          <w:tab w:leader="none" w:pos="220"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33" w:lineRule="exact"/>
        <w:rPr>
          <w:rFonts w:ascii="Calibri" w:cs="Calibri" w:eastAsia="Calibri" w:hAnsi="Calibri"/>
          <w:sz w:val="17"/>
          <w:szCs w:val="17"/>
          <w:color w:val="auto"/>
        </w:rPr>
      </w:pPr>
    </w:p>
    <w:p>
      <w:pPr>
        <w:ind w:right="160" w:firstLine="3"/>
        <w:spacing w:after="0" w:line="238" w:lineRule="auto"/>
        <w:tabs>
          <w:tab w:leader="none" w:pos="228"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33" w:lineRule="exact"/>
        <w:rPr>
          <w:rFonts w:ascii="Calibri" w:cs="Calibri" w:eastAsia="Calibri" w:hAnsi="Calibri"/>
          <w:sz w:val="17"/>
          <w:szCs w:val="17"/>
          <w:color w:val="auto"/>
        </w:rPr>
      </w:pPr>
    </w:p>
    <w:p>
      <w:pPr>
        <w:ind w:right="420" w:firstLine="3"/>
        <w:spacing w:after="0" w:line="237" w:lineRule="auto"/>
        <w:tabs>
          <w:tab w:leader="none" w:pos="210"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4" w:lineRule="exact"/>
        <w:rPr>
          <w:rFonts w:ascii="Calibri" w:cs="Calibri" w:eastAsia="Calibri" w:hAnsi="Calibri"/>
          <w:sz w:val="17"/>
          <w:szCs w:val="17"/>
          <w:color w:val="auto"/>
        </w:rPr>
      </w:pPr>
    </w:p>
    <w:p>
      <w:pPr>
        <w:ind w:right="100" w:firstLine="3"/>
        <w:spacing w:after="0" w:line="238" w:lineRule="auto"/>
        <w:tabs>
          <w:tab w:leader="none" w:pos="228"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33" w:lineRule="exact"/>
        <w:rPr>
          <w:sz w:val="20"/>
          <w:szCs w:val="20"/>
          <w:color w:val="auto"/>
        </w:rPr>
      </w:pPr>
    </w:p>
    <w:p>
      <w:pPr>
        <w:ind w:right="300" w:firstLine="3"/>
        <w:spacing w:after="0" w:line="237" w:lineRule="auto"/>
        <w:tabs>
          <w:tab w:leader="none" w:pos="165"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35" w:lineRule="exact"/>
        <w:rPr>
          <w:sz w:val="20"/>
          <w:szCs w:val="20"/>
          <w:color w:val="auto"/>
        </w:rPr>
      </w:pPr>
    </w:p>
    <w:p>
      <w:pPr>
        <w:ind w:right="120" w:firstLine="3"/>
        <w:spacing w:after="0" w:line="237" w:lineRule="auto"/>
        <w:tabs>
          <w:tab w:leader="none" w:pos="22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4" w:lineRule="exact"/>
        <w:rPr>
          <w:rFonts w:ascii="Calibri" w:cs="Calibri" w:eastAsia="Calibri" w:hAnsi="Calibri"/>
          <w:sz w:val="17"/>
          <w:szCs w:val="17"/>
          <w:color w:val="auto"/>
        </w:rPr>
      </w:pPr>
    </w:p>
    <w:p>
      <w:pPr>
        <w:ind w:right="260" w:firstLine="3"/>
        <w:spacing w:after="0" w:line="237" w:lineRule="auto"/>
        <w:tabs>
          <w:tab w:leader="none" w:pos="228"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the registrant's internal control over fnancial reportng.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Calibri" w:cs="Calibri" w:eastAsia="Calibri" w:hAnsi="Calibri"/>
                <w:sz w:val="17"/>
                <w:szCs w:val="17"/>
                <w:color w:val="auto"/>
              </w:rPr>
              <w:t>Date:</w:t>
            </w:r>
          </w:p>
        </w:tc>
        <w:tc>
          <w:tcPr>
            <w:tcW w:w="6240" w:type="dxa"/>
            <w:vAlign w:val="bottom"/>
          </w:tcPr>
          <w:p>
            <w:pPr>
              <w:ind w:left="160"/>
              <w:spacing w:after="0"/>
              <w:rPr>
                <w:sz w:val="20"/>
                <w:szCs w:val="20"/>
                <w:color w:val="auto"/>
              </w:rPr>
            </w:pPr>
            <w:r>
              <w:rPr>
                <w:rFonts w:ascii="Calibri" w:cs="Calibri" w:eastAsia="Calibri" w:hAnsi="Calibri"/>
                <w:sz w:val="17"/>
                <w:szCs w:val="17"/>
                <w:color w:val="auto"/>
              </w:rPr>
              <w:t>May 9, 2024</w:t>
            </w:r>
          </w:p>
        </w:tc>
        <w:tc>
          <w:tcPr>
            <w:tcW w:w="4460" w:type="dxa"/>
            <w:vAlign w:val="bottom"/>
          </w:tcPr>
          <w:p>
            <w:pPr>
              <w:ind w:left="20"/>
              <w:spacing w:after="0"/>
              <w:rPr>
                <w:sz w:val="20"/>
                <w:szCs w:val="20"/>
                <w:color w:val="auto"/>
              </w:rPr>
            </w:pPr>
            <w:r>
              <w:rPr>
                <w:rFonts w:ascii="Calibri" w:cs="Calibri" w:eastAsia="Calibri" w:hAnsi="Calibri"/>
                <w:sz w:val="17"/>
                <w:szCs w:val="17"/>
                <w:color w:val="auto"/>
              </w:rPr>
              <w:t>/s/ Jefrey J. Jones II</w:t>
            </w:r>
          </w:p>
        </w:tc>
      </w:tr>
      <w:tr>
        <w:trPr>
          <w:trHeight w:val="22"/>
        </w:trPr>
        <w:tc>
          <w:tcPr>
            <w:tcW w:w="5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8"/>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198" w:lineRule="exact"/>
              <w:rPr>
                <w:sz w:val="20"/>
                <w:szCs w:val="20"/>
                <w:color w:val="auto"/>
              </w:rPr>
            </w:pPr>
            <w:r>
              <w:rPr>
                <w:rFonts w:ascii="Calibri" w:cs="Calibri" w:eastAsia="Calibri" w:hAnsi="Calibri"/>
                <w:sz w:val="17"/>
                <w:szCs w:val="17"/>
                <w:color w:val="auto"/>
              </w:rPr>
              <w:t>Jefrey J. Jones II</w:t>
            </w:r>
          </w:p>
        </w:tc>
      </w:tr>
    </w:tbl>
    <w:p>
      <w:pPr>
        <w:ind w:left="6800"/>
        <w:spacing w:after="0"/>
        <w:rPr>
          <w:sz w:val="20"/>
          <w:szCs w:val="20"/>
          <w:color w:val="auto"/>
        </w:rPr>
      </w:pPr>
      <w:r>
        <w:rPr>
          <w:rFonts w:ascii="Calibri" w:cs="Calibri" w:eastAsia="Calibri" w:hAnsi="Calibri"/>
          <w:sz w:val="17"/>
          <w:szCs w:val="17"/>
          <w:color w:val="auto"/>
        </w:rPr>
        <w:t>Chief Executve Ofcer</w:t>
      </w:r>
    </w:p>
    <w:p>
      <w:pPr>
        <w:ind w:left="6800"/>
        <w:spacing w:after="0" w:line="197" w:lineRule="auto"/>
        <w:rPr>
          <w:sz w:val="20"/>
          <w:szCs w:val="20"/>
          <w:color w:val="auto"/>
        </w:rPr>
      </w:pPr>
      <w:r>
        <w:rPr>
          <w:rFonts w:ascii="Calibri" w:cs="Calibri" w:eastAsia="Calibri" w:hAnsi="Calibri"/>
          <w:sz w:val="17"/>
          <w:szCs w:val="17"/>
          <w:color w:val="auto"/>
        </w:rPr>
        <w:t>H&amp;R Block, Inc.</w:t>
      </w:r>
    </w:p>
    <w:p>
      <w:pPr>
        <w:sectPr>
          <w:pgSz w:w="11900" w:h="16838" w:orient="portrait"/>
          <w:cols w:equalWidth="0" w:num="1">
            <w:col w:w="11240"/>
          </w:cols>
          <w:pgMar w:left="320" w:top="116" w:right="339" w:bottom="1440" w:gutter="0" w:footer="0" w:header="0"/>
        </w:sectPr>
      </w:pPr>
    </w:p>
    <w:bookmarkStart w:id="31" w:name="page32"/>
    <w:bookmarkEnd w:id="31"/>
    <w:p>
      <w:pPr>
        <w:jc w:val="right"/>
        <w:spacing w:after="0"/>
        <w:rPr>
          <w:sz w:val="20"/>
          <w:szCs w:val="20"/>
          <w:color w:val="auto"/>
        </w:rPr>
      </w:pPr>
      <w:r>
        <w:rPr>
          <w:rFonts w:ascii="Calibri" w:cs="Calibri" w:eastAsia="Calibri" w:hAnsi="Calibri"/>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302 OF THE SARBANES-OXLEY ACT OF 2002</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I, Tony G. Bowen, Chief Financial Ofcer, certfy that:</w:t>
      </w:r>
    </w:p>
    <w:p>
      <w:pPr>
        <w:spacing w:after="0" w:line="231" w:lineRule="exact"/>
        <w:rPr>
          <w:sz w:val="20"/>
          <w:szCs w:val="20"/>
          <w:color w:val="auto"/>
        </w:rPr>
      </w:pPr>
    </w:p>
    <w:p>
      <w:pPr>
        <w:ind w:left="160" w:hanging="157"/>
        <w:spacing w:after="0"/>
        <w:tabs>
          <w:tab w:leader="none" w:pos="16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I have reviewed this quarterly report on Form 10-Q of H&amp;R Block, Inc.;</w:t>
      </w:r>
    </w:p>
    <w:p>
      <w:pPr>
        <w:spacing w:after="0" w:line="233" w:lineRule="exact"/>
        <w:rPr>
          <w:rFonts w:ascii="Calibri" w:cs="Calibri" w:eastAsia="Calibri" w:hAnsi="Calibri"/>
          <w:sz w:val="17"/>
          <w:szCs w:val="17"/>
          <w:color w:val="auto"/>
        </w:rPr>
      </w:pPr>
    </w:p>
    <w:p>
      <w:pPr>
        <w:ind w:right="280" w:firstLine="3"/>
        <w:spacing w:after="0" w:line="237" w:lineRule="auto"/>
        <w:tabs>
          <w:tab w:leader="none" w:pos="165"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Calibri" w:cs="Calibri" w:eastAsia="Calibri" w:hAnsi="Calibri"/>
          <w:sz w:val="17"/>
          <w:szCs w:val="17"/>
          <w:color w:val="auto"/>
        </w:rPr>
      </w:pPr>
    </w:p>
    <w:p>
      <w:pPr>
        <w:ind w:right="540" w:firstLine="3"/>
        <w:spacing w:after="0" w:line="237" w:lineRule="auto"/>
        <w:tabs>
          <w:tab w:leader="none" w:pos="165"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Calibri" w:cs="Calibri" w:eastAsia="Calibri" w:hAnsi="Calibri"/>
          <w:sz w:val="17"/>
          <w:szCs w:val="17"/>
          <w:color w:val="auto"/>
        </w:rPr>
      </w:pPr>
    </w:p>
    <w:p>
      <w:pPr>
        <w:ind w:left="160" w:hanging="157"/>
        <w:spacing w:after="0"/>
        <w:tabs>
          <w:tab w:leader="none" w:pos="16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are responsible for establishing and maintaining disclosure controls and procedures (as defned in Exchange Act Rules</w:t>
      </w:r>
    </w:p>
    <w:p>
      <w:pPr>
        <w:spacing w:after="0" w:line="238" w:lineRule="auto"/>
        <w:rPr>
          <w:rFonts w:ascii="Calibri" w:cs="Calibri" w:eastAsia="Calibri" w:hAnsi="Calibri"/>
          <w:sz w:val="17"/>
          <w:szCs w:val="17"/>
          <w:color w:val="auto"/>
        </w:rPr>
      </w:pPr>
      <w:r>
        <w:rPr>
          <w:rFonts w:ascii="Calibri" w:cs="Calibri" w:eastAsia="Calibri" w:hAnsi="Calibri"/>
          <w:sz w:val="17"/>
          <w:szCs w:val="17"/>
          <w:color w:val="auto"/>
        </w:rPr>
        <w:t>13a-15(e) and 15d-15(e)) and internal control over fnancial reportng (as defned in Exchange Act Rules 13a-15(f) and 15d-15(f)) for the registrant and have:</w:t>
      </w:r>
    </w:p>
    <w:p>
      <w:pPr>
        <w:spacing w:after="0" w:line="234" w:lineRule="exact"/>
        <w:rPr>
          <w:sz w:val="20"/>
          <w:szCs w:val="20"/>
          <w:color w:val="auto"/>
        </w:rPr>
      </w:pPr>
    </w:p>
    <w:p>
      <w:pPr>
        <w:ind w:right="320" w:firstLine="3"/>
        <w:spacing w:after="0" w:line="238" w:lineRule="auto"/>
        <w:tabs>
          <w:tab w:leader="none" w:pos="2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33" w:lineRule="exact"/>
        <w:rPr>
          <w:rFonts w:ascii="Calibri" w:cs="Calibri" w:eastAsia="Calibri" w:hAnsi="Calibri"/>
          <w:sz w:val="17"/>
          <w:szCs w:val="17"/>
          <w:color w:val="auto"/>
        </w:rPr>
      </w:pPr>
    </w:p>
    <w:p>
      <w:pPr>
        <w:ind w:right="160" w:firstLine="3"/>
        <w:spacing w:after="0" w:line="238" w:lineRule="auto"/>
        <w:tabs>
          <w:tab w:leader="none" w:pos="228"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33" w:lineRule="exact"/>
        <w:rPr>
          <w:rFonts w:ascii="Calibri" w:cs="Calibri" w:eastAsia="Calibri" w:hAnsi="Calibri"/>
          <w:sz w:val="17"/>
          <w:szCs w:val="17"/>
          <w:color w:val="auto"/>
        </w:rPr>
      </w:pPr>
    </w:p>
    <w:p>
      <w:pPr>
        <w:ind w:right="420" w:firstLine="3"/>
        <w:spacing w:after="0" w:line="237" w:lineRule="auto"/>
        <w:tabs>
          <w:tab w:leader="none" w:pos="21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4" w:lineRule="exact"/>
        <w:rPr>
          <w:rFonts w:ascii="Calibri" w:cs="Calibri" w:eastAsia="Calibri" w:hAnsi="Calibri"/>
          <w:sz w:val="17"/>
          <w:szCs w:val="17"/>
          <w:color w:val="auto"/>
        </w:rPr>
      </w:pPr>
    </w:p>
    <w:p>
      <w:pPr>
        <w:ind w:right="100" w:firstLine="3"/>
        <w:spacing w:after="0" w:line="238" w:lineRule="auto"/>
        <w:tabs>
          <w:tab w:leader="none" w:pos="228"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33" w:lineRule="exact"/>
        <w:rPr>
          <w:sz w:val="20"/>
          <w:szCs w:val="20"/>
          <w:color w:val="auto"/>
        </w:rPr>
      </w:pPr>
    </w:p>
    <w:p>
      <w:pPr>
        <w:ind w:right="300" w:firstLine="3"/>
        <w:spacing w:after="0" w:line="237" w:lineRule="auto"/>
        <w:tabs>
          <w:tab w:leader="none" w:pos="165"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35" w:lineRule="exact"/>
        <w:rPr>
          <w:sz w:val="20"/>
          <w:szCs w:val="20"/>
          <w:color w:val="auto"/>
        </w:rPr>
      </w:pPr>
    </w:p>
    <w:p>
      <w:pPr>
        <w:ind w:right="120" w:firstLine="3"/>
        <w:spacing w:after="0" w:line="237" w:lineRule="auto"/>
        <w:tabs>
          <w:tab w:leader="none" w:pos="220"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4" w:lineRule="exact"/>
        <w:rPr>
          <w:rFonts w:ascii="Calibri" w:cs="Calibri" w:eastAsia="Calibri" w:hAnsi="Calibri"/>
          <w:sz w:val="17"/>
          <w:szCs w:val="17"/>
          <w:color w:val="auto"/>
        </w:rPr>
      </w:pPr>
    </w:p>
    <w:p>
      <w:pPr>
        <w:ind w:right="260" w:firstLine="3"/>
        <w:spacing w:after="0" w:line="237" w:lineRule="auto"/>
        <w:tabs>
          <w:tab w:leader="none" w:pos="228"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the registrant's internal control over fnancial reportng.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Calibri" w:cs="Calibri" w:eastAsia="Calibri" w:hAnsi="Calibri"/>
                <w:sz w:val="17"/>
                <w:szCs w:val="17"/>
                <w:color w:val="auto"/>
              </w:rPr>
              <w:t>Date:</w:t>
            </w:r>
          </w:p>
        </w:tc>
        <w:tc>
          <w:tcPr>
            <w:tcW w:w="6240" w:type="dxa"/>
            <w:vAlign w:val="bottom"/>
          </w:tcPr>
          <w:p>
            <w:pPr>
              <w:ind w:left="160"/>
              <w:spacing w:after="0"/>
              <w:rPr>
                <w:sz w:val="20"/>
                <w:szCs w:val="20"/>
                <w:color w:val="auto"/>
              </w:rPr>
            </w:pPr>
            <w:r>
              <w:rPr>
                <w:rFonts w:ascii="Calibri" w:cs="Calibri" w:eastAsia="Calibri" w:hAnsi="Calibri"/>
                <w:sz w:val="17"/>
                <w:szCs w:val="17"/>
                <w:color w:val="auto"/>
              </w:rPr>
              <w:t>May 9, 2024</w:t>
            </w:r>
          </w:p>
        </w:tc>
        <w:tc>
          <w:tcPr>
            <w:tcW w:w="4460" w:type="dxa"/>
            <w:vAlign w:val="bottom"/>
          </w:tcPr>
          <w:p>
            <w:pPr>
              <w:ind w:left="20"/>
              <w:spacing w:after="0"/>
              <w:rPr>
                <w:sz w:val="20"/>
                <w:szCs w:val="20"/>
                <w:color w:val="auto"/>
              </w:rPr>
            </w:pPr>
            <w:r>
              <w:rPr>
                <w:rFonts w:ascii="Calibri" w:cs="Calibri" w:eastAsia="Calibri" w:hAnsi="Calibri"/>
                <w:sz w:val="17"/>
                <w:szCs w:val="17"/>
                <w:color w:val="auto"/>
              </w:rPr>
              <w:t>/s/ Tony G. Bowen</w:t>
            </w:r>
          </w:p>
        </w:tc>
      </w:tr>
      <w:tr>
        <w:trPr>
          <w:trHeight w:val="22"/>
        </w:trPr>
        <w:tc>
          <w:tcPr>
            <w:tcW w:w="5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8"/>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198" w:lineRule="exact"/>
              <w:rPr>
                <w:sz w:val="20"/>
                <w:szCs w:val="20"/>
                <w:color w:val="auto"/>
              </w:rPr>
            </w:pPr>
            <w:r>
              <w:rPr>
                <w:rFonts w:ascii="Calibri" w:cs="Calibri" w:eastAsia="Calibri" w:hAnsi="Calibri"/>
                <w:sz w:val="17"/>
                <w:szCs w:val="17"/>
                <w:color w:val="auto"/>
              </w:rPr>
              <w:t>Tony G. Bowen</w:t>
            </w:r>
          </w:p>
        </w:tc>
      </w:tr>
    </w:tbl>
    <w:p>
      <w:pPr>
        <w:ind w:left="6800"/>
        <w:spacing w:after="0"/>
        <w:rPr>
          <w:sz w:val="20"/>
          <w:szCs w:val="20"/>
          <w:color w:val="auto"/>
        </w:rPr>
      </w:pPr>
      <w:r>
        <w:rPr>
          <w:rFonts w:ascii="Calibri" w:cs="Calibri" w:eastAsia="Calibri" w:hAnsi="Calibri"/>
          <w:sz w:val="17"/>
          <w:szCs w:val="17"/>
          <w:color w:val="auto"/>
        </w:rPr>
        <w:t>Chief Financial Ofcer</w:t>
      </w:r>
    </w:p>
    <w:p>
      <w:pPr>
        <w:ind w:left="6800"/>
        <w:spacing w:after="0" w:line="197" w:lineRule="auto"/>
        <w:rPr>
          <w:sz w:val="20"/>
          <w:szCs w:val="20"/>
          <w:color w:val="auto"/>
        </w:rPr>
      </w:pPr>
      <w:r>
        <w:rPr>
          <w:rFonts w:ascii="Calibri" w:cs="Calibri" w:eastAsia="Calibri" w:hAnsi="Calibri"/>
          <w:sz w:val="17"/>
          <w:szCs w:val="17"/>
          <w:color w:val="auto"/>
        </w:rPr>
        <w:t>H&amp;R Block, Inc.</w:t>
      </w:r>
    </w:p>
    <w:p>
      <w:pPr>
        <w:sectPr>
          <w:pgSz w:w="11900" w:h="16838" w:orient="portrait"/>
          <w:cols w:equalWidth="0" w:num="1">
            <w:col w:w="11240"/>
          </w:cols>
          <w:pgMar w:left="320" w:top="116" w:right="339" w:bottom="1440" w:gutter="0" w:footer="0" w:header="0"/>
        </w:sectPr>
      </w:pPr>
    </w:p>
    <w:bookmarkStart w:id="32" w:name="page33"/>
    <w:bookmarkEnd w:id="32"/>
    <w:p>
      <w:pPr>
        <w:jc w:val="right"/>
        <w:spacing w:after="0"/>
        <w:rPr>
          <w:sz w:val="20"/>
          <w:szCs w:val="20"/>
          <w:color w:val="auto"/>
        </w:rPr>
      </w:pPr>
      <w:r>
        <w:rPr>
          <w:rFonts w:ascii="MS PGothic" w:cs="MS PGothic" w:eastAsia="MS PGothic" w:hAnsi="MS PGothic"/>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906 OF THE SARBANES-OXLEY ACT OF 2002</w:t>
      </w:r>
    </w:p>
    <w:p>
      <w:pPr>
        <w:spacing w:after="0" w:line="233" w:lineRule="exact"/>
        <w:rPr>
          <w:sz w:val="20"/>
          <w:szCs w:val="20"/>
          <w:color w:val="auto"/>
        </w:rPr>
      </w:pPr>
    </w:p>
    <w:p>
      <w:pPr>
        <w:jc w:val="both"/>
        <w:ind w:firstLine="175"/>
        <w:spacing w:after="0" w:line="315" w:lineRule="auto"/>
        <w:rPr>
          <w:sz w:val="20"/>
          <w:szCs w:val="20"/>
          <w:color w:val="auto"/>
        </w:rPr>
      </w:pPr>
      <w:r>
        <w:rPr>
          <w:rFonts w:ascii="MS PGothic" w:cs="MS PGothic" w:eastAsia="MS PGothic" w:hAnsi="MS PGothic"/>
          <w:sz w:val="17"/>
          <w:szCs w:val="17"/>
          <w:color w:val="auto"/>
        </w:rPr>
        <w:t>In connecton with the quarterly report of H&amp;R Block, Inc. (the “Company”) on Form 10‑Q for the fscal quarter ended March 31, 2024 as fled with the Securites and Exchange Commission on the date hereof (the “Report”), I, Jefrey J. Jones II, Chief Executve Ofcer of the Company, certfy pursuant to 18 U.S.C. § 1350, as adopted pursuant to § 906 of the Sarbanes-Oxley Act of 2002, that:</w:t>
      </w:r>
    </w:p>
    <w:p>
      <w:pPr>
        <w:spacing w:after="0" w:line="181" w:lineRule="exact"/>
        <w:rPr>
          <w:sz w:val="20"/>
          <w:szCs w:val="20"/>
          <w:color w:val="auto"/>
        </w:rPr>
      </w:pPr>
    </w:p>
    <w:p>
      <w:pPr>
        <w:ind w:left="1240" w:hanging="618"/>
        <w:spacing w:after="0"/>
        <w:tabs>
          <w:tab w:leader="none" w:pos="1240" w:val="left"/>
        </w:tabs>
        <w:numPr>
          <w:ilvl w:val="0"/>
          <w:numId w:val="32"/>
        </w:numPr>
        <w:rPr>
          <w:rFonts w:ascii="MS PGothic" w:cs="MS PGothic" w:eastAsia="MS PGothic" w:hAnsi="MS PGothic"/>
          <w:sz w:val="17"/>
          <w:szCs w:val="17"/>
          <w:color w:val="auto"/>
        </w:rPr>
      </w:pPr>
      <w:r>
        <w:rPr>
          <w:rFonts w:ascii="MS PGothic" w:cs="MS PGothic" w:eastAsia="MS PGothic" w:hAnsi="MS PGothic"/>
          <w:sz w:val="17"/>
          <w:szCs w:val="17"/>
          <w:color w:val="auto"/>
        </w:rPr>
        <w:t>The Report fully complies with the requirements of Secton 13(a) or 15(d) of the Securites Exchange Act of 1934; and</w:t>
      </w:r>
    </w:p>
    <w:p>
      <w:pPr>
        <w:spacing w:after="0" w:line="268" w:lineRule="exact"/>
        <w:rPr>
          <w:rFonts w:ascii="MS PGothic" w:cs="MS PGothic" w:eastAsia="MS PGothic" w:hAnsi="MS PGothic"/>
          <w:sz w:val="17"/>
          <w:szCs w:val="17"/>
          <w:color w:val="auto"/>
        </w:rPr>
      </w:pPr>
    </w:p>
    <w:p>
      <w:pPr>
        <w:ind w:left="1240" w:hanging="618"/>
        <w:spacing w:after="0"/>
        <w:tabs>
          <w:tab w:leader="none" w:pos="1240" w:val="left"/>
        </w:tabs>
        <w:numPr>
          <w:ilvl w:val="0"/>
          <w:numId w:val="32"/>
        </w:numPr>
        <w:rPr>
          <w:rFonts w:ascii="MS PGothic" w:cs="MS PGothic" w:eastAsia="MS PGothic" w:hAnsi="MS PGothic"/>
          <w:sz w:val="16"/>
          <w:szCs w:val="16"/>
          <w:color w:val="auto"/>
        </w:rPr>
      </w:pPr>
      <w:r>
        <w:rPr>
          <w:rFonts w:ascii="MS PGothic" w:cs="MS PGothic" w:eastAsia="MS PGothic" w:hAnsi="MS PGothic"/>
          <w:sz w:val="16"/>
          <w:szCs w:val="16"/>
          <w:color w:val="auto"/>
        </w:rPr>
        <w:t>The informaton contained in the Report fairly presents, in all material respects, the fnancial conditon and results of operatons of the Company.</w:t>
      </w:r>
    </w:p>
    <w:p>
      <w:pPr>
        <w:spacing w:after="0" w:line="278"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/s/ Jefrey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36195</wp:posOffset>
            </wp:positionV>
            <wp:extent cx="21120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42"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Jefrey J. Jones II</w:t>
      </w:r>
    </w:p>
    <w:p>
      <w:pPr>
        <w:spacing w:after="0" w:line="29"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Chief Executve Ofcer</w:t>
      </w:r>
    </w:p>
    <w:p>
      <w:pPr>
        <w:ind w:left="7940"/>
        <w:spacing w:after="0"/>
        <w:rPr>
          <w:sz w:val="20"/>
          <w:szCs w:val="20"/>
          <w:color w:val="auto"/>
        </w:rPr>
      </w:pPr>
      <w:r>
        <w:rPr>
          <w:rFonts w:ascii="MS PGothic" w:cs="MS PGothic" w:eastAsia="MS PGothic" w:hAnsi="MS PGothic"/>
          <w:sz w:val="17"/>
          <w:szCs w:val="17"/>
          <w:color w:val="auto"/>
        </w:rPr>
        <w:t>H&amp;R Block, Inc.</w:t>
      </w:r>
    </w:p>
    <w:p>
      <w:pPr>
        <w:spacing w:after="0" w:line="28"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May 9, 2024</w:t>
      </w:r>
    </w:p>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MS PGothic" w:cs="MS PGothic" w:eastAsia="MS PGothic" w:hAnsi="MS PGothic"/>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906 OF THE SARBANES-OXLEY ACT OF 2002</w:t>
      </w:r>
    </w:p>
    <w:p>
      <w:pPr>
        <w:spacing w:after="0" w:line="233" w:lineRule="exact"/>
        <w:rPr>
          <w:sz w:val="20"/>
          <w:szCs w:val="20"/>
          <w:color w:val="auto"/>
        </w:rPr>
      </w:pPr>
    </w:p>
    <w:p>
      <w:pPr>
        <w:jc w:val="both"/>
        <w:ind w:firstLine="175"/>
        <w:spacing w:after="0" w:line="315" w:lineRule="auto"/>
        <w:rPr>
          <w:sz w:val="20"/>
          <w:szCs w:val="20"/>
          <w:color w:val="auto"/>
        </w:rPr>
      </w:pPr>
      <w:r>
        <w:rPr>
          <w:rFonts w:ascii="MS PGothic" w:cs="MS PGothic" w:eastAsia="MS PGothic" w:hAnsi="MS PGothic"/>
          <w:sz w:val="17"/>
          <w:szCs w:val="17"/>
          <w:color w:val="auto"/>
        </w:rPr>
        <w:t>In connecton with the quarterly report of H&amp;R Block, Inc. (the “Company”) on Form 10‑Q for the fscal quarter ended March 31, 2024 as fled with the Securites and Exchange Commission on the date hereof (the “Report”), I, Tony G. Bowen, Chief Financial Ofcer of the Company, certfy pursuant to 18 U.S.C. § 1350, as adopted pursuant to § 906 of the Sarbanes-Oxley Act of 2002, that:</w:t>
      </w:r>
    </w:p>
    <w:p>
      <w:pPr>
        <w:spacing w:after="0" w:line="181" w:lineRule="exact"/>
        <w:rPr>
          <w:sz w:val="20"/>
          <w:szCs w:val="20"/>
          <w:color w:val="auto"/>
        </w:rPr>
      </w:pPr>
    </w:p>
    <w:p>
      <w:pPr>
        <w:ind w:left="1240" w:hanging="618"/>
        <w:spacing w:after="0"/>
        <w:tabs>
          <w:tab w:leader="none" w:pos="1240" w:val="left"/>
        </w:tabs>
        <w:numPr>
          <w:ilvl w:val="0"/>
          <w:numId w:val="33"/>
        </w:numPr>
        <w:rPr>
          <w:rFonts w:ascii="MS PGothic" w:cs="MS PGothic" w:eastAsia="MS PGothic" w:hAnsi="MS PGothic"/>
          <w:sz w:val="17"/>
          <w:szCs w:val="17"/>
          <w:color w:val="auto"/>
        </w:rPr>
      </w:pPr>
      <w:r>
        <w:rPr>
          <w:rFonts w:ascii="MS PGothic" w:cs="MS PGothic" w:eastAsia="MS PGothic" w:hAnsi="MS PGothic"/>
          <w:sz w:val="17"/>
          <w:szCs w:val="17"/>
          <w:color w:val="auto"/>
        </w:rPr>
        <w:t>The Report fully complies with the requirements of Secton 13(a) or 15(d) of the Securites Exchange Act of 1934; and</w:t>
      </w:r>
    </w:p>
    <w:p>
      <w:pPr>
        <w:spacing w:after="0" w:line="268" w:lineRule="exact"/>
        <w:rPr>
          <w:rFonts w:ascii="MS PGothic" w:cs="MS PGothic" w:eastAsia="MS PGothic" w:hAnsi="MS PGothic"/>
          <w:sz w:val="17"/>
          <w:szCs w:val="17"/>
          <w:color w:val="auto"/>
        </w:rPr>
      </w:pPr>
    </w:p>
    <w:p>
      <w:pPr>
        <w:ind w:left="1240" w:hanging="618"/>
        <w:spacing w:after="0"/>
        <w:tabs>
          <w:tab w:leader="none" w:pos="1240" w:val="left"/>
        </w:tabs>
        <w:numPr>
          <w:ilvl w:val="0"/>
          <w:numId w:val="33"/>
        </w:numPr>
        <w:rPr>
          <w:rFonts w:ascii="MS PGothic" w:cs="MS PGothic" w:eastAsia="MS PGothic" w:hAnsi="MS PGothic"/>
          <w:sz w:val="16"/>
          <w:szCs w:val="16"/>
          <w:color w:val="auto"/>
        </w:rPr>
      </w:pPr>
      <w:r>
        <w:rPr>
          <w:rFonts w:ascii="MS PGothic" w:cs="MS PGothic" w:eastAsia="MS PGothic" w:hAnsi="MS PGothic"/>
          <w:sz w:val="16"/>
          <w:szCs w:val="16"/>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36195</wp:posOffset>
            </wp:positionV>
            <wp:extent cx="21120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42"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Tony G. Bowen</w:t>
      </w:r>
    </w:p>
    <w:p>
      <w:pPr>
        <w:spacing w:after="0" w:line="29"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Chief Financial Ofcer</w:t>
      </w:r>
    </w:p>
    <w:p>
      <w:pPr>
        <w:ind w:left="7940"/>
        <w:spacing w:after="0"/>
        <w:rPr>
          <w:sz w:val="20"/>
          <w:szCs w:val="20"/>
          <w:color w:val="auto"/>
        </w:rPr>
      </w:pPr>
      <w:r>
        <w:rPr>
          <w:rFonts w:ascii="MS PGothic" w:cs="MS PGothic" w:eastAsia="MS PGothic" w:hAnsi="MS PGothic"/>
          <w:sz w:val="17"/>
          <w:szCs w:val="17"/>
          <w:color w:val="auto"/>
        </w:rPr>
        <w:t>H&amp;R Block, Inc.</w:t>
      </w:r>
    </w:p>
    <w:p>
      <w:pPr>
        <w:spacing w:after="0" w:line="28"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May 9, 2024</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4"/>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6"/>
      <w:numFmt w:val="bullet"/>
      <w:start w:val="1"/>
    </w:lvl>
  </w:abstractNum>
  <w:abstractNum w:abstractNumId="7">
    <w:nsid w:val="436C6125"/>
    <w:multiLevelType w:val="hybridMultilevel"/>
    <w:lvl w:ilvl="0">
      <w:lvlJc w:val="left"/>
      <w:lvlText w:val="8"/>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0"/>
    </w:lvl>
  </w:abstractNum>
  <w:abstractNum w:abstractNumId="10">
    <w:nsid w:val="721DA317"/>
    <w:multiLevelType w:val="hybridMultilevel"/>
    <w:lvl w:ilvl="0">
      <w:lvlJc w:val="left"/>
      <w:lvlText w:val="%1"/>
      <w:numFmt w:val="decimal"/>
      <w:start w:val="12"/>
    </w:lvl>
  </w:abstractNum>
  <w:abstractNum w:abstractNumId="11">
    <w:nsid w:val="2443A858"/>
    <w:multiLevelType w:val="hybridMultilevel"/>
    <w:lvl w:ilvl="0">
      <w:lvlJc w:val="left"/>
      <w:lvlText w:val="%1"/>
      <w:numFmt w:val="decimal"/>
      <w:start w:val="14"/>
    </w:lvl>
  </w:abstractNum>
  <w:abstractNum w:abstractNumId="12">
    <w:nsid w:val="2D1D5AE9"/>
    <w:multiLevelType w:val="hybridMultilevel"/>
    <w:lvl w:ilvl="0">
      <w:lvlJc w:val="left"/>
      <w:lvlText w:val="%1"/>
      <w:numFmt w:val="decimal"/>
      <w:start w:val="16"/>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8"/>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20"/>
    </w:lvl>
  </w:abstractNum>
  <w:abstractNum w:abstractNumId="17">
    <w:nsid w:val="4353D0CD"/>
    <w:multiLevelType w:val="hybridMultilevel"/>
    <w:lvl w:ilvl="0">
      <w:lvlJc w:val="left"/>
      <w:lvlText w:val="%1"/>
      <w:numFmt w:val="decimal"/>
      <w:start w:val="22"/>
    </w:lvl>
  </w:abstractNum>
  <w:abstractNum w:abstractNumId="18">
    <w:nsid w:val="B03E0C6"/>
    <w:multiLevelType w:val="hybridMultilevel"/>
    <w:lvl w:ilvl="0">
      <w:lvlJc w:val="left"/>
      <w:lvlText w:val="%1"/>
      <w:numFmt w:val="decimal"/>
      <w:start w:val="24"/>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26"/>
    </w:lvl>
  </w:abstractNum>
  <w:abstractNum w:abstractNumId="21">
    <w:nsid w:val="71F32454"/>
    <w:multiLevelType w:val="hybridMultilevel"/>
    <w:lvl w:ilvl="0">
      <w:lvlJc w:val="left"/>
      <w:lvlText w:val="%1"/>
      <w:numFmt w:val="decimal"/>
      <w:start w:val="22"/>
    </w:lvl>
  </w:abstractNum>
  <w:abstractNum w:abstractNumId="22">
    <w:nsid w:val="2CA88611"/>
    <w:multiLevelType w:val="hybridMultilevel"/>
    <w:lvl w:ilvl="0">
      <w:lvlJc w:val="left"/>
      <w:lvlText w:val="%1"/>
      <w:numFmt w:val="decimal"/>
      <w:start w:val="28"/>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76" Type="http://schemas.openxmlformats.org/officeDocument/2006/relationships/hyperlink" Target="https://www.sec.gov/Archives/edgar/data/12659/000183886223000027/hrb20230630exhibit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2024-05-09T16:37:36Z</dcterms:created>
  <dcterms:modified xsi:type="dcterms:W3CDTF">2024-05-09T16:37:36Z</dcterms:modified>
</cp:coreProperties>
</file>