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xml:space="preserve">FORM 8-K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Date of Report (date of earliest event reported): May 6, 2026</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H&amp;R BLOCK, INC. </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(Exact name of registrant as specified in charter)</w:t>
      </w:r>
    </w:p>
    <w:tbl>
      <w:tblPr>
        <w:tblW w:w="7619" w:type="dxa"/>
        <w:jc w:val="left"/>
        <w:tblInd w:w="0" w:type="dxa"/>
        <w:tblLayout w:type="fixed"/>
        <w:tblCellMar>
          <w:top w:w="28" w:type="dxa"/>
          <w:left w:w="28" w:type="dxa"/>
          <w:bottom w:w="28" w:type="dxa"/>
          <w:right w:w="28" w:type="dxa"/>
        </w:tblCellMar>
      </w:tblPr>
      <w:tblGrid>
        <w:gridCol w:w="1090"/>
        <w:gridCol w:w="959"/>
        <w:gridCol w:w="966"/>
        <w:gridCol w:w="902"/>
        <w:gridCol w:w="902"/>
        <w:gridCol w:w="910"/>
        <w:gridCol w:w="554"/>
        <w:gridCol w:w="554"/>
        <w:gridCol w:w="782"/>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Missouri</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1-06089</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44-0607856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 of</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incorporation or organization)</w:t>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before="0" w:after="24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One H&amp;R Block Way, Kansas City, MO 64105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(816) 854-3000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Not Applicable</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20" w:after="283"/>
        <w:jc w:val="both"/>
        <w:rPr/>
      </w:pPr>
      <w:r>
        <w:rPr>
          <w:color w:val="000000"/>
        </w:rPr>
        <w:t>☐    </w:t>
      </w:r>
      <w:r>
        <w:rPr>
          <w:rFonts w:ascii="sans-serif" w:hAnsi="sans-serif"/>
          <w:b w:val="false"/>
          <w:color w:val="000000"/>
          <w:sz w:val="20"/>
        </w:rPr>
        <w:t>Written communications pursuant to Rule 425 under the Securities Act (17 CFR 230.425)</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Soliciting material pursuant to Rule 14a-12 under the Exchange Act (17 CFR 240.14a-12)</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823" w:type="dxa"/>
        <w:jc w:val="center"/>
        <w:tblInd w:w="0" w:type="dxa"/>
        <w:tblLayout w:type="fixed"/>
        <w:tblCellMar>
          <w:top w:w="28" w:type="dxa"/>
          <w:left w:w="28" w:type="dxa"/>
          <w:bottom w:w="28" w:type="dxa"/>
          <w:right w:w="28" w:type="dxa"/>
        </w:tblCellMar>
      </w:tblPr>
      <w:tblGrid>
        <w:gridCol w:w="1244"/>
        <w:gridCol w:w="1093"/>
        <w:gridCol w:w="1098"/>
        <w:gridCol w:w="629"/>
        <w:gridCol w:w="629"/>
        <w:gridCol w:w="631"/>
        <w:gridCol w:w="1317"/>
        <w:gridCol w:w="1317"/>
        <w:gridCol w:w="1865"/>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Title of each class</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Trading Symbol(s)</w:t>
            </w:r>
          </w:p>
        </w:tc>
        <w:tc>
          <w:tcPr>
            <w:tcW w:w="4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without par value</w:t>
            </w:r>
          </w:p>
        </w:tc>
        <w:tc>
          <w:tcPr>
            <w:tcW w:w="18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HRB</w:t>
            </w:r>
          </w:p>
        </w:tc>
        <w:tc>
          <w:tcPr>
            <w:tcW w:w="44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lineRule="auto" w:line="288" w:before="120" w:after="283"/>
        <w:jc w:val="both"/>
        <w:rPr/>
      </w:pPr>
      <w:r>
        <w:rPr>
          <w:rFonts w:ascii="sans-serif" w:hAns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56"/>
        <w:jc w:val="both"/>
        <w:rPr/>
      </w:pPr>
      <w:r>
        <w:rPr>
          <w:rFonts w:ascii="sans-serif" w:hAnsi="sans-serif"/>
          <w:b/>
          <w:color w:val="000000"/>
          <w:sz w:val="24"/>
        </w:rPr>
        <w:t>Item 2.02.</w:t>
      </w:r>
      <w:r>
        <w:rPr>
          <w:color w:val="000000"/>
        </w:rPr>
        <w:t>    </w:t>
      </w:r>
      <w:r>
        <w:rPr>
          <w:rFonts w:ascii="sans-serif" w:hAnsi="sans-serif"/>
          <w:b/>
          <w:color w:val="000000"/>
          <w:sz w:val="24"/>
        </w:rPr>
        <w:t>Results of Operations and Financial Condition.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On May 6, 2026, H&amp;R Block, Inc. (the "Company") issued a press release regarding the Company’s results of operations for the fiscal quarter ended March 31, 2026. A copy of the press release is furnished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000000"/>
          <w:sz w:val="24"/>
        </w:rPr>
        <w:t>Item 9.01.</w:t>
      </w:r>
      <w:r>
        <w:rPr>
          <w:color w:val="000000"/>
        </w:rPr>
        <w:t>    </w:t>
      </w:r>
      <w:r>
        <w:rPr>
          <w:rFonts w:ascii="sans-serif" w:hAnsi="sans-serif"/>
          <w:b/>
          <w:color w:val="000000"/>
          <w:sz w:val="24"/>
        </w:rPr>
        <w:t>Financial Statements and Exhibits.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(d) Exhibits</w:t>
      </w:r>
    </w:p>
    <w:p>
      <w:pPr>
        <w:pStyle w:val="TextBody"/>
        <w:bidi w:val="0"/>
        <w:spacing w:lineRule="auto" w:line="288" w:before="120" w:after="283"/>
        <w:jc w:val="left"/>
        <w:rPr/>
      </w:pPr>
      <w:r>
        <w:rPr>
          <w:rFonts w:ascii="sans-serif" w:hAnsi="sans-serif"/>
          <w:b w:val="false"/>
          <w:color w:val="000000"/>
          <w:sz w:val="24"/>
          <w:u w:val="single"/>
        </w:rPr>
        <w:t>Exhibit Number</w:t>
      </w:r>
      <w:r>
        <w:rPr>
          <w:color w:val="000000"/>
        </w:rPr>
        <w:t>    </w:t>
      </w:r>
      <w:r>
        <w:rPr>
          <w:rFonts w:ascii="sans-serif" w:hAnsi="sans-serif"/>
          <w:b w:val="false"/>
          <w:color w:val="000000"/>
          <w:sz w:val="24"/>
          <w:u w:val="single"/>
        </w:rPr>
        <w:t>Description</w:t>
      </w:r>
    </w:p>
    <w:p>
      <w:pPr>
        <w:pStyle w:val="TextBody"/>
        <w:bidi w:val="0"/>
        <w:spacing w:lineRule="auto" w:line="288" w:before="0" w:after="0"/>
        <w:jc w:val="left"/>
        <w:rPr/>
      </w:pPr>
      <w:hyperlink w:anchor="q3fy26earningrelease.htm">
        <w:r>
          <w:rPr>
            <w:rStyle w:val="InternetLink"/>
            <w:rFonts w:ascii="sans-serif" w:hAnsi="sans-serif"/>
            <w:b w:val="false"/>
            <w:color w:val="0000FF"/>
            <w:sz w:val="24"/>
            <w:u w:val="single"/>
          </w:rPr>
          <w:t>99.1</w:t>
        </w:r>
      </w:hyperlink>
      <w:r>
        <w:rPr>
          <w:color w:val="000000"/>
        </w:rPr>
        <w:t>    </w:t>
      </w:r>
      <w:hyperlink w:anchor="q3fy26earningrelease.htm">
        <w:r>
          <w:rPr>
            <w:rStyle w:val="InternetLink"/>
            <w:rFonts w:ascii="sans-serif" w:hAnsi="sans-serif"/>
            <w:b w:val="false"/>
            <w:color w:val="0000FF"/>
            <w:sz w:val="24"/>
            <w:u w:val="single"/>
          </w:rPr>
          <w:t>Press Release Issued May 6, 2026.</w:t>
        </w:r>
      </w:hyperlink>
    </w:p>
    <w:p>
      <w:pPr>
        <w:pStyle w:val="TextBody"/>
        <w:bidi w:val="0"/>
        <w:spacing w:lineRule="auto" w:line="288" w:before="0" w:after="0"/>
        <w:ind w:left="0" w:right="0" w:hanging="2250"/>
        <w:jc w:val="left"/>
        <w:rPr>
          <w:rFonts w:ascii="sans-serif" w:hAnsi="sans-serif"/>
          <w:b w:val="false"/>
          <w:color w:val="000000"/>
          <w:sz w:val="24"/>
        </w:rPr>
      </w:pPr>
      <w:r>
        <w:rPr>
          <w:rFonts w:ascii="sans-serif" w:hAnsi="sans-serif"/>
          <w:b w:val="false"/>
          <w:color w:val="000000"/>
          <w:sz w:val="24"/>
        </w:rPr>
        <w:t>104    Cover Page Interactive Data File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SIGNATURES</w:t>
      </w:r>
    </w:p>
    <w:p>
      <w:pPr>
        <w:pStyle w:val="TextBody"/>
        <w:bidi w:val="0"/>
        <w:spacing w:lineRule="auto" w:line="288" w:before="120" w:after="24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hereunto duly authorized.</w:t>
      </w:r>
    </w:p>
    <w:tbl>
      <w:tblPr>
        <w:tblW w:w="7737" w:type="dxa"/>
        <w:jc w:val="left"/>
        <w:tblInd w:w="0" w:type="dxa"/>
        <w:tblLayout w:type="fixed"/>
        <w:tblCellMar>
          <w:top w:w="28" w:type="dxa"/>
          <w:left w:w="28" w:type="dxa"/>
          <w:bottom w:w="28" w:type="dxa"/>
          <w:right w:w="28" w:type="dxa"/>
        </w:tblCellMar>
      </w:tblPr>
      <w:tblGrid>
        <w:gridCol w:w="277"/>
        <w:gridCol w:w="243"/>
        <w:gridCol w:w="244"/>
        <w:gridCol w:w="524"/>
        <w:gridCol w:w="524"/>
        <w:gridCol w:w="526"/>
        <w:gridCol w:w="159"/>
        <w:gridCol w:w="159"/>
        <w:gridCol w:w="161"/>
        <w:gridCol w:w="1440"/>
        <w:gridCol w:w="1440"/>
        <w:gridCol w:w="2040"/>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H&amp;R BLOCK, INC.</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Date: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May 6, 2026</w:t>
            </w:r>
          </w:p>
        </w:tc>
        <w:tc>
          <w:tcPr>
            <w:tcW w:w="4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By:</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/s/ 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Vice President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drawing>
          <wp:inline distT="0" distB="0" distL="0" distR="0">
            <wp:extent cx="619125"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19125" cy="609600"/>
                    </a:xfrm>
                    <a:prstGeom prst="rect">
                      <a:avLst/>
                    </a:prstGeom>
                  </pic:spPr>
                </pic:pic>
              </a:graphicData>
            </a:graphic>
          </wp:inline>
        </w:drawing>
      </w:r>
    </w:p>
    <w:p>
      <w:pPr>
        <w:pStyle w:val="TextBody"/>
        <w:bidi w:val="0"/>
        <w:spacing w:lineRule="auto" w:line="288" w:before="12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99.1</w:t>
      </w:r>
    </w:p>
    <w:p>
      <w:pPr>
        <w:pStyle w:val="TextBody"/>
        <w:bidi w:val="0"/>
        <w:spacing w:before="120" w:after="283"/>
        <w:jc w:val="righ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News Release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For Immediate Release: May 6, 2026</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H&amp;R Block Reports Fiscal 2026 Third Quarter Results</w:t>
      </w:r>
    </w:p>
    <w:p>
      <w:pPr>
        <w:pStyle w:val="TextBody"/>
        <w:bidi w:val="0"/>
        <w:spacing w:lineRule="auto" w:line="288" w:before="120" w:after="283"/>
        <w:jc w:val="center"/>
        <w:rPr>
          <w:color w:val="000000"/>
          <w:shd w:fill="FFFFFF" w:val="clear"/>
        </w:rPr>
      </w:pPr>
      <w:r>
        <w:rPr>
          <w:color w:val="000000"/>
          <w:shd w:fill="FFFFFF" w:val="clear"/>
        </w:rPr>
        <w:t xml:space="preserve">— </w:t>
      </w:r>
      <w:r>
        <w:rPr>
          <w:rFonts w:ascii="Times New Roman;serif" w:hAnsi="Times New Roman;serif"/>
          <w:b/>
          <w:color w:val="000000"/>
          <w:sz w:val="22"/>
          <w:shd w:fill="FFFFFF" w:val="clear"/>
        </w:rPr>
        <w:t xml:space="preserve">Maintains Assisted Channel Market Share, Marking Third Consecutive Year of Improvement — </w:t>
      </w:r>
    </w:p>
    <w:p>
      <w:pPr>
        <w:pStyle w:val="TextBody"/>
        <w:bidi w:val="0"/>
        <w:spacing w:lineRule="auto" w:line="288" w:before="120" w:after="283"/>
        <w:jc w:val="center"/>
        <w:rPr>
          <w:color w:val="000000"/>
          <w:shd w:fill="FFFFFF" w:val="clear"/>
        </w:rPr>
      </w:pPr>
      <w:r>
        <w:rPr>
          <w:color w:val="000000"/>
          <w:shd w:fill="FFFFFF" w:val="clear"/>
        </w:rPr>
        <w:t xml:space="preserve">— </w:t>
      </w:r>
      <w:r>
        <w:rPr>
          <w:rFonts w:ascii="Times New Roman;serif" w:hAnsi="Times New Roman;serif"/>
          <w:b/>
          <w:color w:val="000000"/>
          <w:sz w:val="22"/>
          <w:shd w:fill="FFFFFF" w:val="clear"/>
        </w:rPr>
        <w:t>Revenue Increased 5.3% —</w:t>
      </w:r>
    </w:p>
    <w:p>
      <w:pPr>
        <w:pStyle w:val="TextBody"/>
        <w:bidi w:val="0"/>
        <w:spacing w:lineRule="auto" w:line="288" w:before="120" w:after="283"/>
        <w:jc w:val="center"/>
        <w:rPr>
          <w:color w:val="000000"/>
          <w:shd w:fill="FFFFFF" w:val="clear"/>
        </w:rPr>
      </w:pPr>
      <w:r>
        <w:rPr>
          <w:color w:val="000000"/>
          <w:shd w:fill="FFFFFF" w:val="clear"/>
        </w:rPr>
        <w:t xml:space="preserve">— </w:t>
      </w:r>
      <w:r>
        <w:rPr>
          <w:rFonts w:ascii="Times New Roman;serif" w:hAnsi="Times New Roman;serif"/>
          <w:b/>
          <w:color w:val="000000"/>
          <w:sz w:val="22"/>
          <w:shd w:fill="FFFFFF" w:val="clear"/>
        </w:rPr>
        <w:t>Announces Plans for Incremental Fiscal 2026 Share Repurchases —</w:t>
      </w:r>
    </w:p>
    <w:p>
      <w:pPr>
        <w:pStyle w:val="TextBody"/>
        <w:bidi w:val="0"/>
        <w:spacing w:lineRule="auto" w:line="288" w:before="120" w:after="283"/>
        <w:jc w:val="center"/>
        <w:rPr>
          <w:color w:val="000000"/>
          <w:shd w:fill="FFFFFF" w:val="clear"/>
        </w:rPr>
      </w:pPr>
      <w:r>
        <w:rPr>
          <w:color w:val="000000"/>
          <w:shd w:fill="FFFFFF" w:val="clear"/>
        </w:rPr>
        <w:t xml:space="preserve">— </w:t>
      </w:r>
      <w:r>
        <w:rPr>
          <w:rFonts w:ascii="Times New Roman;serif" w:hAnsi="Times New Roman;serif"/>
          <w:b/>
          <w:color w:val="000000"/>
          <w:sz w:val="22"/>
          <w:shd w:fill="FFFFFF" w:val="clear"/>
        </w:rPr>
        <w:t>Raises Fiscal 2026 Outlook —</w:t>
      </w:r>
    </w:p>
    <w:p>
      <w:pPr>
        <w:pStyle w:val="TextBody"/>
        <w:bidi w:val="0"/>
        <w:spacing w:before="120" w:after="283"/>
        <w:jc w:val="center"/>
        <w:rPr/>
      </w:pPr>
      <w:r>
        <w:rPr/>
      </w:r>
    </w:p>
    <w:p>
      <w:pPr>
        <w:pStyle w:val="TextBody"/>
        <w:bidi w:val="0"/>
        <w:spacing w:lineRule="auto" w:line="288" w:before="120" w:after="283"/>
        <w:jc w:val="left"/>
        <w:rPr/>
      </w:pPr>
      <w:r>
        <w:rPr>
          <w:rFonts w:ascii="Times New Roman;serif" w:hAnsi="Times New Roman;serif"/>
          <w:b w:val="false"/>
          <w:color w:val="000000"/>
          <w:sz w:val="22"/>
        </w:rPr>
        <w:t>KANSAS CITY, Mo. - H&amp;R Block, Inc. (NYSE: HRB) (the "Company") today released financial results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for its fiscal 2026 third quarter ended March 31, 2026.</w:t>
      </w:r>
    </w:p>
    <w:p>
      <w:pPr>
        <w:pStyle w:val="TextBody"/>
        <w:bidi w:val="0"/>
        <w:spacing w:lineRule="auto" w:line="276"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season marked an important inflection point, demonstrating that our strategy is driving higher-quality business outcomes," said Curtis Campbell, president and chief executive officer. "Our assisted market share trend improved meaningfully after several years of pressure, reflecting stronger execution across the season. Clients are choosing H&amp;R Block for confidence, trust, and expert help, and our disciplined, expert-led, technology-enabled approach is delivering meaningful value."</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Fiscal 2026 Third Quarter Results and Key Financial Metrics</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quarter demonstrates strong execution across the business, with solid revenue growth and enhanced profitability," said Tiffany Mason, chief financial officer. "Progress this tax season with higher complexity clients underscores the durability of our financial model, and our year</w:t>
        <w:noBreakHyphen/>
        <w:t>to</w:t>
        <w:noBreakHyphen/>
        <w:t>date performance reinforces our confidence as we raise our full year outlook."</w:t>
      </w:r>
    </w:p>
    <w:p>
      <w:pPr>
        <w:pStyle w:val="TextBody"/>
        <w:bidi w:val="0"/>
        <w:spacing w:lineRule="auto" w:line="276"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 the third quarter, the Company delivered total revenue of $2.4 billion, an increase of $121.0 million, or 5.3%, versus the prior year. The increase was primarily the result of higher net average charge (NAC) and volume in the U.S. assisted tax preparation category, growth in international revenue, and an increase in Refund Transfer volume.</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Total operating expenses of $1.4 billion increased by $62.5 million, or 4.8%, versus the prior year. The increase was primarily due to higher field wages as a result of increased assisted tax preparation revenue.</w:t>
      </w:r>
    </w:p>
    <w:p>
      <w:pPr>
        <w:pStyle w:val="TextBody"/>
        <w:bidi w:val="0"/>
        <w:spacing w:lineRule="auto" w:line="276" w:before="120" w:after="283"/>
        <w:jc w:val="left"/>
        <w:rPr>
          <w:rFonts w:ascii="Times New Roman;serif" w:hAnsi="Times New Roman;serif"/>
          <w:b w:val="false"/>
          <w:color w:val="000000"/>
          <w:sz w:val="22"/>
        </w:rPr>
      </w:pPr>
      <w:r>
        <w:rPr>
          <w:rFonts w:ascii="Times New Roman;serif" w:hAnsi="Times New Roman;serif"/>
          <w:b w:val="false"/>
          <w:color w:val="000000"/>
          <w:sz w:val="22"/>
        </w:rPr>
        <w:t>During the quarter, the Company recognized a one-time non-cash tax benefit related to the resolution of an IRS examination. This $84.1 million benefit reduced income tax expense, providing a $0.65 benefit to earnings per share.</w:t>
      </w:r>
    </w:p>
    <w:p>
      <w:pPr>
        <w:pStyle w:val="TextBody"/>
        <w:bidi w:val="0"/>
        <w:spacing w:lineRule="auto" w:line="276" w:before="120" w:after="283"/>
        <w:jc w:val="left"/>
        <w:rPr/>
      </w:pPr>
      <w:r>
        <w:rPr>
          <w:rFonts w:ascii="Times New Roman;serif" w:hAnsi="Times New Roman;serif"/>
          <w:b w:val="false"/>
          <w:color w:val="000000"/>
          <w:sz w:val="22"/>
        </w:rPr>
        <w:t>Net income from continuing operations increased by $125.9 million, or 17.4%, to $848.8 million, and earnings per share from continuing operations</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increased 24.2% to $6.61 driven by the one-time tax benefit, fewer shares outstanding from share repurchases, and higher net income.</w:t>
      </w:r>
    </w:p>
    <w:p>
      <w:pPr>
        <w:pStyle w:val="TextBody"/>
        <w:bidi w:val="0"/>
        <w:spacing w:lineRule="auto" w:line="276" w:before="120" w:after="283"/>
        <w:jc w:val="left"/>
        <w:rPr/>
      </w:pPr>
      <w:r>
        <w:rPr>
          <w:rFonts w:ascii="Times New Roman;serif" w:hAnsi="Times New Roman;serif"/>
          <w:b w:val="false"/>
          <w:color w:val="000000"/>
          <w:sz w:val="22"/>
        </w:rPr>
        <w:t>Adjusted net income from continuing operations</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increased by $42.4 million, or 5.8%, to $773.7 million, and adjusted earnings per share from continuing operations</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increased 11.9% to $6.02.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8790"/>
                <wp:effectExtent l="0" t="0" r="0" b="0"/>
                <wp:wrapNone/>
                <wp:docPr id="5" name="Frame4"/>
                <a:graphic xmlns:a="http://schemas.openxmlformats.org/drawingml/2006/main">
                  <a:graphicData uri="http://schemas.microsoft.com/office/word/2010/wordprocessingShape">
                    <wps:wsp>
                      <wps:cNvSpPr txBox="1"/>
                      <wps:spPr>
                        <a:xfrm>
                          <a:off x="0" y="0"/>
                          <a:ext cx="6480175" cy="478790"/>
                        </a:xfrm>
                        <a:prstGeom prst="rect"/>
                        <a:solidFill>
                          <a:srgbClr val="FFFFFF"/>
                        </a:solidFill>
                      </wps:spPr>
                      <wps:txbx>
                        <w:txbxContent>
                          <w:p>
                            <w:pPr>
                              <w:pStyle w:val="TextBody"/>
                              <w:bidi w:val="0"/>
                              <w:spacing w:lineRule="auto" w:line="268" w:before="0" w:after="0"/>
                              <w:jc w:val="both"/>
                              <w:rPr/>
                            </w:pPr>
                            <w:r>
                              <w:rPr>
                                <w:rFonts w:ascii="Times New Roman;serif" w:hAnsi="Times New Roman;serif"/>
                                <w:b w:val="false"/>
                                <w:color w:val="000000"/>
                                <w:sz w:val="8"/>
                              </w:rPr>
                              <w:t>1</w:t>
                            </w:r>
                            <w:r>
                              <w:rPr>
                                <w:rFonts w:ascii="Times New Roman;serif" w:hAnsi="Times New Roman;serif"/>
                                <w:b w:val="false"/>
                                <w:color w:val="000000"/>
                                <w:sz w:val="12"/>
                              </w:rPr>
                              <w:t>All amounts in this release are unaudited. Unless otherwise noted, all comparisons refer to the current period compared to the corresponding prior year period.</w:t>
                            </w:r>
                            <w:r>
                              <w:br w:type="page"/>
                            </w:r>
                          </w:p>
                          <w:p>
                            <w:pPr>
                              <w:pStyle w:val="TextBody"/>
                              <w:bidi w:val="0"/>
                              <w:spacing w:lineRule="auto" w:line="268" w:before="0" w:after="0"/>
                              <w:jc w:val="both"/>
                              <w:rPr/>
                            </w:pPr>
                            <w:r>
                              <w:rPr>
                                <w:rFonts w:ascii="Times New Roman;serif" w:hAnsi="Times New Roman;serif"/>
                                <w:b w:val="false"/>
                                <w:color w:val="000000"/>
                                <w:sz w:val="8"/>
                              </w:rPr>
                              <w:t>2</w:t>
                            </w:r>
                            <w:r>
                              <w:rPr>
                                <w:rFonts w:ascii="Times New Roman;serif" w:hAnsi="Times New Roman;serif"/>
                                <w:b w:val="false"/>
                                <w:color w:val="000000"/>
                                <w:sz w:val="12"/>
                              </w:rPr>
                              <w:t>All per share amounts are based on fully diluted shares at the end of the corresponding period. The Company reports non-GAAP financial measures of performance, including adjusted net income, adjusted earnings per share (EPS) and earnings before interest, tax, depreciation, and amortization (EBITDA) from continuing operations,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both"/>
                        <w:rPr/>
                      </w:pPr>
                      <w:r>
                        <w:rPr>
                          <w:rFonts w:ascii="Times New Roman;serif" w:hAnsi="Times New Roman;serif"/>
                          <w:b w:val="false"/>
                          <w:color w:val="000000"/>
                          <w:sz w:val="8"/>
                        </w:rPr>
                        <w:t>1</w:t>
                      </w:r>
                      <w:r>
                        <w:rPr>
                          <w:rFonts w:ascii="Times New Roman;serif" w:hAnsi="Times New Roman;serif"/>
                          <w:b w:val="false"/>
                          <w:color w:val="000000"/>
                          <w:sz w:val="12"/>
                        </w:rPr>
                        <w:t>All amounts in this release are unaudited. Unless otherwise noted, all comparisons refer to the current period compared to the corresponding prior year period.</w:t>
                      </w:r>
                    </w:p>
                    <w:p>
                      <w:pPr>
                        <w:pStyle w:val="TextBody"/>
                        <w:bidi w:val="0"/>
                        <w:spacing w:lineRule="auto" w:line="268" w:before="0" w:after="0"/>
                        <w:jc w:val="both"/>
                        <w:rPr/>
                      </w:pPr>
                      <w:r>
                        <w:rPr>
                          <w:rFonts w:ascii="Times New Roman;serif" w:hAnsi="Times New Roman;serif"/>
                          <w:b w:val="false"/>
                          <w:color w:val="000000"/>
                          <w:sz w:val="8"/>
                        </w:rPr>
                        <w:t>2</w:t>
                      </w:r>
                      <w:r>
                        <w:rPr>
                          <w:rFonts w:ascii="Times New Roman;serif" w:hAnsi="Times New Roman;serif"/>
                          <w:b w:val="false"/>
                          <w:color w:val="000000"/>
                          <w:sz w:val="12"/>
                        </w:rPr>
                        <w:t>All per share amounts are based on fully diluted shares at the end of the corresponding period. The Company reports non-GAAP financial measures of performance, including adjusted net income, adjusted earnings per share (EPS) and earnings before interest, tax, depreciation, and amortization (EBITDA) from continuing operations,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Capital Allocation</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Company reported the following related to its capital structure: </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As previously announced, a quarterly cash dividend of $0.42 per share will be paid on July 7th to shareholders of record as of June 3rd. H&amp;R Block has paid quarterly dividends consecutively since the Company became public in 1962. </w:t>
      </w:r>
      <w:r>
        <w:rPr>
          <w:rFonts w:ascii="Times New Roman;serif" w:hAnsi="Times New Roman;serif"/>
          <w:b w:val="false"/>
          <w:color w:val="000000"/>
          <w:sz w:val="22"/>
        </w:rPr>
        <w:t>Since 2016, the Company has grown the dividend 110%</w:t>
      </w:r>
      <w:r>
        <w:rPr>
          <w:rFonts w:ascii="Times New Roman;serif" w:hAnsi="Times New Roman;serif"/>
          <w:b w:val="false"/>
          <w:color w:val="000000"/>
          <w:sz w:val="14"/>
          <w:shd w:fill="FFFFFF" w:val="clear"/>
        </w:rPr>
        <w:t>3</w:t>
      </w:r>
      <w:r>
        <w:rPr>
          <w:rFonts w:ascii="Times New Roman;serif" w:hAnsi="Times New Roman;serif"/>
          <w:b w:val="false"/>
          <w:color w:val="000000"/>
          <w:sz w:val="22"/>
        </w:rPr>
        <w: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The Company has approximately $700 million remaining on its previously announced $1.5 billion share repurchase program. The Company's board of directors has authorized management to repurchase an incremental $100 million of common stock in the fourth quarter of fiscal 2026 under that repurchase program, which has been reflected in the updated outlook below.</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Year-to-date, the Company has returned $560.9 million to shareholders in the form of dividends and share repurchases.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Fiscal Year 2026 Outlook</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As a result of year-to-date performance, including a strong tax season, the Company now expects: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Revenue to be in the range of</w:t>
      </w:r>
      <w:r>
        <w:rPr>
          <w:color w:val="000000"/>
          <w:shd w:fill="FFFFFF" w:val="clear"/>
        </w:rPr>
        <w:t xml:space="preserve"> </w:t>
      </w:r>
      <w:r>
        <w:rPr>
          <w:rFonts w:ascii="Times New Roman;serif" w:hAnsi="Times New Roman;serif"/>
          <w:b w:val="false"/>
          <w:color w:val="000000"/>
          <w:sz w:val="22"/>
          <w:shd w:fill="FFFFFF" w:val="clear"/>
        </w:rPr>
        <w:t>$3.910 to $3.920 billion, representing a 4.1% year-over-year increase at the midpoint.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EBITDA</w:t>
      </w:r>
      <w:r>
        <w:rPr>
          <w:rFonts w:ascii="Times New Roman;serif" w:hAnsi="Times New Roman;serif"/>
          <w:b w:val="false"/>
          <w:color w:val="000000"/>
          <w:sz w:val="14"/>
          <w:shd w:fill="FFFFFF" w:val="clear"/>
        </w:rPr>
        <w:t>4</w:t>
      </w:r>
      <w:r>
        <w:rPr>
          <w:color w:val="000000"/>
          <w:shd w:fill="FFFFFF" w:val="clear"/>
        </w:rPr>
        <w:t xml:space="preserve"> </w:t>
      </w:r>
      <w:r>
        <w:rPr>
          <w:rFonts w:ascii="Times New Roman;serif" w:hAnsi="Times New Roman;serif"/>
          <w:b w:val="false"/>
          <w:color w:val="000000"/>
          <w:sz w:val="22"/>
          <w:shd w:fill="FFFFFF" w:val="clear"/>
        </w:rPr>
        <w:t>to be in the range of $1.025 to $1.035 billion, a 5.5% year-over-year increase at the midpoint.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Effective tax rate to be approximately 14%.</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Adjusted Diluted Earnings Per Share</w:t>
      </w:r>
      <w:r>
        <w:rPr>
          <w:rFonts w:ascii="Times New Roman;serif" w:hAnsi="Times New Roman;serif"/>
          <w:b w:val="false"/>
          <w:color w:val="000000"/>
          <w:sz w:val="14"/>
          <w:shd w:fill="FFFFFF" w:val="clear"/>
        </w:rPr>
        <w:t>4</w:t>
      </w:r>
      <w:r>
        <w:rPr>
          <w:color w:val="000000"/>
          <w:shd w:fill="FFFFFF" w:val="clear"/>
        </w:rPr>
        <w:t xml:space="preserve"> </w:t>
      </w:r>
      <w:r>
        <w:rPr>
          <w:rFonts w:ascii="Times New Roman;serif" w:hAnsi="Times New Roman;serif"/>
          <w:b w:val="false"/>
          <w:color w:val="000000"/>
          <w:sz w:val="22"/>
          <w:shd w:fill="FFFFFF" w:val="clear"/>
        </w:rPr>
        <w:t>to be in the range of $5.10 to $5.20, a 10.5% year-over-year increase at the midpoint.</w:t>
      </w:r>
    </w:p>
    <w:p>
      <w:pPr>
        <w:pStyle w:val="TextBody"/>
        <w:bidi w:val="0"/>
        <w:spacing w:lineRule="auto" w:line="276" w:before="120" w:after="283"/>
        <w:jc w:val="left"/>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76" w:before="120" w:after="283"/>
        <w:jc w:val="left"/>
        <w:rPr/>
      </w:pPr>
      <w:r>
        <w:rPr>
          <w:rFonts w:ascii="Times New Roman;serif" w:hAnsi="Times New Roman;serif"/>
          <w:b w:val="false"/>
          <w:color w:val="000000"/>
          <w:sz w:val="22"/>
        </w:rPr>
        <w:t>The Company will host a conference call for analysts and investors to discuss third quarter 2026 results at 4:30 p.m. ET on Wednesday, May 6, 2026. To join live, participants must register at https://register-conf.media-server.com/register/BI154683d0918449469ffebfc9d427b4b3</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 xml:space="preserve">Once registered, the participant will receive a dial-in number and unique PIN to access the call. Please join approximately 5 minutes prior to the scheduled start time. </w:t>
      </w:r>
    </w:p>
    <w:p>
      <w:pPr>
        <w:pStyle w:val="TextBody"/>
        <w:bidi w:val="0"/>
        <w:spacing w:lineRule="auto" w:line="276" w:before="120" w:after="283"/>
        <w:jc w:val="left"/>
        <w:rPr/>
      </w:pPr>
      <w:r>
        <w:rPr>
          <w:rFonts w:ascii="Times New Roman;serif" w:hAnsi="Times New Roman;serif"/>
          <w:b w:val="false"/>
          <w:color w:val="000000"/>
          <w:sz w:val="22"/>
        </w:rPr>
        <w:t>The call, along with a presentation for viewing, will also be webcast in a listen-only format for the media and general public. The webcast can be accessed directly a</w:t>
      </w:r>
      <w:r>
        <w:rPr>
          <w:rFonts w:ascii="Times New Roman;serif" w:hAnsi="Times New Roman;serif"/>
          <w:b w:val="false"/>
          <w:color w:val="000000"/>
          <w:sz w:val="22"/>
          <w:shd w:fill="FFFFFF" w:val="clear"/>
        </w:rPr>
        <w:t>t https://edge.media-server.com/mmc/p/ygejpbdc/lan/en</w:t>
      </w:r>
      <w:r>
        <w:rPr>
          <w:color w:val="000000"/>
        </w:rPr>
        <w:t xml:space="preserve"> </w:t>
      </w:r>
      <w:r>
        <w:rPr>
          <w:rFonts w:ascii="Times New Roman;serif" w:hAnsi="Times New Roman;serif"/>
          <w:b w:val="false"/>
          <w:color w:val="000000"/>
          <w:sz w:val="22"/>
        </w:rPr>
        <w:t xml:space="preserve">and will be available for replay 2 hours after the call is concluded and continuing for 90 days. </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About H&amp;R Block</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H&amp;R Block, Inc. (NYSE: HRB) provides help and inspires confidence in its clients and communities everywhere through global tax preparation services, financial products, and small-business solutions. The company blends digital innovation with human expertise and care as it helps people get the best outcome at tax time and also be better with money using its mobile banking app, Spruce. Through Block Advisors and Wave, the company helps small-business owners thrive with year-round bookkeeping, payroll, advisory, and payment processing solutions. For more information, visit H&amp;R Block News.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About Non-GAAP Financial Information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and the accompanying tables include non-GAAP financial information. For a description of these non-GAAP financial measures, including the reasons management uses each measure, and reconciliations of these non-GAAP financial measures to the most directly comparable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76580"/>
                <wp:effectExtent l="0" t="0" r="0" b="0"/>
                <wp:wrapNone/>
                <wp:docPr id="6" name="Frame5"/>
                <a:graphic xmlns:a="http://schemas.openxmlformats.org/drawingml/2006/main">
                  <a:graphicData uri="http://schemas.microsoft.com/office/word/2010/wordprocessingShape">
                    <wps:wsp>
                      <wps:cNvSpPr txBox="1"/>
                      <wps:spPr>
                        <a:xfrm>
                          <a:off x="0" y="0"/>
                          <a:ext cx="6480175" cy="576580"/>
                        </a:xfrm>
                        <a:prstGeom prst="rect"/>
                        <a:solidFill>
                          <a:srgbClr val="FFFFFF"/>
                        </a:solidFill>
                      </wps:spPr>
                      <wps:txbx>
                        <w:txbxContent>
                          <w:p>
                            <w:pPr>
                              <w:pStyle w:val="TextBody"/>
                              <w:bidi w:val="0"/>
                              <w:spacing w:lineRule="auto" w:line="268" w:before="0" w:after="0"/>
                              <w:jc w:val="left"/>
                              <w:rPr/>
                            </w:pPr>
                            <w:r>
                              <w:rPr>
                                <w:rFonts w:ascii="Times New Roman;serif" w:hAnsi="Times New Roman;serif"/>
                                <w:b w:val="false"/>
                                <w:color w:val="000000"/>
                                <w:sz w:val="8"/>
                              </w:rPr>
                              <w:t>3</w:t>
                            </w:r>
                            <w:r>
                              <w:rPr>
                                <w:rFonts w:ascii="Times New Roman;serif" w:hAnsi="Times New Roman;serif"/>
                                <w:b w:val="false"/>
                                <w:color w:val="000000"/>
                                <w:sz w:val="12"/>
                              </w:rPr>
                              <w:t>Dividend growth is calculated as percentage growth from the April 2016 dividend.</w:t>
                            </w:r>
                            <w:r>
                              <w:br w:type="page"/>
                            </w:r>
                          </w:p>
                          <w:p>
                            <w:pPr>
                              <w:pStyle w:val="TextBody"/>
                              <w:bidi w:val="0"/>
                              <w:spacing w:lineRule="auto" w:line="268" w:before="0" w:after="0"/>
                              <w:jc w:val="left"/>
                              <w:rPr/>
                            </w:pPr>
                            <w:r>
                              <w:rPr>
                                <w:rFonts w:ascii="Times New Roman;serif" w:hAnsi="Times New Roman;serif"/>
                                <w:b w:val="false"/>
                                <w:color w:val="000000"/>
                                <w:sz w:val="8"/>
                              </w:rPr>
                              <w:t>4</w:t>
                            </w:r>
                            <w:r>
                              <w:rPr>
                                <w:rFonts w:ascii="Times New Roman;serif" w:hAnsi="Times New Roman;serif"/>
                                <w:b w:val="false"/>
                                <w:color w:val="000000"/>
                                <w:sz w:val="12"/>
                              </w:rPr>
                              <w:t>Adjusted Diluted EPS and EBITDA from continuing operations are non-GAAP financial measures. Future period non-GAAP outlook includes adjustments for items not 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 determinable but may be significant. It is therefore not practicable to provide the comparable GAAP measures or reconcile this non-GAAP outlook to the most comparable GAAP measures.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Times New Roman;serif" w:hAnsi="Times New Roman;serif"/>
                          <w:b w:val="false"/>
                          <w:color w:val="000000"/>
                          <w:sz w:val="8"/>
                        </w:rPr>
                        <w:t>3</w:t>
                      </w:r>
                      <w:r>
                        <w:rPr>
                          <w:rFonts w:ascii="Times New Roman;serif" w:hAnsi="Times New Roman;serif"/>
                          <w:b w:val="false"/>
                          <w:color w:val="000000"/>
                          <w:sz w:val="12"/>
                        </w:rPr>
                        <w:t>Dividend growth is calculated as percentage growth from the April 2016 dividend.</w:t>
                      </w:r>
                    </w:p>
                    <w:p>
                      <w:pPr>
                        <w:pStyle w:val="TextBody"/>
                        <w:bidi w:val="0"/>
                        <w:spacing w:lineRule="auto" w:line="268" w:before="0" w:after="0"/>
                        <w:jc w:val="left"/>
                        <w:rPr/>
                      </w:pPr>
                      <w:r>
                        <w:rPr>
                          <w:rFonts w:ascii="Times New Roman;serif" w:hAnsi="Times New Roman;serif"/>
                          <w:b w:val="false"/>
                          <w:color w:val="000000"/>
                          <w:sz w:val="8"/>
                        </w:rPr>
                        <w:t>4</w:t>
                      </w:r>
                      <w:r>
                        <w:rPr>
                          <w:rFonts w:ascii="Times New Roman;serif" w:hAnsi="Times New Roman;serif"/>
                          <w:b w:val="false"/>
                          <w:color w:val="000000"/>
                          <w:sz w:val="12"/>
                        </w:rPr>
                        <w:t>Adjusted Diluted EPS and EBITDA from continuing operations are non-GAAP financial measures. Future period non-GAAP outlook includes adjustments for items not 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 determinable but may be significant. It is therefore not practicable to provide the comparable GAAP measures or reconcile this non-GAAP outlook to the most comparable GAAP measures.</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financial measures prepared in accordance with generally accepted accounting principles, please see the section of the accompanying tables titled "Non-GAAP Financial Information."</w:t>
      </w:r>
    </w:p>
    <w:p>
      <w:pPr>
        <w:pStyle w:val="TextBody"/>
        <w:bidi w:val="0"/>
        <w:spacing w:lineRule="auto" w:line="288" w:before="12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Forward-Looking Statements </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press release contains forward-looking statements within the meaning of the securities laws.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or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products or services,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 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and regulatory factors, many of which are beyond the Company's control, that are described in our Annual Report on Form 10-K for the most recently completed fiscal year in the section entitled "Risk Factors" and additional factors we may describe from time to time in other filings with the Securities and Exchange Commission. You may get such filings for free at our website at https://investors.hrblock.com. In addition, factors that may cause the Company’s actual estimated effective tax rate to differ from estimates include the Company’s actual results from operations compared to current estimates, future discrete items, changes in interpretations and assumptions the Company has made, future actions of the Company, or increases in applicable tax rates in jurisdictions where the Company operates. You should understand that it is not possible to predict or identify all such factors and, consequently, you should not consider any such list to be a complete set of all potential risks or uncertainties.</w:t>
      </w:r>
    </w:p>
    <w:tbl>
      <w:tblPr>
        <w:tblW w:w="8370" w:type="dxa"/>
        <w:jc w:val="left"/>
        <w:tblInd w:w="0" w:type="dxa"/>
        <w:tblLayout w:type="fixed"/>
        <w:tblCellMar>
          <w:top w:w="28" w:type="dxa"/>
          <w:left w:w="28" w:type="dxa"/>
          <w:bottom w:w="28" w:type="dxa"/>
          <w:right w:w="28" w:type="dxa"/>
        </w:tblCellMar>
      </w:tblPr>
      <w:tblGrid>
        <w:gridCol w:w="677"/>
        <w:gridCol w:w="598"/>
        <w:gridCol w:w="600"/>
        <w:gridCol w:w="270"/>
        <w:gridCol w:w="270"/>
        <w:gridCol w:w="270"/>
        <w:gridCol w:w="1649"/>
        <w:gridCol w:w="1649"/>
        <w:gridCol w:w="2387"/>
      </w:tblGrid>
      <w:tr>
        <w:trPr/>
        <w:tc>
          <w:tcPr>
            <w:tcW w:w="6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8370" w:type="dxa"/>
            <w:gridSpan w:val="9"/>
            <w:tcBorders/>
            <w:tcMar>
              <w:top w:w="0" w:type="dxa"/>
              <w:left w:w="0" w:type="dxa"/>
              <w:bottom w:w="0" w:type="dxa"/>
              <w:right w:w="0" w:type="dxa"/>
            </w:tcMar>
            <w:vAlign w:val="center"/>
          </w:tcPr>
          <w:p>
            <w:pPr>
              <w:pStyle w:val="TableContents"/>
              <w:bidi w:val="0"/>
              <w:spacing w:lineRule="auto" w:line="192" w:before="0" w:after="283"/>
              <w:jc w:val="left"/>
              <w:rPr>
                <w:rFonts w:ascii="Times New Roman;serif" w:hAnsi="Times New Roman;serif"/>
                <w:b/>
                <w:color w:val="000000"/>
                <w:sz w:val="22"/>
              </w:rPr>
            </w:pPr>
            <w:r>
              <w:rPr>
                <w:rFonts w:ascii="Times New Roman;serif" w:hAnsi="Times New Roman;serif"/>
                <w:b/>
                <w:color w:val="000000"/>
                <w:sz w:val="22"/>
              </w:rPr>
              <w:t>For Further Information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Jessica Hazel, (816) 854-4214, jessica.hazel@hrblock.com</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 Relations: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 Desk, mediadesk@hrblock.com</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619125" cy="6096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19125" cy="609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100"/>
        <w:gridCol w:w="922"/>
        <w:gridCol w:w="924"/>
        <w:gridCol w:w="109"/>
        <w:gridCol w:w="109"/>
        <w:gridCol w:w="109"/>
        <w:gridCol w:w="226"/>
        <w:gridCol w:w="1156"/>
        <w:gridCol w:w="109"/>
        <w:gridCol w:w="109"/>
        <w:gridCol w:w="109"/>
        <w:gridCol w:w="109"/>
        <w:gridCol w:w="226"/>
        <w:gridCol w:w="1126"/>
        <w:gridCol w:w="109"/>
        <w:gridCol w:w="109"/>
        <w:gridCol w:w="109"/>
        <w:gridCol w:w="109"/>
        <w:gridCol w:w="226"/>
        <w:gridCol w:w="1156"/>
        <w:gridCol w:w="109"/>
        <w:gridCol w:w="109"/>
        <w:gridCol w:w="109"/>
        <w:gridCol w:w="109"/>
        <w:gridCol w:w="226"/>
        <w:gridCol w:w="1126"/>
        <w:gridCol w:w="156"/>
      </w:tblGrid>
      <w:tr>
        <w:trPr/>
        <w:tc>
          <w:tcPr>
            <w:tcW w:w="11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 except per share amounts)</w:t>
            </w:r>
          </w:p>
        </w:tc>
      </w:tr>
      <w:tr>
        <w:trPr/>
        <w:tc>
          <w:tcPr>
            <w:tcW w:w="2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3279" w:type="dxa"/>
            <w:gridSpan w:val="9"/>
            <w:tcBorders>
              <w:top w:val="single" w:sz="8" w:space="0" w:color="000000"/>
            </w:tcBorders>
            <w:shd w:fill="99CC33"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3326" w:type="dxa"/>
            <w:gridSpan w:val="9"/>
            <w:tcBorders>
              <w:top w:val="single" w:sz="8" w:space="0" w:color="000000"/>
              <w:right w:val="single" w:sz="8" w:space="0" w:color="000000"/>
            </w:tcBorders>
            <w:shd w:fill="99CC33" w:val="clear"/>
            <w:tcMar>
              <w:top w:w="30" w:type="dxa"/>
              <w:left w:w="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1,742,135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1,635,877 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1,846,698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1,727,220 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128,182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139,139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143,312 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215,245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235,797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231,646 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119,935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121,416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115,229 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14,347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54,087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54,867 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16,851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41,321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40,215 </w:t>
            </w:r>
          </w:p>
        </w:tc>
        <w:tc>
          <w:tcPr>
            <w:tcW w:w="15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2,243,329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2,135,468 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2,455,309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2,327,436 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39,590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56,566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15,198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28,644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26,594 </w:t>
            </w:r>
          </w:p>
        </w:tc>
        <w:tc>
          <w:tcPr>
            <w:tcW w:w="15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54,788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85,210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85,763 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70,119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170,498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157,104 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29,871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89,506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79,681 </w:t>
            </w:r>
          </w:p>
        </w:tc>
        <w:tc>
          <w:tcPr>
            <w:tcW w:w="15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2,398,107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2,277,104 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2,800,523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2,649,984 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577,513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741,405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682,575 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78,703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230,987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230,687 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118,151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194,802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188,731 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774,367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719,112 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1,167,194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1,101,993 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127,312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339,700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326,026 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185,388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208,725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221,502 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31,519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90,442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87,247 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39,806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62,625 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202,891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193,603 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399,721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393,900 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1,361,283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1,298,791 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2,269,609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2,193,293 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15,077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19,215 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(65,087)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1,016,458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958,181 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480,904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413,621 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167,678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39,058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104,580 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848,780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722,928 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441,846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309,041 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847,901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722,330 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439,916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306,334 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6.60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WEIGHTED AVERAGE DILUTED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127,813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135,329 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129,489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137,944 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Adjusted diluted EPS </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EBITDA </w:t>
            </w:r>
            <w:r>
              <w:rPr>
                <w:rFonts w:ascii="sans-serif" w:hAnsi="sans-serif"/>
                <w:b w:val="false"/>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1,072,284</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1,012,088 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636,433</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563,153 </w:t>
            </w:r>
          </w:p>
        </w:tc>
        <w:tc>
          <w:tcPr>
            <w:tcW w:w="1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 xml:space="preserve">(1) </w:t>
      </w:r>
      <w:r>
        <w:rPr>
          <w:rFonts w:ascii="sans-serif" w:hAnsi="sans-serif"/>
          <w:b w:val="false"/>
          <w:color w:val="000000"/>
          <w:sz w:val="14"/>
        </w:rPr>
        <w:t>All non-GAAP measures are results from continuing operations. See "</w:t>
      </w:r>
      <w:hyperlink w:anchor="ia9da344fc4654b31a990375b5a7ef19c_28">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for a reconciliation of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19125" cy="609600"/>
                    </a:xfrm>
                    <a:prstGeom prst="rect">
                      <a:avLst/>
                    </a:prstGeom>
                  </pic:spPr>
                </pic:pic>
              </a:graphicData>
            </a:graphic>
          </wp:inline>
        </w:drawing>
      </w:r>
    </w:p>
    <w:p>
      <w:pPr>
        <w:pStyle w:val="TextBody"/>
        <w:bidi w:val="0"/>
        <w:spacing w:before="0" w:after="0"/>
        <w:jc w:val="left"/>
        <w:rPr/>
      </w:pPr>
      <w:r>
        <w:rPr/>
      </w:r>
    </w:p>
    <w:tbl>
      <w:tblPr>
        <w:tblW w:w="9894" w:type="dxa"/>
        <w:jc w:val="left"/>
        <w:tblInd w:w="0" w:type="dxa"/>
        <w:tblLayout w:type="fixed"/>
        <w:tblCellMar>
          <w:top w:w="28" w:type="dxa"/>
          <w:left w:w="28" w:type="dxa"/>
          <w:bottom w:w="28" w:type="dxa"/>
          <w:right w:w="28" w:type="dxa"/>
        </w:tblCellMar>
      </w:tblPr>
      <w:tblGrid>
        <w:gridCol w:w="2093"/>
        <w:gridCol w:w="1839"/>
        <w:gridCol w:w="1843"/>
        <w:gridCol w:w="109"/>
        <w:gridCol w:w="109"/>
        <w:gridCol w:w="109"/>
        <w:gridCol w:w="258"/>
        <w:gridCol w:w="1320"/>
        <w:gridCol w:w="124"/>
        <w:gridCol w:w="124"/>
        <w:gridCol w:w="124"/>
        <w:gridCol w:w="124"/>
        <w:gridCol w:w="258"/>
        <w:gridCol w:w="1285"/>
        <w:gridCol w:w="175"/>
      </w:tblGrid>
      <w:tr>
        <w:trPr/>
        <w:tc>
          <w:tcPr>
            <w:tcW w:w="209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 except per share data)</w:t>
            </w:r>
          </w:p>
        </w:tc>
      </w:tr>
      <w:tr>
        <w:trPr/>
        <w:tc>
          <w:tcPr>
            <w:tcW w:w="5775"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31, 2026</w:t>
            </w:r>
          </w:p>
        </w:tc>
        <w:tc>
          <w:tcPr>
            <w:tcW w:w="37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June 30, 2025</w:t>
            </w:r>
          </w:p>
        </w:tc>
      </w:tr>
      <w:tr>
        <w:trPr/>
        <w:tc>
          <w:tcPr>
            <w:tcW w:w="5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867,008</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983,277 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19,737</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297,636</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63,621 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104,102</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95,788 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1,288,483</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1,162,548 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147,694</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135,068 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 of 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522,885</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521,215 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275,966</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259,412 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815,620</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802,053 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 and income taxes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270,090</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317,691 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70,980</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65,911 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3,391,718</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303,595</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144,046 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wages and payroll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299,695</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107,375 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income taxes and reserves for 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262,533</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296,244 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349,893 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209,269</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209,203 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219,321</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191,849 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1,294,413</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1,298,610 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1,490,933</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1,143,305 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 and reserves for 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187,707</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306,134 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325,561</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322,847 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117,476</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104,106 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3,416,090</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3,175,002 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no par, stated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776,872</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766,998 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(55,346)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(47,755)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(110,471)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12,061 </w:t>
            </w:r>
          </w:p>
        </w:tc>
        <w:tc>
          <w:tcPr>
            <w:tcW w:w="1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treasury shares,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(636,992)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(644,052)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 (deficiency)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(24,372)</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88,896 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3,391,718</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19125" cy="609600"/>
                    </a:xfrm>
                    <a:prstGeom prst="rect">
                      <a:avLst/>
                    </a:prstGeom>
                  </pic:spPr>
                </pic:pic>
              </a:graphicData>
            </a:graphic>
          </wp:inline>
        </w:drawing>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82"/>
        <w:gridCol w:w="2176"/>
        <w:gridCol w:w="2181"/>
        <w:gridCol w:w="109"/>
        <w:gridCol w:w="109"/>
        <w:gridCol w:w="109"/>
        <w:gridCol w:w="235"/>
        <w:gridCol w:w="1002"/>
        <w:gridCol w:w="109"/>
        <w:gridCol w:w="109"/>
        <w:gridCol w:w="109"/>
        <w:gridCol w:w="109"/>
        <w:gridCol w:w="233"/>
        <w:gridCol w:w="976"/>
        <w:gridCol w:w="157"/>
      </w:tblGrid>
      <w:tr>
        <w:trPr/>
        <w:tc>
          <w:tcPr>
            <w:tcW w:w="2482"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w:t>
            </w:r>
          </w:p>
        </w:tc>
      </w:tr>
      <w:tr>
        <w:trPr/>
        <w:tc>
          <w:tcPr>
            <w:tcW w:w="6839"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Nine months ended March 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6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439,916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306,334 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90,442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87,247 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57,523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56,042 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22,177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assets and liabilities, net of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(289,209)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(335,605)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(17,548)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(7,504)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accrued expenses, salaries, wages and payroll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340,925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240,246 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other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41,186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20,684 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receivables, accrued income taxes and income tax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(99,767)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586,717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429,322 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(67,144)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(71,784)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made for business acquisitions,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(55,047)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(35,323)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Franchise loans funded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(21,455)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from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11,478 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(122,560)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(110,890)</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(2,375,000)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(1,950,000)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2,375,000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1,950,000 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346,980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(157,766)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(147,136)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of common stock, including shares 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(412,686)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(436,516)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(11,854)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(579,481)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(595,506)</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 changes on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(8,429)</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 including restricted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(116,394)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(285,503)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1,003,139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1,075,193 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886,745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789,690 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SUPPLEMENTARY CASH FLOW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paid, net (includes payments for purchased investment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135,460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65,505 </w:t>
            </w:r>
          </w:p>
        </w:tc>
        <w:tc>
          <w:tcPr>
            <w:tcW w:w="15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paid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76,480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63,251 </w:t>
            </w:r>
          </w:p>
        </w:tc>
        <w:tc>
          <w:tcPr>
            <w:tcW w:w="15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additions to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2,448 </w:t>
            </w:r>
          </w:p>
        </w:tc>
        <w:tc>
          <w:tcPr>
            <w:tcW w:w="15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New operating right of use assets and related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182,343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135,372 </w:t>
            </w:r>
          </w:p>
        </w:tc>
        <w:tc>
          <w:tcPr>
            <w:tcW w:w="15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dividends payable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19125" cy="609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03"/>
        <w:gridCol w:w="1058"/>
        <w:gridCol w:w="1060"/>
        <w:gridCol w:w="109"/>
        <w:gridCol w:w="109"/>
        <w:gridCol w:w="109"/>
        <w:gridCol w:w="226"/>
        <w:gridCol w:w="1156"/>
        <w:gridCol w:w="109"/>
        <w:gridCol w:w="109"/>
        <w:gridCol w:w="109"/>
        <w:gridCol w:w="109"/>
        <w:gridCol w:w="226"/>
        <w:gridCol w:w="1126"/>
        <w:gridCol w:w="109"/>
        <w:gridCol w:w="109"/>
        <w:gridCol w:w="109"/>
        <w:gridCol w:w="109"/>
        <w:gridCol w:w="226"/>
        <w:gridCol w:w="961"/>
        <w:gridCol w:w="109"/>
        <w:gridCol w:w="109"/>
        <w:gridCol w:w="109"/>
        <w:gridCol w:w="109"/>
        <w:gridCol w:w="226"/>
        <w:gridCol w:w="946"/>
        <w:gridCol w:w="156"/>
      </w:tblGrid>
      <w:tr>
        <w:trPr/>
        <w:tc>
          <w:tcPr>
            <w:tcW w:w="12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 000s)</w:t>
            </w:r>
          </w:p>
        </w:tc>
      </w:tr>
      <w:tr>
        <w:trPr/>
        <w:tc>
          <w:tcPr>
            <w:tcW w:w="3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3279" w:type="dxa"/>
            <w:gridSpan w:val="9"/>
            <w:tcBorders>
              <w:top w:val="single" w:sz="8" w:space="0" w:color="000000"/>
            </w:tcBorders>
            <w:shd w:fill="99CC33"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right w:val="single" w:sz="8" w:space="0" w:color="000000"/>
            </w:tcBorders>
            <w:shd w:fill="99CC33" w:val="clear"/>
            <w:tcMar>
              <w:top w:w="30" w:type="dxa"/>
              <w:left w:w="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3321" w:type="dxa"/>
            <w:gridSpan w:val="3"/>
            <w:tcBorders>
              <w:top w:val="single" w:sz="8" w:space="0" w:color="000000"/>
              <w:left w:val="single" w:sz="8" w:space="0" w:color="000000"/>
            </w:tcBorders>
            <w:shd w:fill="99CC00"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NON-GAAP FINANCIAL MEASURE -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3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847,901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722,330 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439,916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306,334 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2,707 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848,780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722,928 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441,846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309,041 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167,678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65,087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223,504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194,587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254,112 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EBITDA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1,072,284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636,433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563,153 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33"/>
        <w:gridCol w:w="1170"/>
        <w:gridCol w:w="1175"/>
        <w:gridCol w:w="109"/>
        <w:gridCol w:w="109"/>
        <w:gridCol w:w="109"/>
        <w:gridCol w:w="227"/>
        <w:gridCol w:w="967"/>
        <w:gridCol w:w="109"/>
        <w:gridCol w:w="109"/>
        <w:gridCol w:w="109"/>
        <w:gridCol w:w="109"/>
        <w:gridCol w:w="227"/>
        <w:gridCol w:w="952"/>
        <w:gridCol w:w="109"/>
        <w:gridCol w:w="109"/>
        <w:gridCol w:w="109"/>
        <w:gridCol w:w="109"/>
        <w:gridCol w:w="226"/>
        <w:gridCol w:w="961"/>
        <w:gridCol w:w="109"/>
        <w:gridCol w:w="109"/>
        <w:gridCol w:w="109"/>
        <w:gridCol w:w="109"/>
        <w:gridCol w:w="226"/>
        <w:gridCol w:w="946"/>
        <w:gridCol w:w="160"/>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March 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March 31,</w:t>
            </w:r>
          </w:p>
        </w:tc>
      </w:tr>
      <w:tr>
        <w:trPr/>
        <w:tc>
          <w:tcPr>
            <w:tcW w:w="3678" w:type="dxa"/>
            <w:gridSpan w:val="3"/>
            <w:tcBorders>
              <w:top w:val="single" w:sz="8" w:space="0" w:color="000000"/>
              <w:left w:val="single" w:sz="8" w:space="0" w:color="000000"/>
            </w:tcBorders>
            <w:shd w:fill="99CC00"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NON-GAAP FINANCIAL MEASURES - ADJUSTED NET INCOME AND ADJUSTED EPS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2025</w:t>
            </w:r>
          </w:p>
        </w:tc>
      </w:tr>
      <w:tr>
        <w:trPr/>
        <w:tc>
          <w:tcPr>
            <w:tcW w:w="3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848,780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722,928 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441,846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309,041 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 related to acquisitions (pretax)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12,170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34,401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33,316 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Discrete tax impact of IRS examination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(84,113)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(84,113)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Tax effect of pretax adjustments </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(8,111)</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773,692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731,279 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383,753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334,246 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earnings per share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0.18 </w:t>
            </w:r>
          </w:p>
        </w:tc>
        <w:tc>
          <w:tcPr>
            <w:tcW w:w="16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diluted earnings per share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rFonts w:ascii="sans-serif" w:hAnsi="sans-serif"/>
          <w:b w:val="false"/>
          <w:color w:val="000000"/>
          <w:sz w:val="14"/>
        </w:rPr>
        <w:t>Tax effect of adjustments is the difference between the tax provision calculated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consider our non-GAAP financial measures to be performance measures and a useful metric for management and investors to evaluate and compare the ongoing operating performance of our business. We make adjustments for certain non-GAAP financial measures related to material discrete tax impacts of IRS examination settlements,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measure the performance of our business using a variety of metrics, including earnings before interest, taxes, depreciation and amortization (EBITDA) from continuing operations, adjusted EBITDA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from continuing operations, adjusted net income from continuing operations, and adjusted diluted earnings per share from continuing operations. We also use EBITDA from continuing operations and pretax income from continuing operations, each subject to permitted adjustments, as performance metrics in incentive compensation calculations for our employees.</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3372</Words>
  <Characters>20063</Characters>
  <CharactersWithSpaces>23092</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