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1420" w:hanging="851"/>
        <w:spacing w:after="0"/>
        <w:tabs>
          <w:tab w:leader="none" w:pos="1420" w:val="left"/>
        </w:tabs>
        <w:numPr>
          <w:ilvl w:val="0"/>
          <w:numId w:val="1"/>
        </w:numPr>
        <w:rPr>
          <w:rFonts w:ascii="MS PGothic" w:cs="MS PGothic" w:eastAsia="MS PGothic" w:hAnsi="MS PGothic"/>
          <w:sz w:val="14"/>
          <w:szCs w:val="14"/>
          <w:color w:val="auto"/>
        </w:rPr>
      </w:pPr>
      <w:r>
        <w:rPr>
          <w:rFonts w:ascii="Arial" w:cs="Arial" w:eastAsia="Arial" w:hAnsi="Arial"/>
          <w:sz w:val="17"/>
          <w:szCs w:val="17"/>
          <w:color w:val="auto"/>
        </w:rPr>
        <w:t>QUARTERLY REPORT PURSUANT TO SECTION 13 OR 15(d) OF THE SECURITIES EXCHANGE ACT OF 1934</w:t>
      </w:r>
    </w:p>
    <w:p>
      <w:pPr>
        <w:spacing w:after="0" w:line="52" w:lineRule="exact"/>
        <w:rPr>
          <w:rFonts w:ascii="MS PGothic" w:cs="MS PGothic" w:eastAsia="MS PGothic" w:hAnsi="MS PGothic"/>
          <w:sz w:val="14"/>
          <w:szCs w:val="14"/>
          <w:color w:val="auto"/>
        </w:rPr>
      </w:pPr>
    </w:p>
    <w:p>
      <w:pPr>
        <w:ind w:left="1420"/>
        <w:spacing w:after="0"/>
        <w:rPr>
          <w:rFonts w:ascii="MS PGothic" w:cs="MS PGothic" w:eastAsia="MS PGothic" w:hAnsi="MS PGothic"/>
          <w:sz w:val="14"/>
          <w:szCs w:val="14"/>
          <w:color w:val="auto"/>
        </w:rPr>
      </w:pPr>
      <w:r>
        <w:rPr>
          <w:rFonts w:ascii="Arial" w:cs="Arial" w:eastAsia="Arial" w:hAnsi="Arial"/>
          <w:sz w:val="18"/>
          <w:szCs w:val="18"/>
          <w:b w:val="1"/>
          <w:bCs w:val="1"/>
          <w:color w:val="auto"/>
        </w:rPr>
        <w:t>For the quarterly period ended October 31, 2018</w:t>
      </w:r>
    </w:p>
    <w:p>
      <w:pPr>
        <w:spacing w:after="0" w:line="85" w:lineRule="exact"/>
        <w:rPr>
          <w:sz w:val="24"/>
          <w:szCs w:val="24"/>
          <w:color w:val="auto"/>
        </w:rPr>
      </w:pPr>
    </w:p>
    <w:p>
      <w:pPr>
        <w:ind w:left="6260"/>
        <w:spacing w:after="0"/>
        <w:rPr>
          <w:sz w:val="20"/>
          <w:szCs w:val="20"/>
          <w:color w:val="auto"/>
        </w:rPr>
      </w:pPr>
      <w:r>
        <w:rPr>
          <w:rFonts w:ascii="Arial" w:cs="Arial" w:eastAsia="Arial" w:hAnsi="Arial"/>
          <w:sz w:val="18"/>
          <w:szCs w:val="18"/>
          <w:color w:val="auto"/>
        </w:rPr>
        <w:t>OR</w:t>
      </w:r>
    </w:p>
    <w:p>
      <w:pPr>
        <w:spacing w:after="0" w:line="75" w:lineRule="exact"/>
        <w:rPr>
          <w:sz w:val="24"/>
          <w:szCs w:val="24"/>
          <w:color w:val="auto"/>
        </w:rPr>
      </w:pPr>
    </w:p>
    <w:p>
      <w:pPr>
        <w:ind w:left="1420" w:hanging="858"/>
        <w:spacing w:after="0"/>
        <w:tabs>
          <w:tab w:leader="none" w:pos="1420" w:val="left"/>
        </w:tabs>
        <w:numPr>
          <w:ilvl w:val="0"/>
          <w:numId w:val="2"/>
        </w:numPr>
        <w:rPr>
          <w:rFonts w:ascii="MS PGothic" w:cs="MS PGothic" w:eastAsia="MS PGothic" w:hAnsi="MS PGothic"/>
          <w:sz w:val="30"/>
          <w:szCs w:val="30"/>
          <w:color w:val="auto"/>
          <w:vertAlign w:val="superscript"/>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420"/>
          </w:cols>
          <w:pgMar w:left="240" w:top="357" w:right="239" w:bottom="1440" w:gutter="0" w:footer="0" w:header="0"/>
        </w:sectPr>
      </w:pPr>
    </w:p>
    <w:p>
      <w:pPr>
        <w:spacing w:after="0" w:line="130" w:lineRule="exact"/>
        <w:rPr>
          <w:sz w:val="24"/>
          <w:szCs w:val="24"/>
          <w:color w:val="auto"/>
        </w:rPr>
      </w:pPr>
    </w:p>
    <w:p>
      <w:pPr>
        <w:ind w:left="14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to</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1-06089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679450</wp:posOffset>
            </wp:positionH>
            <wp:positionV relativeFrom="paragraph">
              <wp:posOffset>88900</wp:posOffset>
            </wp:positionV>
            <wp:extent cx="44577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940" w:space="360"/>
            <w:col w:w="7120"/>
          </w:cols>
          <w:pgMar w:left="240" w:top="35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357" w:right="239" w:bottom="1440" w:gutter="0" w:footer="0" w:header="0"/>
          <w:type w:val="continuous"/>
        </w:sectPr>
      </w:pPr>
    </w:p>
    <w:p>
      <w:pPr>
        <w:spacing w:after="0" w:line="149"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116" w:lineRule="exact"/>
        <w:rPr>
          <w:sz w:val="24"/>
          <w:szCs w:val="24"/>
          <w:color w:val="auto"/>
        </w:rPr>
      </w:pPr>
    </w:p>
    <w:p>
      <w:pPr>
        <w:sectPr>
          <w:pgSz w:w="11900" w:h="16838" w:orient="portrait"/>
          <w:cols w:equalWidth="0" w:num="2">
            <w:col w:w="7420" w:space="720"/>
            <w:col w:w="3280"/>
          </w:cols>
          <w:pgMar w:left="240" w:top="357" w:right="239" w:bottom="1440" w:gutter="0" w:footer="0" w:header="0"/>
          <w:type w:val="continuous"/>
        </w:sectPr>
      </w:pPr>
    </w:p>
    <w:p>
      <w:pPr>
        <w:ind w:left="196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109" w:lineRule="exact"/>
        <w:rPr>
          <w:sz w:val="24"/>
          <w:szCs w:val="24"/>
          <w:color w:val="auto"/>
        </w:rPr>
      </w:pPr>
    </w:p>
    <w:p>
      <w:pPr>
        <w:sectPr>
          <w:pgSz w:w="11900" w:h="16838" w:orient="portrait"/>
          <w:cols w:equalWidth="0" w:num="2">
            <w:col w:w="7380" w:space="720"/>
            <w:col w:w="3320"/>
          </w:cols>
          <w:pgMar w:left="240" w:top="357" w:right="239" w:bottom="1440" w:gutter="0" w:footer="0" w:header="0"/>
          <w:type w:val="continuous"/>
        </w:sectPr>
      </w:pPr>
    </w:p>
    <w:p>
      <w:pPr>
        <w:ind w:left="19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81" w:lineRule="exact"/>
        <w:rPr>
          <w:sz w:val="24"/>
          <w:szCs w:val="24"/>
          <w:color w:val="auto"/>
        </w:rPr>
      </w:pPr>
    </w:p>
    <w:p>
      <w:pPr>
        <w:sectPr>
          <w:pgSz w:w="11900" w:h="16838" w:orient="portrait"/>
          <w:cols w:equalWidth="0" w:num="2">
            <w:col w:w="7340" w:space="720"/>
            <w:col w:w="3360"/>
          </w:cols>
          <w:pgMar w:left="240" w:top="357"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0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5"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5" w:lineRule="exact"/>
        <w:rPr>
          <w:sz w:val="24"/>
          <w:szCs w:val="24"/>
          <w:color w:val="auto"/>
        </w:rPr>
      </w:pPr>
    </w:p>
    <w:p>
      <w:pPr>
        <w:jc w:val="both"/>
        <w:spacing w:after="0" w:line="24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07" w:lineRule="exact"/>
        <w:tabs>
          <w:tab w:leader="none" w:pos="1880" w:val="left"/>
          <w:tab w:leader="none" w:pos="3340" w:val="left"/>
          <w:tab w:leader="none" w:pos="5140" w:val="left"/>
          <w:tab w:leader="none" w:pos="71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87" w:lineRule="exact"/>
        <w:rPr>
          <w:sz w:val="24"/>
          <w:szCs w:val="24"/>
          <w:color w:val="auto"/>
        </w:rPr>
      </w:pPr>
    </w:p>
    <w:p>
      <w:pPr>
        <w:jc w:val="both"/>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November 30, 2018: 205,527,815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207645</wp:posOffset>
            </wp:positionV>
            <wp:extent cx="44577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Form 10-Q for the Period Ended October 31, 2018</w:t>
      </w:r>
    </w:p>
    <w:p>
      <w:pPr>
        <w:spacing w:after="0" w:line="112"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1080" w:type="dxa"/>
            <w:vAlign w:val="bottom"/>
          </w:tcPr>
          <w:p>
            <w:pPr>
              <w:spacing w:after="0"/>
              <w:rPr>
                <w:sz w:val="24"/>
                <w:szCs w:val="24"/>
                <w:color w:val="auto"/>
              </w:rPr>
            </w:pPr>
          </w:p>
        </w:tc>
        <w:tc>
          <w:tcPr>
            <w:tcW w:w="9440" w:type="dxa"/>
            <w:vAlign w:val="bottom"/>
          </w:tcPr>
          <w:p>
            <w:pPr>
              <w:ind w:left="4200"/>
              <w:spacing w:after="0"/>
              <w:rPr>
                <w:rFonts w:ascii="Arial" w:cs="Arial" w:eastAsia="Arial" w:hAnsi="Arial"/>
                <w:sz w:val="22"/>
                <w:szCs w:val="22"/>
                <w:b w:val="1"/>
                <w:bCs w:val="1"/>
                <w:color w:val="auto"/>
              </w:rPr>
            </w:pPr>
            <w:hyperlink w:anchor="page3">
              <w:r>
                <w:rPr>
                  <w:rFonts w:ascii="Arial" w:cs="Arial" w:eastAsia="Arial" w:hAnsi="Arial"/>
                  <w:sz w:val="22"/>
                  <w:szCs w:val="22"/>
                  <w:b w:val="1"/>
                  <w:bCs w:val="1"/>
                  <w:color w:val="auto"/>
                </w:rPr>
                <w:t>PART 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1080" w:type="dxa"/>
            <w:vAlign w:val="bottom"/>
          </w:tcPr>
          <w:p>
            <w:pPr>
              <w:spacing w:after="0"/>
              <w:rPr>
                <w:sz w:val="20"/>
                <w:szCs w:val="20"/>
                <w:color w:val="auto"/>
              </w:rPr>
            </w:pPr>
            <w:r>
              <w:rPr>
                <w:rFonts w:ascii="Arial" w:cs="Arial" w:eastAsia="Arial" w:hAnsi="Arial"/>
                <w:sz w:val="22"/>
                <w:szCs w:val="22"/>
                <w:color w:val="auto"/>
              </w:rPr>
              <w:t>Item 1.</w:t>
            </w: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Statements of Operations and Comprehensive Loss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9440" w:type="dxa"/>
            <w:vAlign w:val="bottom"/>
          </w:tcPr>
          <w:p>
            <w:pPr>
              <w:ind w:left="420"/>
              <w:spacing w:after="0"/>
              <w:rPr>
                <w:sz w:val="20"/>
                <w:szCs w:val="20"/>
                <w:color w:val="auto"/>
              </w:rPr>
            </w:pPr>
            <w:r>
              <w:rPr>
                <w:rFonts w:ascii="Arial" w:cs="Arial" w:eastAsia="Arial" w:hAnsi="Arial"/>
                <w:sz w:val="22"/>
                <w:szCs w:val="22"/>
                <w:color w:val="auto"/>
              </w:rPr>
              <w:t>Three and six months ended October 31, 2018 and 2017</w:t>
            </w:r>
          </w:p>
        </w:tc>
        <w:tc>
          <w:tcPr>
            <w:tcW w:w="180" w:type="dxa"/>
            <w:vAlign w:val="bottom"/>
            <w:gridSpan w:val="2"/>
          </w:tcPr>
          <w:p>
            <w:pPr>
              <w:jc w:val="center"/>
              <w:spacing w:after="0"/>
              <w:rPr>
                <w:sz w:val="20"/>
                <w:szCs w:val="20"/>
                <w:color w:val="auto"/>
              </w:rPr>
            </w:pPr>
            <w:r>
              <w:rPr>
                <w:rFonts w:ascii="Arial" w:cs="Arial" w:eastAsia="Arial" w:hAnsi="Arial"/>
                <w:sz w:val="22"/>
                <w:szCs w:val="22"/>
                <w:color w:val="auto"/>
                <w:w w:val="97"/>
              </w:rPr>
              <w:t>1</w:t>
            </w:r>
          </w:p>
        </w:tc>
        <w:tc>
          <w:tcPr>
            <w:tcW w:w="60" w:type="dxa"/>
            <w:vAlign w:val="bottom"/>
          </w:tcPr>
          <w:p>
            <w:pPr>
              <w:spacing w:after="0"/>
              <w:rPr>
                <w:sz w:val="24"/>
                <w:szCs w:val="24"/>
                <w:color w:val="auto"/>
              </w:rPr>
            </w:pPr>
          </w:p>
        </w:tc>
      </w:tr>
      <w:tr>
        <w:trPr>
          <w:trHeight w:val="47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Balance Sheets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rPr>
                <w:sz w:val="21"/>
                <w:szCs w:val="21"/>
                <w:color w:val="auto"/>
              </w:rPr>
            </w:pPr>
          </w:p>
        </w:tc>
        <w:tc>
          <w:tcPr>
            <w:tcW w:w="9440" w:type="dxa"/>
            <w:vAlign w:val="bottom"/>
          </w:tcPr>
          <w:p>
            <w:pPr>
              <w:ind w:left="420"/>
              <w:spacing w:after="0" w:line="246" w:lineRule="exact"/>
              <w:rPr>
                <w:sz w:val="20"/>
                <w:szCs w:val="20"/>
                <w:color w:val="auto"/>
              </w:rPr>
            </w:pPr>
            <w:r>
              <w:rPr>
                <w:rFonts w:ascii="Arial" w:cs="Arial" w:eastAsia="Arial" w:hAnsi="Arial"/>
                <w:sz w:val="22"/>
                <w:szCs w:val="22"/>
                <w:color w:val="auto"/>
              </w:rPr>
              <w:t>As of October 31, 2018, October 31, 2017 and April 30, 2018</w:t>
            </w:r>
          </w:p>
        </w:tc>
        <w:tc>
          <w:tcPr>
            <w:tcW w:w="180" w:type="dxa"/>
            <w:vAlign w:val="bottom"/>
            <w:gridSpan w:val="2"/>
          </w:tcPr>
          <w:p>
            <w:pPr>
              <w:jc w:val="center"/>
              <w:spacing w:after="0" w:line="246" w:lineRule="exact"/>
              <w:rPr>
                <w:rFonts w:ascii="Arial" w:cs="Arial" w:eastAsia="Arial" w:hAnsi="Arial"/>
                <w:sz w:val="22"/>
                <w:szCs w:val="22"/>
                <w:color w:val="0000EE"/>
                <w:w w:val="97"/>
              </w:rPr>
            </w:pPr>
            <w:hyperlink w:anchor="page4">
              <w:r>
                <w:rPr>
                  <w:rFonts w:ascii="Arial" w:cs="Arial" w:eastAsia="Arial" w:hAnsi="Arial"/>
                  <w:sz w:val="22"/>
                  <w:szCs w:val="22"/>
                  <w:color w:val="0000EE"/>
                  <w:w w:val="97"/>
                </w:rPr>
                <w:t>2</w:t>
              </w:r>
            </w:hyperlink>
          </w:p>
        </w:tc>
        <w:tc>
          <w:tcPr>
            <w:tcW w:w="60" w:type="dxa"/>
            <w:vAlign w:val="bottom"/>
          </w:tcPr>
          <w:p>
            <w:pPr>
              <w:spacing w:after="0"/>
              <w:rPr>
                <w:sz w:val="21"/>
                <w:szCs w:val="21"/>
                <w:color w:val="auto"/>
              </w:rPr>
            </w:pPr>
          </w:p>
        </w:tc>
      </w:tr>
      <w:tr>
        <w:trPr>
          <w:trHeight w:val="50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Consolidated Statements of Cash Flows</w:t>
            </w: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rPr>
                <w:sz w:val="21"/>
                <w:szCs w:val="21"/>
                <w:color w:val="auto"/>
              </w:rPr>
            </w:pPr>
          </w:p>
        </w:tc>
        <w:tc>
          <w:tcPr>
            <w:tcW w:w="9440" w:type="dxa"/>
            <w:vAlign w:val="bottom"/>
          </w:tcPr>
          <w:p>
            <w:pPr>
              <w:ind w:left="420"/>
              <w:spacing w:after="0" w:line="246" w:lineRule="exact"/>
              <w:rPr>
                <w:sz w:val="20"/>
                <w:szCs w:val="20"/>
                <w:color w:val="auto"/>
              </w:rPr>
            </w:pPr>
            <w:r>
              <w:rPr>
                <w:rFonts w:ascii="Arial" w:cs="Arial" w:eastAsia="Arial" w:hAnsi="Arial"/>
                <w:sz w:val="22"/>
                <w:szCs w:val="22"/>
                <w:color w:val="auto"/>
              </w:rPr>
              <w:t>Six months ended October 31, 2018 and 2017</w:t>
            </w:r>
          </w:p>
        </w:tc>
        <w:tc>
          <w:tcPr>
            <w:tcW w:w="60" w:type="dxa"/>
            <w:vAlign w:val="bottom"/>
          </w:tcPr>
          <w:p>
            <w:pPr>
              <w:spacing w:after="0"/>
              <w:rPr>
                <w:sz w:val="21"/>
                <w:szCs w:val="21"/>
                <w:color w:val="auto"/>
              </w:rPr>
            </w:pPr>
          </w:p>
        </w:tc>
        <w:tc>
          <w:tcPr>
            <w:tcW w:w="120" w:type="dxa"/>
            <w:vAlign w:val="bottom"/>
            <w:tcBorders>
              <w:bottom w:val="single" w:sz="8" w:color="0000EE"/>
            </w:tcBorders>
          </w:tcPr>
          <w:p>
            <w:pPr>
              <w:jc w:val="center"/>
              <w:spacing w:after="0" w:line="246" w:lineRule="exact"/>
              <w:rPr>
                <w:rFonts w:ascii="Arial" w:cs="Arial" w:eastAsia="Arial" w:hAnsi="Arial"/>
                <w:sz w:val="22"/>
                <w:szCs w:val="22"/>
                <w:color w:val="0000EE"/>
                <w:w w:val="97"/>
              </w:rPr>
            </w:pPr>
            <w:hyperlink w:anchor="page5">
              <w:r>
                <w:rPr>
                  <w:rFonts w:ascii="Arial" w:cs="Arial" w:eastAsia="Arial" w:hAnsi="Arial"/>
                  <w:sz w:val="22"/>
                  <w:szCs w:val="22"/>
                  <w:color w:val="0000EE"/>
                  <w:w w:val="97"/>
                </w:rPr>
                <w:t>3</w:t>
              </w:r>
            </w:hyperlink>
          </w:p>
        </w:tc>
        <w:tc>
          <w:tcPr>
            <w:tcW w:w="60" w:type="dxa"/>
            <w:vAlign w:val="bottom"/>
          </w:tcPr>
          <w:p>
            <w:pPr>
              <w:spacing w:after="0"/>
              <w:rPr>
                <w:sz w:val="21"/>
                <w:szCs w:val="21"/>
                <w:color w:val="auto"/>
              </w:rPr>
            </w:pPr>
          </w:p>
        </w:tc>
      </w:tr>
      <w:tr>
        <w:trPr>
          <w:trHeight w:val="453"/>
        </w:trPr>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Arial" w:cs="Arial" w:eastAsia="Arial" w:hAnsi="Arial"/>
                <w:sz w:val="22"/>
                <w:szCs w:val="22"/>
                <w:color w:val="auto"/>
              </w:rPr>
              <w:t>Notes to Consolidated Financial Statements</w:t>
            </w:r>
          </w:p>
        </w:tc>
        <w:tc>
          <w:tcPr>
            <w:tcW w:w="6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22"/>
                <w:szCs w:val="22"/>
                <w:color w:val="0000EE"/>
                <w:w w:val="97"/>
              </w:rPr>
            </w:pPr>
            <w:hyperlink w:anchor="page6">
              <w:r>
                <w:rPr>
                  <w:rFonts w:ascii="Arial" w:cs="Arial" w:eastAsia="Arial" w:hAnsi="Arial"/>
                  <w:sz w:val="22"/>
                  <w:szCs w:val="22"/>
                  <w:color w:val="0000EE"/>
                  <w:w w:val="97"/>
                </w:rPr>
                <w:t>4</w:t>
              </w:r>
            </w:hyperlink>
          </w:p>
        </w:tc>
        <w:tc>
          <w:tcPr>
            <w:tcW w:w="60" w:type="dxa"/>
            <w:vAlign w:val="bottom"/>
          </w:tcPr>
          <w:p>
            <w:pPr>
              <w:spacing w:after="0"/>
              <w:rPr>
                <w:sz w:val="24"/>
                <w:szCs w:val="24"/>
                <w:color w:val="auto"/>
              </w:rPr>
            </w:pPr>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2.</w:t>
              </w:r>
            </w:hyperlink>
          </w:p>
        </w:tc>
        <w:tc>
          <w:tcPr>
            <w:tcW w:w="9440" w:type="dxa"/>
            <w:vAlign w:val="bottom"/>
          </w:tcPr>
          <w:p>
            <w:pPr>
              <w:ind w:left="300"/>
              <w:spacing w:after="0"/>
              <w:rPr>
                <w:rFonts w:ascii="Arial" w:cs="Arial" w:eastAsia="Arial" w:hAnsi="Arial"/>
                <w:sz w:val="22"/>
                <w:szCs w:val="22"/>
                <w:color w:val="auto"/>
              </w:rPr>
            </w:pPr>
            <w:hyperlink w:anchor="page28">
              <w:r>
                <w:rPr>
                  <w:rFonts w:ascii="Arial" w:cs="Arial" w:eastAsia="Arial" w:hAnsi="Arial"/>
                  <w:sz w:val="22"/>
                  <w:szCs w:val="22"/>
                  <w:color w:val="auto"/>
                </w:rPr>
                <w:t>Management's Discussion and Analysis of Financial Condition and Results of Operations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28">
              <w:r>
                <w:rPr>
                  <w:rFonts w:ascii="Arial" w:cs="Arial" w:eastAsia="Arial" w:hAnsi="Arial"/>
                  <w:sz w:val="22"/>
                  <w:szCs w:val="22"/>
                  <w:color w:val="0000EE"/>
                  <w:w w:val="97"/>
                </w:rPr>
                <w:t>26</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3.</w:t>
              </w:r>
            </w:hyperlink>
          </w:p>
        </w:tc>
        <w:tc>
          <w:tcPr>
            <w:tcW w:w="9440" w:type="dxa"/>
            <w:vAlign w:val="bottom"/>
          </w:tcPr>
          <w:p>
            <w:pPr>
              <w:ind w:left="300"/>
              <w:spacing w:after="0"/>
              <w:rPr>
                <w:rFonts w:ascii="Arial" w:cs="Arial" w:eastAsia="Arial" w:hAnsi="Arial"/>
                <w:sz w:val="22"/>
                <w:szCs w:val="22"/>
                <w:color w:val="auto"/>
              </w:rPr>
            </w:pPr>
            <w:hyperlink w:anchor="page36">
              <w:r>
                <w:rPr>
                  <w:rFonts w:ascii="Arial" w:cs="Arial" w:eastAsia="Arial" w:hAnsi="Arial"/>
                  <w:sz w:val="22"/>
                  <w:szCs w:val="22"/>
                  <w:color w:val="auto"/>
                </w:rPr>
                <w:t>Quantitative and Qualitative Disclosures About Market Risk</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440" w:type="dxa"/>
            <w:vAlign w:val="bottom"/>
          </w:tcPr>
          <w:p>
            <w:pPr>
              <w:ind w:left="300"/>
              <w:spacing w:after="0"/>
              <w:rPr>
                <w:rFonts w:ascii="Arial" w:cs="Arial" w:eastAsia="Arial" w:hAnsi="Arial"/>
                <w:sz w:val="22"/>
                <w:szCs w:val="22"/>
                <w:color w:val="auto"/>
              </w:rPr>
            </w:pPr>
            <w:hyperlink w:anchor="page36">
              <w:r>
                <w:rPr>
                  <w:rFonts w:ascii="Arial" w:cs="Arial" w:eastAsia="Arial" w:hAnsi="Arial"/>
                  <w:sz w:val="22"/>
                  <w:szCs w:val="22"/>
                  <w:color w:val="auto"/>
                </w:rPr>
                <w:t>Controls and Procedures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49"/>
        </w:trPr>
        <w:tc>
          <w:tcPr>
            <w:tcW w:w="1080" w:type="dxa"/>
            <w:vAlign w:val="bottom"/>
          </w:tcPr>
          <w:p>
            <w:pPr>
              <w:spacing w:after="0"/>
              <w:rPr>
                <w:sz w:val="24"/>
                <w:szCs w:val="24"/>
                <w:color w:val="auto"/>
              </w:rPr>
            </w:pPr>
          </w:p>
        </w:tc>
        <w:tc>
          <w:tcPr>
            <w:tcW w:w="9440" w:type="dxa"/>
            <w:vAlign w:val="bottom"/>
          </w:tcPr>
          <w:p>
            <w:pPr>
              <w:ind w:left="4180"/>
              <w:spacing w:after="0"/>
              <w:rPr>
                <w:rFonts w:ascii="Arial" w:cs="Arial" w:eastAsia="Arial" w:hAnsi="Arial"/>
                <w:sz w:val="22"/>
                <w:szCs w:val="22"/>
                <w:b w:val="1"/>
                <w:bCs w:val="1"/>
                <w:color w:val="auto"/>
              </w:rPr>
            </w:pPr>
            <w:hyperlink w:anchor="page36">
              <w:r>
                <w:rPr>
                  <w:rFonts w:ascii="Arial" w:cs="Arial" w:eastAsia="Arial" w:hAnsi="Arial"/>
                  <w:sz w:val="22"/>
                  <w:szCs w:val="22"/>
                  <w:b w:val="1"/>
                  <w:bCs w:val="1"/>
                  <w:color w:val="auto"/>
                </w:rPr>
                <w:t>PART II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7"/>
        </w:trPr>
        <w:tc>
          <w:tcPr>
            <w:tcW w:w="1080" w:type="dxa"/>
            <w:vAlign w:val="bottom"/>
          </w:tcPr>
          <w:p>
            <w:pPr>
              <w:spacing w:after="0" w:line="246" w:lineRule="exact"/>
              <w:rPr>
                <w:sz w:val="20"/>
                <w:szCs w:val="20"/>
                <w:color w:val="auto"/>
              </w:rPr>
            </w:pPr>
            <w:r>
              <w:rPr>
                <w:rFonts w:ascii="Arial" w:cs="Arial" w:eastAsia="Arial" w:hAnsi="Arial"/>
                <w:sz w:val="22"/>
                <w:szCs w:val="22"/>
                <w:color w:val="auto"/>
              </w:rPr>
              <w:t>Item 1.</w:t>
            </w:r>
          </w:p>
        </w:tc>
        <w:tc>
          <w:tcPr>
            <w:tcW w:w="9440" w:type="dxa"/>
            <w:vAlign w:val="bottom"/>
          </w:tcPr>
          <w:p>
            <w:pPr>
              <w:ind w:left="300"/>
              <w:spacing w:after="0" w:line="246" w:lineRule="exact"/>
              <w:rPr>
                <w:sz w:val="20"/>
                <w:szCs w:val="20"/>
                <w:color w:val="auto"/>
              </w:rPr>
            </w:pPr>
            <w:r>
              <w:rPr>
                <w:rFonts w:ascii="Arial" w:cs="Arial" w:eastAsia="Arial" w:hAnsi="Arial"/>
                <w:sz w:val="22"/>
                <w:szCs w:val="22"/>
                <w:color w:val="auto"/>
              </w:rPr>
              <w:t>Legal Proceedings</w:t>
            </w:r>
          </w:p>
        </w:tc>
        <w:tc>
          <w:tcPr>
            <w:tcW w:w="240" w:type="dxa"/>
            <w:vAlign w:val="bottom"/>
            <w:tcBorders>
              <w:bottom w:val="single" w:sz="8" w:color="0000EE"/>
            </w:tcBorders>
            <w:gridSpan w:val="3"/>
          </w:tcPr>
          <w:p>
            <w:pPr>
              <w:jc w:val="center"/>
              <w:spacing w:after="0" w:line="246" w:lineRule="exact"/>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1A.</w:t>
            </w:r>
          </w:p>
        </w:tc>
        <w:tc>
          <w:tcPr>
            <w:tcW w:w="9440" w:type="dxa"/>
            <w:vAlign w:val="bottom"/>
          </w:tcPr>
          <w:p>
            <w:pPr>
              <w:ind w:left="300"/>
              <w:spacing w:after="0"/>
              <w:rPr>
                <w:sz w:val="20"/>
                <w:szCs w:val="20"/>
                <w:color w:val="auto"/>
              </w:rPr>
            </w:pPr>
            <w:r>
              <w:rPr>
                <w:rFonts w:ascii="Arial" w:cs="Arial" w:eastAsia="Arial" w:hAnsi="Arial"/>
                <w:sz w:val="22"/>
                <w:szCs w:val="22"/>
                <w:color w:val="auto"/>
              </w:rPr>
              <w:t>Risk Factors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2.</w:t>
              </w:r>
            </w:hyperlink>
          </w:p>
        </w:tc>
        <w:tc>
          <w:tcPr>
            <w:tcW w:w="9440" w:type="dxa"/>
            <w:vAlign w:val="bottom"/>
          </w:tcPr>
          <w:p>
            <w:pPr>
              <w:ind w:left="300"/>
              <w:spacing w:after="0"/>
              <w:rPr>
                <w:sz w:val="20"/>
                <w:szCs w:val="20"/>
                <w:color w:val="auto"/>
              </w:rPr>
            </w:pPr>
            <w:r>
              <w:rPr>
                <w:rFonts w:ascii="Arial" w:cs="Arial" w:eastAsia="Arial" w:hAnsi="Arial"/>
                <w:sz w:val="22"/>
                <w:szCs w:val="22"/>
                <w:color w:val="auto"/>
              </w:rPr>
              <w:t>Unregistered Sales of Equity Securities and Use of Proceeds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3.</w:t>
            </w:r>
          </w:p>
        </w:tc>
        <w:tc>
          <w:tcPr>
            <w:tcW w:w="9440" w:type="dxa"/>
            <w:vAlign w:val="bottom"/>
          </w:tcPr>
          <w:p>
            <w:pPr>
              <w:ind w:left="300"/>
              <w:spacing w:after="0"/>
              <w:rPr>
                <w:sz w:val="20"/>
                <w:szCs w:val="20"/>
                <w:color w:val="auto"/>
              </w:rPr>
            </w:pPr>
            <w:r>
              <w:rPr>
                <w:rFonts w:ascii="Arial" w:cs="Arial" w:eastAsia="Arial" w:hAnsi="Arial"/>
                <w:sz w:val="22"/>
                <w:szCs w:val="22"/>
                <w:color w:val="auto"/>
              </w:rPr>
              <w:t>Defaults Upon Senior Securities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440" w:type="dxa"/>
            <w:vAlign w:val="bottom"/>
          </w:tcPr>
          <w:p>
            <w:pPr>
              <w:ind w:left="300"/>
              <w:spacing w:after="0"/>
              <w:rPr>
                <w:sz w:val="20"/>
                <w:szCs w:val="20"/>
                <w:color w:val="auto"/>
              </w:rPr>
            </w:pPr>
            <w:r>
              <w:rPr>
                <w:rFonts w:ascii="Arial" w:cs="Arial" w:eastAsia="Arial" w:hAnsi="Arial"/>
                <w:sz w:val="22"/>
                <w:szCs w:val="22"/>
                <w:color w:val="auto"/>
              </w:rPr>
              <w:t>Mine Safety Disclosures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rFonts w:ascii="Arial" w:cs="Arial" w:eastAsia="Arial" w:hAnsi="Arial"/>
                <w:sz w:val="22"/>
                <w:szCs w:val="22"/>
                <w:color w:val="auto"/>
              </w:rPr>
            </w:pPr>
            <w:hyperlink w:anchor="page36">
              <w:r>
                <w:rPr>
                  <w:rFonts w:ascii="Arial" w:cs="Arial" w:eastAsia="Arial" w:hAnsi="Arial"/>
                  <w:sz w:val="22"/>
                  <w:szCs w:val="22"/>
                  <w:color w:val="auto"/>
                </w:rPr>
                <w:t>Item 5.</w:t>
              </w:r>
            </w:hyperlink>
          </w:p>
        </w:tc>
        <w:tc>
          <w:tcPr>
            <w:tcW w:w="9440" w:type="dxa"/>
            <w:vAlign w:val="bottom"/>
          </w:tcPr>
          <w:p>
            <w:pPr>
              <w:ind w:left="300"/>
              <w:spacing w:after="0"/>
              <w:rPr>
                <w:rFonts w:ascii="Arial" w:cs="Arial" w:eastAsia="Arial" w:hAnsi="Arial"/>
                <w:sz w:val="22"/>
                <w:szCs w:val="22"/>
                <w:color w:val="auto"/>
              </w:rPr>
            </w:pPr>
            <w:hyperlink w:anchor="page36">
              <w:r>
                <w:rPr>
                  <w:rFonts w:ascii="Arial" w:cs="Arial" w:eastAsia="Arial" w:hAnsi="Arial"/>
                  <w:sz w:val="22"/>
                  <w:szCs w:val="22"/>
                  <w:color w:val="auto"/>
                </w:rPr>
                <w:t>Other Information</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6">
              <w:r>
                <w:rPr>
                  <w:rFonts w:ascii="Arial" w:cs="Arial" w:eastAsia="Arial" w:hAnsi="Arial"/>
                  <w:sz w:val="22"/>
                  <w:szCs w:val="22"/>
                  <w:color w:val="0000EE"/>
                  <w:w w:val="97"/>
                </w:rPr>
                <w:t>34</w:t>
              </w:r>
            </w:hyperlink>
          </w:p>
        </w:tc>
      </w:tr>
      <w:tr>
        <w:trPr>
          <w:trHeight w:val="453"/>
        </w:trPr>
        <w:tc>
          <w:tcPr>
            <w:tcW w:w="1080" w:type="dxa"/>
            <w:vAlign w:val="bottom"/>
          </w:tcPr>
          <w:p>
            <w:pPr>
              <w:spacing w:after="0"/>
              <w:rPr>
                <w:rFonts w:ascii="Arial" w:cs="Arial" w:eastAsia="Arial" w:hAnsi="Arial"/>
                <w:sz w:val="22"/>
                <w:szCs w:val="22"/>
                <w:color w:val="auto"/>
              </w:rPr>
            </w:pPr>
            <w:hyperlink w:anchor="page3">
              <w:r>
                <w:rPr>
                  <w:rFonts w:ascii="Arial" w:cs="Arial" w:eastAsia="Arial" w:hAnsi="Arial"/>
                  <w:sz w:val="22"/>
                  <w:szCs w:val="22"/>
                  <w:color w:val="auto"/>
                </w:rPr>
                <w:t>Item 6.</w:t>
              </w:r>
            </w:hyperlink>
          </w:p>
        </w:tc>
        <w:tc>
          <w:tcPr>
            <w:tcW w:w="9440" w:type="dxa"/>
            <w:vAlign w:val="bottom"/>
          </w:tcPr>
          <w:p>
            <w:pPr>
              <w:ind w:left="300"/>
              <w:spacing w:after="0"/>
              <w:rPr>
                <w:sz w:val="20"/>
                <w:szCs w:val="20"/>
                <w:color w:val="auto"/>
              </w:rPr>
            </w:pPr>
            <w:r>
              <w:rPr>
                <w:rFonts w:ascii="Arial" w:cs="Arial" w:eastAsia="Arial" w:hAnsi="Arial"/>
                <w:sz w:val="22"/>
                <w:szCs w:val="22"/>
                <w:color w:val="auto"/>
              </w:rPr>
              <w:t>Exhibits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7">
              <w:r>
                <w:rPr>
                  <w:rFonts w:ascii="Arial" w:cs="Arial" w:eastAsia="Arial" w:hAnsi="Arial"/>
                  <w:sz w:val="22"/>
                  <w:szCs w:val="22"/>
                  <w:color w:val="0000EE"/>
                  <w:w w:val="97"/>
                </w:rPr>
                <w:t>35</w:t>
              </w:r>
            </w:hyperlink>
          </w:p>
        </w:tc>
      </w:tr>
      <w:tr>
        <w:trPr>
          <w:trHeight w:val="453"/>
        </w:trPr>
        <w:tc>
          <w:tcPr>
            <w:tcW w:w="1080" w:type="dxa"/>
            <w:vAlign w:val="bottom"/>
          </w:tcPr>
          <w:p>
            <w:pPr>
              <w:spacing w:after="0"/>
              <w:rPr>
                <w:sz w:val="24"/>
                <w:szCs w:val="24"/>
                <w:color w:val="auto"/>
              </w:rPr>
            </w:pPr>
          </w:p>
        </w:tc>
        <w:tc>
          <w:tcPr>
            <w:tcW w:w="9440" w:type="dxa"/>
            <w:vAlign w:val="bottom"/>
          </w:tcPr>
          <w:p>
            <w:pPr>
              <w:ind w:left="300"/>
              <w:spacing w:after="0"/>
              <w:rPr>
                <w:rFonts w:ascii="Arial" w:cs="Arial" w:eastAsia="Arial" w:hAnsi="Arial"/>
                <w:sz w:val="22"/>
                <w:szCs w:val="22"/>
                <w:color w:val="auto"/>
              </w:rPr>
            </w:pPr>
            <w:hyperlink w:anchor="page38">
              <w:r>
                <w:rPr>
                  <w:rFonts w:ascii="Arial" w:cs="Arial" w:eastAsia="Arial" w:hAnsi="Arial"/>
                  <w:sz w:val="22"/>
                  <w:szCs w:val="22"/>
                  <w:color w:val="auto"/>
                </w:rPr>
                <w:t>Signatures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8">
              <w:r>
                <w:rPr>
                  <w:rFonts w:ascii="Arial" w:cs="Arial" w:eastAsia="Arial" w:hAnsi="Arial"/>
                  <w:sz w:val="22"/>
                  <w:szCs w:val="22"/>
                  <w:color w:val="0000EE"/>
                  <w:w w:val="97"/>
                </w:rPr>
                <w:t>36</w:t>
              </w:r>
            </w:hyperlink>
          </w:p>
        </w:tc>
      </w:tr>
    </w:tbl>
    <w:p>
      <w:pPr>
        <w:sectPr>
          <w:pgSz w:w="11900" w:h="16838" w:orient="portrait"/>
          <w:cols w:equalWidth="0" w:num="1">
            <w:col w:w="10800"/>
          </w:cols>
          <w:pgMar w:left="240" w:top="249" w:right="8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6780" w:type="dxa"/>
            <w:vAlign w:val="bottom"/>
            <w:gridSpan w:val="5"/>
          </w:tcPr>
          <w:p>
            <w:pPr>
              <w:ind w:left="40"/>
              <w:spacing w:after="0"/>
              <w:rPr>
                <w:sz w:val="20"/>
                <w:szCs w:val="20"/>
                <w:color w:val="auto"/>
              </w:rPr>
            </w:pPr>
            <w:r>
              <w:rPr>
                <w:rFonts w:ascii="Arial" w:cs="Arial" w:eastAsia="Arial" w:hAnsi="Arial"/>
                <w:sz w:val="25"/>
                <w:szCs w:val="25"/>
                <w:b w:val="1"/>
                <w:bCs w:val="1"/>
                <w:color w:val="auto"/>
              </w:rPr>
              <w:t>CONSOLIDATED STATEMENTS OF OPERATIONS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62"/>
        </w:trPr>
        <w:tc>
          <w:tcPr>
            <w:tcW w:w="5160" w:type="dxa"/>
            <w:vAlign w:val="bottom"/>
            <w:gridSpan w:val="2"/>
          </w:tcPr>
          <w:p>
            <w:pPr>
              <w:ind w:left="40"/>
              <w:spacing w:after="0" w:line="162" w:lineRule="exact"/>
              <w:rPr>
                <w:sz w:val="20"/>
                <w:szCs w:val="20"/>
                <w:color w:val="auto"/>
              </w:rPr>
            </w:pPr>
            <w:r>
              <w:rPr>
                <w:rFonts w:ascii="Arial" w:cs="Arial" w:eastAsia="Arial" w:hAnsi="Arial"/>
                <w:sz w:val="18"/>
                <w:szCs w:val="18"/>
                <w:b w:val="1"/>
                <w:bCs w:val="1"/>
                <w:color w:val="auto"/>
              </w:rPr>
              <w:t>AND COMPREHENSIVE LOSS</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42"/>
        </w:trPr>
        <w:tc>
          <w:tcPr>
            <w:tcW w:w="5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5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5"/>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color w:val="auto"/>
              </w:rPr>
              <w:t>Three months ended October 31,</w:t>
            </w:r>
          </w:p>
        </w:tc>
        <w:tc>
          <w:tcPr>
            <w:tcW w:w="280" w:type="dxa"/>
            <w:vAlign w:val="bottom"/>
          </w:tcPr>
          <w:p>
            <w:pPr>
              <w:spacing w:after="0"/>
              <w:rPr>
                <w:sz w:val="22"/>
                <w:szCs w:val="22"/>
                <w:color w:val="auto"/>
              </w:rPr>
            </w:pPr>
          </w:p>
        </w:tc>
        <w:tc>
          <w:tcPr>
            <w:tcW w:w="2780" w:type="dxa"/>
            <w:vAlign w:val="bottom"/>
            <w:gridSpan w:val="4"/>
          </w:tcPr>
          <w:p>
            <w:pPr>
              <w:jc w:val="right"/>
              <w:ind w:right="343"/>
              <w:spacing w:after="0"/>
              <w:rPr>
                <w:sz w:val="20"/>
                <w:szCs w:val="20"/>
                <w:color w:val="auto"/>
              </w:rPr>
            </w:pPr>
            <w:r>
              <w:rPr>
                <w:rFonts w:ascii="Arial" w:cs="Arial" w:eastAsia="Arial" w:hAnsi="Arial"/>
                <w:sz w:val="16"/>
                <w:szCs w:val="16"/>
                <w:color w:val="auto"/>
              </w:rPr>
              <w:t>Six months ended October 31,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Service revenues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127,267</w:t>
            </w:r>
          </w:p>
        </w:tc>
        <w:tc>
          <w:tcPr>
            <w:tcW w:w="120" w:type="dxa"/>
            <w:vAlign w:val="bottom"/>
          </w:tcPr>
          <w:p>
            <w:pPr>
              <w:spacing w:after="0"/>
              <w:rPr>
                <w:sz w:val="23"/>
                <w:szCs w:val="23"/>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127,923</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254,127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252,618</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Royalty, product and 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21,604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12,931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39,927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26,038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148,871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140,854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294,054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278,656</w:t>
            </w:r>
          </w:p>
        </w:tc>
        <w:tc>
          <w:tcPr>
            <w:tcW w:w="0" w:type="dxa"/>
            <w:vAlign w:val="bottom"/>
          </w:tcPr>
          <w:p>
            <w:pPr>
              <w:spacing w:after="0"/>
              <w:rPr>
                <w:sz w:val="1"/>
                <w:szCs w:val="1"/>
                <w:color w:val="auto"/>
              </w:rPr>
            </w:pPr>
          </w:p>
        </w:tc>
      </w:tr>
      <w:tr>
        <w:trPr>
          <w:trHeight w:val="26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Costs of revenues</w:t>
            </w: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250,815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240,019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472,375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467,734</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113,319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116,846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219,059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212,095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364,134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356,865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691,434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679,829</w:t>
            </w:r>
          </w:p>
        </w:tc>
        <w:tc>
          <w:tcPr>
            <w:tcW w:w="0" w:type="dxa"/>
            <w:vAlign w:val="bottom"/>
          </w:tcPr>
          <w:p>
            <w:pPr>
              <w:spacing w:after="0"/>
              <w:rPr>
                <w:sz w:val="1"/>
                <w:szCs w:val="1"/>
                <w:color w:val="auto"/>
              </w:rPr>
            </w:pPr>
          </w:p>
        </w:tc>
      </w:tr>
      <w:tr>
        <w:trPr>
          <w:trHeight w:val="268"/>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b w:val="1"/>
                <w:bCs w:val="1"/>
                <w:color w:val="auto"/>
              </w:rPr>
              <w:t>4,464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1,011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9,006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2,231</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 on borrowings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(21,191)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(42,381)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(42,542)</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Loss from continuing operations before income tax benefit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(231,990)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(236,265)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(430,755)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(441,484)</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tax benefit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(61,053)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(111,021)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(165,354)</w:t>
            </w:r>
          </w:p>
        </w:tc>
        <w:tc>
          <w:tcPr>
            <w:tcW w:w="0" w:type="dxa"/>
            <w:vAlign w:val="bottom"/>
          </w:tcPr>
          <w:p>
            <w:pPr>
              <w:spacing w:after="0"/>
              <w:rPr>
                <w:sz w:val="1"/>
                <w:szCs w:val="1"/>
                <w:color w:val="auto"/>
              </w:rPr>
            </w:pPr>
          </w:p>
        </w:tc>
      </w:tr>
      <w:tr>
        <w:trPr>
          <w:trHeight w:val="250"/>
        </w:trPr>
        <w:tc>
          <w:tcPr>
            <w:tcW w:w="5160" w:type="dxa"/>
            <w:vAlign w:val="bottom"/>
            <w:gridSpan w:val="2"/>
          </w:tcPr>
          <w:p>
            <w:pPr>
              <w:ind w:left="40"/>
              <w:spacing w:after="0"/>
              <w:rPr>
                <w:sz w:val="20"/>
                <w:szCs w:val="20"/>
                <w:color w:val="auto"/>
              </w:rPr>
            </w:pPr>
            <w:r>
              <w:rPr>
                <w:rFonts w:ascii="Arial" w:cs="Arial" w:eastAsia="Arial" w:hAnsi="Arial"/>
                <w:sz w:val="15"/>
                <w:szCs w:val="15"/>
                <w:color w:val="auto"/>
              </w:rPr>
              <w:t>Net loss from continuing operations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(170,937)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(148,312)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(319,734)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(276,130)</w:t>
            </w:r>
          </w:p>
        </w:tc>
        <w:tc>
          <w:tcPr>
            <w:tcW w:w="0" w:type="dxa"/>
            <w:vAlign w:val="bottom"/>
          </w:tcPr>
          <w:p>
            <w:pPr>
              <w:spacing w:after="0"/>
              <w:rPr>
                <w:sz w:val="1"/>
                <w:szCs w:val="1"/>
                <w:color w:val="auto"/>
              </w:rPr>
            </w:pPr>
          </w:p>
        </w:tc>
      </w:tr>
      <w:tr>
        <w:trPr>
          <w:trHeight w:val="19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 from discontinued operations, net of tax benefits of $1,607,</w:t>
            </w:r>
          </w:p>
        </w:tc>
        <w:tc>
          <w:tcPr>
            <w:tcW w:w="2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(5,339)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(9,212)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$3,067, $2,769 and $4,672</w:t>
            </w: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(8,003)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(176,276)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(153,566)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(328,946)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(284,133)</w:t>
            </w:r>
          </w:p>
        </w:tc>
        <w:tc>
          <w:tcPr>
            <w:tcW w:w="0" w:type="dxa"/>
            <w:vAlign w:val="bottom"/>
          </w:tcPr>
          <w:p>
            <w:pPr>
              <w:spacing w:after="0"/>
              <w:rPr>
                <w:sz w:val="1"/>
                <w:szCs w:val="1"/>
                <w:color w:val="auto"/>
              </w:rPr>
            </w:pPr>
          </w:p>
        </w:tc>
      </w:tr>
      <w:tr>
        <w:trPr>
          <w:trHeight w:val="268"/>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40"/>
              <w:spacing w:after="0"/>
              <w:rPr>
                <w:sz w:val="20"/>
                <w:szCs w:val="20"/>
                <w:color w:val="auto"/>
              </w:rPr>
            </w:pPr>
            <w:r>
              <w:rPr>
                <w:rFonts w:ascii="Arial" w:cs="Arial" w:eastAsia="Arial" w:hAnsi="Arial"/>
                <w:sz w:val="15"/>
                <w:szCs w:val="15"/>
                <w:b w:val="1"/>
                <w:bCs w:val="1"/>
                <w:color w:val="auto"/>
              </w:rPr>
              <w:t>BASIC AND DILUTED LOSS PER SHARE:</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(0.83)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(0.86)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DIVIDENDS DECLARED PER SHARE</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COMPREHENSIVE LOSS: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gridSpan w:val="2"/>
          </w:tcPr>
          <w:p>
            <w:pPr>
              <w:ind w:left="18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(176,276)</w:t>
            </w:r>
          </w:p>
        </w:tc>
        <w:tc>
          <w:tcPr>
            <w:tcW w:w="120" w:type="dxa"/>
            <w:vAlign w:val="bottom"/>
          </w:tcPr>
          <w:p>
            <w:pPr>
              <w:spacing w:after="0"/>
              <w:rPr>
                <w:sz w:val="23"/>
                <w:szCs w:val="23"/>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(153,566)</w:t>
            </w:r>
          </w:p>
        </w:tc>
        <w:tc>
          <w:tcPr>
            <w:tcW w:w="100" w:type="dxa"/>
            <w:vAlign w:val="bottom"/>
          </w:tcPr>
          <w:p>
            <w:pPr>
              <w:spacing w:after="0"/>
              <w:rPr>
                <w:sz w:val="23"/>
                <w:szCs w:val="23"/>
                <w:color w:val="auto"/>
              </w:rPr>
            </w:pPr>
          </w:p>
        </w:tc>
        <w:tc>
          <w:tcPr>
            <w:tcW w:w="280" w:type="dxa"/>
            <w:vAlign w:val="bottom"/>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(328,946)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(284,133)</w:t>
            </w:r>
          </w:p>
        </w:tc>
        <w:tc>
          <w:tcPr>
            <w:tcW w:w="0" w:type="dxa"/>
            <w:vAlign w:val="bottom"/>
          </w:tcPr>
          <w:p>
            <w:pPr>
              <w:spacing w:after="0"/>
              <w:rPr>
                <w:sz w:val="1"/>
                <w:szCs w:val="1"/>
                <w:color w:val="auto"/>
              </w:rPr>
            </w:pPr>
          </w:p>
        </w:tc>
      </w:tr>
      <w:tr>
        <w:trPr>
          <w:trHeight w:val="274"/>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Unrealized gains (losses) on securities, net of taxes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Change in foreign currency translation adjustments</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(2,843)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(4,577)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1,076</w:t>
            </w: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comprehensive income (loss)</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(2,846)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(4,577)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1,077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(179,122)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(154,951)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(333,523)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(283,056)</w:t>
            </w:r>
          </w:p>
        </w:tc>
        <w:tc>
          <w:tcPr>
            <w:tcW w:w="0" w:type="dxa"/>
            <w:vAlign w:val="bottom"/>
          </w:tcPr>
          <w:p>
            <w:pPr>
              <w:spacing w:after="0"/>
              <w:rPr>
                <w:sz w:val="1"/>
                <w:szCs w:val="1"/>
                <w:color w:val="auto"/>
              </w:rPr>
            </w:pPr>
          </w:p>
        </w:tc>
      </w:tr>
      <w:tr>
        <w:trPr>
          <w:trHeight w:val="119"/>
        </w:trPr>
        <w:tc>
          <w:tcPr>
            <w:tcW w:w="5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306070</wp:posOffset>
            </wp:positionV>
            <wp:extent cx="2228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sz w:val="20"/>
          <w:szCs w:val="20"/>
          <w:color w:val="auto"/>
        </w:rPr>
        <w:tab/>
      </w:r>
      <w:r>
        <w:rPr>
          <w:rFonts w:ascii="Arial" w:cs="Arial" w:eastAsia="Arial" w:hAnsi="Arial"/>
          <w:sz w:val="14"/>
          <w:szCs w:val="14"/>
          <w:color w:val="FFFFFF"/>
          <w:highlight w:val="black"/>
        </w:rPr>
        <w:t>1</w:t>
      </w:r>
    </w:p>
    <w:p>
      <w:pPr>
        <w:sectPr>
          <w:pgSz w:w="11900" w:h="16838" w:orient="portrait"/>
          <w:cols w:equalWidth="0" w:num="1">
            <w:col w:w="11420"/>
          </w:cols>
          <w:pgMar w:left="240" w:top="249"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gridSpan w:val="2"/>
            <w:vMerge w:val="restart"/>
          </w:tcPr>
          <w:p>
            <w:pPr>
              <w:ind w:left="40"/>
              <w:spacing w:after="0"/>
              <w:rPr>
                <w:sz w:val="20"/>
                <w:szCs w:val="20"/>
                <w:color w:val="auto"/>
              </w:rPr>
            </w:pPr>
            <w:r>
              <w:rPr>
                <w:rFonts w:ascii="Arial" w:cs="Arial" w:eastAsia="Arial" w:hAnsi="Arial"/>
                <w:sz w:val="25"/>
                <w:szCs w:val="25"/>
                <w:b w:val="1"/>
                <w:bCs w:val="1"/>
                <w:color w:val="auto"/>
              </w:rPr>
              <w:t>CONSOLIDATED BALANCE SHEETS</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8"/>
        </w:trPr>
        <w:tc>
          <w:tcPr>
            <w:tcW w:w="596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6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As of</w:t>
            </w:r>
          </w:p>
        </w:tc>
        <w:tc>
          <w:tcPr>
            <w:tcW w:w="260" w:type="dxa"/>
            <w:vAlign w:val="bottom"/>
          </w:tcPr>
          <w:p>
            <w:pPr>
              <w:spacing w:after="0"/>
              <w:rPr>
                <w:sz w:val="22"/>
                <w:szCs w:val="22"/>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31, 2018</w:t>
            </w:r>
          </w:p>
        </w:tc>
        <w:tc>
          <w:tcPr>
            <w:tcW w:w="24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rPr>
              <w:t>October 31, 2017</w:t>
            </w:r>
          </w:p>
        </w:tc>
        <w:tc>
          <w:tcPr>
            <w:tcW w:w="36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April 30, 2018</w:t>
            </w:r>
          </w:p>
        </w:tc>
        <w:tc>
          <w:tcPr>
            <w:tcW w:w="0" w:type="dxa"/>
            <w:vAlign w:val="bottom"/>
          </w:tcPr>
          <w:p>
            <w:pPr>
              <w:spacing w:after="0"/>
              <w:rPr>
                <w:sz w:val="1"/>
                <w:szCs w:val="1"/>
                <w:color w:val="auto"/>
              </w:rPr>
            </w:pPr>
          </w:p>
        </w:tc>
      </w:tr>
      <w:tr>
        <w:trPr>
          <w:trHeight w:val="270"/>
        </w:trPr>
        <w:tc>
          <w:tcPr>
            <w:tcW w:w="5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jc w:val="right"/>
              <w:ind w:right="2740"/>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600,799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180,997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1,544,944</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 - restricted</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122,507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100,665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118,734</w:t>
            </w: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less allowance for doubtful accounts of $65,409, $55,265 and</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61,286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$81,813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77,750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146,774</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Income taxes receivable</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18,745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12,310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87,665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85,204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68,951</w:t>
            </w:r>
          </w:p>
        </w:tc>
        <w:tc>
          <w:tcPr>
            <w:tcW w:w="0" w:type="dxa"/>
            <w:vAlign w:val="bottom"/>
          </w:tcPr>
          <w:p>
            <w:pPr>
              <w:spacing w:after="0"/>
              <w:rPr>
                <w:sz w:val="1"/>
                <w:szCs w:val="1"/>
                <w:color w:val="auto"/>
              </w:rPr>
            </w:pPr>
          </w:p>
        </w:tc>
      </w:tr>
      <w:tr>
        <w:trPr>
          <w:trHeight w:val="250"/>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891,002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444,616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1,891,713</w:t>
            </w: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Property and equipment, at cost, less accumulated depreciation and amortization</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241,772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of $787,978, $728,811 and $745,397</w:t>
            </w: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262,226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231,888</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Intangible assets, net</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364,524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406,440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373,981</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507,191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493,059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507,871</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Deferred tax assets and income taxes receivable</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130,987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9,205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34,095</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noncurrent assets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97,820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101,015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101,401</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2,233,296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1,716,561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268"/>
        </w:trPr>
        <w:tc>
          <w:tcPr>
            <w:tcW w:w="5960" w:type="dxa"/>
            <w:vAlign w:val="bottom"/>
            <w:gridSpan w:val="2"/>
            <w:shd w:val="clear" w:color="auto" w:fill="CCEEFF"/>
          </w:tcPr>
          <w:p>
            <w:pPr>
              <w:ind w:left="1300"/>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114,393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114,875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251,975</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Accrued salaries, wages and payroll taxes</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43,396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42,897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141,499</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Accrued income taxes and reserves for uncertain tax positions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94,257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43,879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263,050</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Current portion of long-term debt</w:t>
            </w:r>
          </w:p>
        </w:tc>
        <w:tc>
          <w:tcPr>
            <w:tcW w:w="2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revenue and 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183,675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190,522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186,101</w:t>
            </w:r>
          </w:p>
        </w:tc>
        <w:tc>
          <w:tcPr>
            <w:tcW w:w="0" w:type="dxa"/>
            <w:vAlign w:val="bottom"/>
          </w:tcPr>
          <w:p>
            <w:pPr>
              <w:spacing w:after="0"/>
              <w:rPr>
                <w:sz w:val="1"/>
                <w:szCs w:val="1"/>
                <w:color w:val="auto"/>
              </w:rPr>
            </w:pPr>
          </w:p>
        </w:tc>
      </w:tr>
      <w:tr>
        <w:trPr>
          <w:trHeight w:val="250"/>
        </w:trPr>
        <w:tc>
          <w:tcPr>
            <w:tcW w:w="5960" w:type="dxa"/>
            <w:vAlign w:val="bottom"/>
            <w:gridSpan w:val="2"/>
          </w:tcPr>
          <w:p>
            <w:pPr>
              <w:ind w:left="38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21"/>
                <w:szCs w:val="21"/>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435,721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393,177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843,651</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Long-term debt</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1,491,328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1,493,828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1,494,609</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235,799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138,024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229,430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revenue and other noncurrent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101,773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104,305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179,548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2,264,621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2,129,334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2,747,238</w:t>
            </w:r>
          </w:p>
        </w:tc>
        <w:tc>
          <w:tcPr>
            <w:tcW w:w="0" w:type="dxa"/>
            <w:vAlign w:val="bottom"/>
          </w:tcPr>
          <w:p>
            <w:pPr>
              <w:spacing w:after="0"/>
              <w:rPr>
                <w:sz w:val="1"/>
                <w:szCs w:val="1"/>
                <w:color w:val="auto"/>
              </w:rPr>
            </w:pPr>
          </w:p>
        </w:tc>
      </w:tr>
      <w:tr>
        <w:trPr>
          <w:trHeight w:val="254"/>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960" w:type="dxa"/>
            <w:vAlign w:val="bottom"/>
            <w:gridSpan w:val="2"/>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Common stock, no par, stated value $.01 per share, 800,000,000 shares</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2,420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authorized, shares issued of 242,026,278, 246,198,878 and 246,198,878</w:t>
            </w:r>
          </w:p>
        </w:tc>
        <w:tc>
          <w:tcPr>
            <w:tcW w:w="26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2,462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2,462</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b w:val="1"/>
                <w:bCs w:val="1"/>
                <w:color w:val="auto"/>
              </w:rPr>
              <w:t>759,235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753,423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760,250</w:t>
            </w:r>
          </w:p>
        </w:tc>
        <w:tc>
          <w:tcPr>
            <w:tcW w:w="0" w:type="dxa"/>
            <w:vAlign w:val="bottom"/>
          </w:tcPr>
          <w:p>
            <w:pPr>
              <w:spacing w:after="0"/>
              <w:rPr>
                <w:sz w:val="1"/>
                <w:szCs w:val="1"/>
                <w:color w:val="auto"/>
              </w:rPr>
            </w:pPr>
          </w:p>
        </w:tc>
      </w:tr>
      <w:tr>
        <w:trPr>
          <w:trHeight w:val="274"/>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(18,880)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(14,303)</w:t>
            </w:r>
          </w:p>
        </w:tc>
        <w:tc>
          <w:tcPr>
            <w:tcW w:w="0" w:type="dxa"/>
            <w:vAlign w:val="bottom"/>
          </w:tcPr>
          <w:p>
            <w:pPr>
              <w:spacing w:after="0"/>
              <w:rPr>
                <w:sz w:val="1"/>
                <w:szCs w:val="1"/>
                <w:color w:val="auto"/>
              </w:rPr>
            </w:pPr>
          </w:p>
        </w:tc>
      </w:tr>
      <w:tr>
        <w:trPr>
          <w:trHeight w:val="266"/>
        </w:trPr>
        <w:tc>
          <w:tcPr>
            <w:tcW w:w="5960" w:type="dxa"/>
            <w:vAlign w:val="bottom"/>
            <w:gridSpan w:val="2"/>
          </w:tcPr>
          <w:p>
            <w:pPr>
              <w:ind w:left="180"/>
              <w:spacing w:after="0"/>
              <w:rPr>
                <w:sz w:val="20"/>
                <w:szCs w:val="20"/>
                <w:color w:val="auto"/>
              </w:rPr>
            </w:pPr>
            <w:r>
              <w:rPr>
                <w:rFonts w:ascii="Arial" w:cs="Arial" w:eastAsia="Arial" w:hAnsi="Arial"/>
                <w:sz w:val="15"/>
                <w:szCs w:val="15"/>
                <w:color w:val="auto"/>
              </w:rPr>
              <w:t>Retained earnings (deficit)</w:t>
            </w:r>
          </w:p>
        </w:tc>
        <w:tc>
          <w:tcPr>
            <w:tcW w:w="2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5"/>
                <w:szCs w:val="15"/>
                <w:b w:val="1"/>
                <w:bCs w:val="1"/>
                <w:color w:val="auto"/>
              </w:rPr>
              <w:t>(64,291)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(433,556)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362,980</w:t>
            </w:r>
          </w:p>
        </w:tc>
        <w:tc>
          <w:tcPr>
            <w:tcW w:w="0" w:type="dxa"/>
            <w:vAlign w:val="bottom"/>
          </w:tcPr>
          <w:p>
            <w:pPr>
              <w:spacing w:after="0"/>
              <w:rPr>
                <w:sz w:val="1"/>
                <w:szCs w:val="1"/>
                <w:color w:val="auto"/>
              </w:rPr>
            </w:pPr>
          </w:p>
        </w:tc>
      </w:tr>
      <w:tr>
        <w:trPr>
          <w:trHeight w:val="270"/>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Less treasury shares, at cost, of 36,499,002, 37,130,454 and 36,944,789</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(709,809)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(720,880)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(717,678)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stockholders' equity (deficiency)</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(31,325)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(412,773)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393,711</w:t>
            </w:r>
          </w:p>
        </w:tc>
        <w:tc>
          <w:tcPr>
            <w:tcW w:w="0" w:type="dxa"/>
            <w:vAlign w:val="bottom"/>
          </w:tcPr>
          <w:p>
            <w:pPr>
              <w:spacing w:after="0"/>
              <w:rPr>
                <w:sz w:val="1"/>
                <w:szCs w:val="1"/>
                <w:color w:val="auto"/>
              </w:rPr>
            </w:pPr>
          </w:p>
        </w:tc>
      </w:tr>
      <w:tr>
        <w:trPr>
          <w:trHeight w:val="250"/>
        </w:trPr>
        <w:tc>
          <w:tcPr>
            <w:tcW w:w="5960" w:type="dxa"/>
            <w:vAlign w:val="bottom"/>
            <w:gridSpan w:val="2"/>
            <w:shd w:val="clear" w:color="auto" w:fill="CCEEFF"/>
          </w:tcPr>
          <w:p>
            <w:pPr>
              <w:jc w:val="right"/>
              <w:ind w:right="274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2,233,296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1,716,561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3,140,949</w:t>
            </w:r>
          </w:p>
        </w:tc>
        <w:tc>
          <w:tcPr>
            <w:tcW w:w="0" w:type="dxa"/>
            <w:vAlign w:val="bottom"/>
          </w:tcPr>
          <w:p>
            <w:pPr>
              <w:spacing w:after="0"/>
              <w:rPr>
                <w:sz w:val="1"/>
                <w:szCs w:val="1"/>
                <w:color w:val="auto"/>
              </w:rPr>
            </w:pPr>
          </w:p>
        </w:tc>
      </w:tr>
      <w:tr>
        <w:trPr>
          <w:trHeight w:val="119"/>
        </w:trPr>
        <w:tc>
          <w:tcPr>
            <w:tcW w:w="5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317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00" w:hanging="250"/>
        <w:spacing w:after="0"/>
        <w:tabs>
          <w:tab w:leader="none" w:pos="40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(unaudited, in 000s)</w:t>
            </w:r>
          </w:p>
        </w:tc>
      </w:tr>
      <w:tr>
        <w:trPr>
          <w:trHeight w:val="263"/>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Six months ended October 31,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(328,946)</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(284,133)</w:t>
            </w:r>
          </w:p>
        </w:tc>
      </w:tr>
      <w:tr>
        <w:trPr>
          <w:trHeight w:val="26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81,925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88,390</w:t>
            </w:r>
          </w:p>
        </w:tc>
      </w:tr>
      <w:tr>
        <w:trPr>
          <w:trHeight w:val="280"/>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Provision for bad debt</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4,238</w:t>
            </w: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Deferred taxes</w:t>
            </w:r>
          </w:p>
        </w:tc>
        <w:tc>
          <w:tcPr>
            <w:tcW w:w="5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17,913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58,634</w:t>
            </w:r>
          </w:p>
        </w:tc>
      </w:tr>
      <w:tr>
        <w:trPr>
          <w:trHeight w:val="280"/>
        </w:trPr>
        <w:tc>
          <w:tcPr>
            <w:tcW w:w="79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11,627</w:t>
            </w:r>
          </w:p>
        </w:tc>
      </w:tr>
      <w:tr>
        <w:trPr>
          <w:trHeight w:val="260"/>
        </w:trPr>
        <w:tc>
          <w:tcPr>
            <w:tcW w:w="7900" w:type="dxa"/>
            <w:vAlign w:val="bottom"/>
            <w:gridSpan w:val="2"/>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Receivables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75,324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77,958</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(18,933)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(19,283)</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noncurrent assets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8,984</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Accounts payable and accrued expenses</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(120,921)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(85,846)</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Accrued salaries, wages and payroll taxes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(97,771)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(141,491)</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Deferred revenue and other current liabilities</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(10,408)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3,775</w:t>
            </w:r>
          </w:p>
        </w:tc>
      </w:tr>
      <w:tr>
        <w:trPr>
          <w:trHeight w:val="280"/>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Deferred revenue and other noncurrent liabilities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(60,857)</w:t>
            </w:r>
          </w:p>
        </w:tc>
      </w:tr>
      <w:tr>
        <w:trPr>
          <w:trHeight w:val="260"/>
        </w:trPr>
        <w:tc>
          <w:tcPr>
            <w:tcW w:w="7900" w:type="dxa"/>
            <w:vAlign w:val="bottom"/>
            <w:gridSpan w:val="2"/>
          </w:tcPr>
          <w:p>
            <w:pPr>
              <w:ind w:left="50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(179,660)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(296,023)</w:t>
            </w:r>
          </w:p>
        </w:tc>
      </w:tr>
      <w:tr>
        <w:trPr>
          <w:trHeight w:val="273"/>
        </w:trPr>
        <w:tc>
          <w:tcPr>
            <w:tcW w:w="79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(14,430)</w:t>
            </w:r>
          </w:p>
        </w:tc>
      </w:tr>
      <w:tr>
        <w:trPr>
          <w:trHeight w:val="250"/>
        </w:trPr>
        <w:tc>
          <w:tcPr>
            <w:tcW w:w="7900" w:type="dxa"/>
            <w:vAlign w:val="bottom"/>
            <w:tcBorders>
              <w:bottom w:val="single" w:sz="8" w:color="CCEEFF"/>
            </w:tcBorders>
            <w:gridSpan w:val="2"/>
          </w:tcPr>
          <w:p>
            <w:pPr>
              <w:ind w:left="600"/>
              <w:spacing w:after="0"/>
              <w:rPr>
                <w:sz w:val="20"/>
                <w:szCs w:val="20"/>
                <w:color w:val="auto"/>
              </w:rPr>
            </w:pPr>
            <w:r>
              <w:rPr>
                <w:rFonts w:ascii="Arial" w:cs="Arial" w:eastAsia="Arial" w:hAnsi="Arial"/>
                <w:sz w:val="16"/>
                <w:szCs w:val="16"/>
                <w:color w:val="auto"/>
              </w:rPr>
              <w:t>Net cash used in operating activities</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(627,691)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(648,457)</w:t>
            </w:r>
          </w:p>
        </w:tc>
      </w:tr>
      <w:tr>
        <w:trPr>
          <w:trHeight w:val="122"/>
        </w:trPr>
        <w:tc>
          <w:tcPr>
            <w:tcW w:w="7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(66,422)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(56,750)</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Payments made for business acquisitions, net of cash acquired</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(24,549)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(27,522)</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loans funded</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Payments received on franchise loans</w:t>
            </w:r>
          </w:p>
        </w:tc>
        <w:tc>
          <w:tcPr>
            <w:tcW w:w="5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11,689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10,322</w:t>
            </w:r>
          </w:p>
        </w:tc>
      </w:tr>
      <w:tr>
        <w:trPr>
          <w:trHeight w:val="273"/>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4,993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5,474</w:t>
            </w:r>
          </w:p>
        </w:tc>
      </w:tr>
      <w:tr>
        <w:trPr>
          <w:trHeight w:val="250"/>
        </w:trPr>
        <w:tc>
          <w:tcPr>
            <w:tcW w:w="79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(79,415)</w:t>
            </w:r>
          </w:p>
        </w:tc>
      </w:tr>
      <w:tr>
        <w:trPr>
          <w:trHeight w:val="122"/>
        </w:trPr>
        <w:tc>
          <w:tcPr>
            <w:tcW w:w="7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9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(103,484)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(100,082)</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Repurchase of common stock, including shares surrendered</w:t>
            </w:r>
          </w:p>
        </w:tc>
        <w:tc>
          <w:tcPr>
            <w:tcW w:w="5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(102,096)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(7,581)</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27,522</w:t>
            </w:r>
          </w:p>
        </w:tc>
      </w:tr>
      <w:tr>
        <w:trPr>
          <w:trHeight w:val="264"/>
        </w:trPr>
        <w:tc>
          <w:tcPr>
            <w:tcW w:w="7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(22,434)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(26,717)</w:t>
            </w:r>
          </w:p>
        </w:tc>
      </w:tr>
      <w:tr>
        <w:trPr>
          <w:trHeight w:val="250"/>
        </w:trPr>
        <w:tc>
          <w:tcPr>
            <w:tcW w:w="7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cash used in financing activities</w:t>
            </w:r>
          </w:p>
        </w:tc>
        <w:tc>
          <w:tcPr>
            <w:tcW w:w="5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(226,268)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(106,858)</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 changes on cash</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decrease in cash, cash equivalents and restricted cash</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(940,372)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(835,877)</w:t>
            </w:r>
          </w:p>
        </w:tc>
      </w:tr>
      <w:tr>
        <w:trPr>
          <w:trHeight w:val="264"/>
        </w:trPr>
        <w:tc>
          <w:tcPr>
            <w:tcW w:w="7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1,663,678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1,117,539</w:t>
            </w:r>
          </w:p>
        </w:tc>
      </w:tr>
      <w:tr>
        <w:trPr>
          <w:trHeight w:val="25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723,306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281,662</w:t>
            </w:r>
          </w:p>
        </w:tc>
      </w:tr>
      <w:tr>
        <w:trPr>
          <w:trHeight w:val="122"/>
        </w:trPr>
        <w:tc>
          <w:tcPr>
            <w:tcW w:w="7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SUPPLEMENTARY CASH FLOW DATA:</w:t>
            </w:r>
          </w:p>
        </w:tc>
        <w:tc>
          <w:tcPr>
            <w:tcW w:w="5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Income taxes paid, net of refunds received</w:t>
            </w: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50,197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76,451</w:t>
            </w:r>
          </w:p>
        </w:tc>
      </w:tr>
      <w:tr>
        <w:trPr>
          <w:trHeight w:val="28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 on borrowings</w:t>
            </w: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39,902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39,902</w:t>
            </w:r>
          </w:p>
        </w:tc>
      </w:tr>
      <w:tr>
        <w:trPr>
          <w:trHeight w:val="260"/>
        </w:trPr>
        <w:tc>
          <w:tcPr>
            <w:tcW w:w="7900" w:type="dxa"/>
            <w:vAlign w:val="bottom"/>
            <w:gridSpan w:val="2"/>
          </w:tcPr>
          <w:p>
            <w:pPr>
              <w:ind w:left="180"/>
              <w:spacing w:after="0"/>
              <w:rPr>
                <w:sz w:val="20"/>
                <w:szCs w:val="20"/>
                <w:color w:val="auto"/>
              </w:rPr>
            </w:pPr>
            <w:r>
              <w:rPr>
                <w:rFonts w:ascii="Arial" w:cs="Arial" w:eastAsia="Arial" w:hAnsi="Arial"/>
                <w:sz w:val="16"/>
                <w:szCs w:val="16"/>
                <w:color w:val="auto"/>
              </w:rPr>
              <w:t>Accrued additions to property and equipment</w:t>
            </w:r>
          </w:p>
        </w:tc>
        <w:tc>
          <w:tcPr>
            <w:tcW w:w="5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4,765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3,874</w:t>
            </w:r>
          </w:p>
        </w:tc>
      </w:tr>
      <w:tr>
        <w:trPr>
          <w:trHeight w:val="131"/>
        </w:trPr>
        <w:tc>
          <w:tcPr>
            <w:tcW w:w="77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spacing w:after="0"/>
              <w:rPr>
                <w:sz w:val="11"/>
                <w:szCs w:val="11"/>
                <w:color w:val="auto"/>
              </w:rPr>
            </w:pPr>
          </w:p>
        </w:tc>
      </w:tr>
    </w:tbl>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306070</wp:posOffset>
            </wp:positionV>
            <wp:extent cx="2228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sz w:val="20"/>
          <w:szCs w:val="20"/>
          <w:color w:val="auto"/>
        </w:rPr>
        <w:tab/>
      </w:r>
      <w:r>
        <w:rPr>
          <w:rFonts w:ascii="Arial" w:cs="Arial" w:eastAsia="Arial" w:hAnsi="Arial"/>
          <w:sz w:val="14"/>
          <w:szCs w:val="14"/>
          <w:color w:val="FFFFFF"/>
          <w:highlight w:val="black"/>
        </w:rPr>
        <w:t>3</w:t>
      </w:r>
    </w:p>
    <w:p>
      <w:pPr>
        <w:sectPr>
          <w:pgSz w:w="11900" w:h="16838" w:orient="portrait"/>
          <w:cols w:equalWidth="0" w:num="1">
            <w:col w:w="11420"/>
          </w:cols>
          <w:pgMar w:left="240" w:top="249"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5" w:lineRule="exact"/>
        <w:rPr>
          <w:sz w:val="20"/>
          <w:szCs w:val="20"/>
          <w:color w:val="auto"/>
        </w:rPr>
      </w:pPr>
    </w:p>
    <w:p>
      <w:pPr>
        <w:spacing w:after="0"/>
        <w:tabs>
          <w:tab w:leader="none" w:pos="6660" w:val="left"/>
        </w:tabs>
        <w:rPr>
          <w:sz w:val="20"/>
          <w:szCs w:val="20"/>
          <w:color w:val="auto"/>
        </w:rPr>
      </w:pPr>
      <w:r>
        <w:rPr>
          <w:rFonts w:ascii="Arial" w:cs="Arial" w:eastAsia="Arial" w:hAnsi="Arial"/>
          <w:sz w:val="22"/>
          <w:szCs w:val="22"/>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October 31, 2018 and 2017,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loss for the three and six months ended October 31, 2018 and 2017, and the consolidated statements of cash flows for the six months ended October 31, 2018 and 2017 have been prepared by the Company, without audit. In the opinion of management, all adjustments, which include only normal recurring adjustments, necessary to present fairly the financial position, results of operations, and cash flows as of October 31, 2018 and 2017 and for all periods presented have been made.</w:t>
      </w:r>
    </w:p>
    <w:p>
      <w:pPr>
        <w:spacing w:after="0" w:line="94"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8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2018 Annual Report to Shareholders on Form 10-K and the additional financial statement disclosures provided under Accounting Standards Update No. 2014-09, “Revenue from Contracts with Customers” (ASU 2014-09), included in the Company’s Current Report on Form 8-K filed with the Securities and Exchange Commission on November 15, 2018. All amounts presented herein as of April 30, 2018 or for the year then ended are derived from our April 30, 2018 Annual Report to Shareholders on Form 10-K.</w:t>
      </w:r>
    </w:p>
    <w:p>
      <w:pPr>
        <w:spacing w:after="0" w:line="7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the impact of legislation commonly referred to as the Tax Cuts and Jobs Act (Tax Legislation), and related matters. Estimates have been prepared based on the best information available as of each balance sheet date. As such, actual results could differ materially from those estimates. See note 7 for additional discussion of the impact of the Tax Legislation.</w:t>
      </w:r>
    </w:p>
    <w:p>
      <w:pPr>
        <w:spacing w:after="0" w:line="77"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45"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notes 9 and 10 for additional information on litigation, claims, and other loss contingencies related to our discontinued operations.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In May 2014, the FASB issued ASU 2014-09, which is a comprehensive new revenue recognition model that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requires an entity to recognize the amount of revenue which reflects the consideration it expects to receive in exchange for the transfer of the promised goods or services to customers.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and clarifies guidance for multiple-element arrangements. This guidance replaced most existing revenue recognition guidance in GAAP when it became effective. The new standard was effective for us on May 1, 2018, and we adopted using the full retrospective transition method. The adoption of this guidance did not have a significant impact on our consolidated financial statements. See note 2 for additional information.</w:t>
      </w:r>
    </w:p>
    <w:p>
      <w:pPr>
        <w:spacing w:after="0" w:line="7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October 2016, the FASB issued Accounting Standards Update No. 2016-16, "Income Taxes (Topic 740): Intra-Entity Asset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Assets Other than Inventory" (ASU 2016-16). The new guidance eliminates the exception for intra-entity transfers other than inventory and requires the recognition of current and deferred income taxes resulting from such a transfer when the transfer occurs. This guidance was effective for us on May 1, 2018 and we adopted using the modified retrospective transition method. We recognized a $101.0 million cumulative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0" w:hanging="250"/>
        <w:spacing w:after="0"/>
        <w:tabs>
          <w:tab w:leader="none" w:pos="400" w:val="left"/>
        </w:tabs>
        <w:numPr>
          <w:ilvl w:val="0"/>
          <w:numId w:val="4"/>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adjustment to increase the opening balance of retained earnings and increase deferred tax assets resulting from intra-entity transfers of intellectual property in fiscal year 2018.</w:t>
      </w:r>
    </w:p>
    <w:p>
      <w:pPr>
        <w:spacing w:after="0" w:line="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In February 2016, the FASB issued Accounting Standards Update No. 2016-02, "Leases" (ASU 2016-02), which will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lease assets and lease liabilities by lessees for leases previously classified as operating leases. ASU 2016-02 also requires additional qualitative and quantitative disclosures related to the nature, timing and uncertainty of cash flows arising from leases. This guidance will be effective for us on May 1, 2019, with early adoption permitted. In July 2018, the FASB approved an amendment to the new guidance that allows companies the option of using the effective date of the new standard as the initial application (at the beginning of the period in which is it adopted, rather than at the beginning of the earliest comparative period). We expect to adopt ASU 2016-02 prospectively, and we are currently evaluating the impact of ASU 2016-02 on our consolidated financial statements. However, we expect the impact of this guidance on our consolidated financial statements could be significant, as our future minimum operating lease commitments totaled $820.9 million as of April 30, 2018. We also expect that adoption of the new standard will require changes to our internal controls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 2018, we adopted ASU 2014-09 using the full retrospective approach for all contracts as of the adoption date. As the adoption of this guidance did not have a significant impact on our consolidated financial statements, no adjustments were made to the prior year periods to be in compliance with ASU 2014-09.</w:t>
      </w:r>
    </w:p>
    <w:p>
      <w:pPr>
        <w:spacing w:after="0" w:line="9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Revenue is recognized upon satisfaction of performance obligations by the transfer of a product or service to the customer. Revenue is the amount of consideration we expect to receive for our services and products, and excludes sales taxes. When providing the majority of our tax preparation services, we generally have multiple performance obligations that are provided simultaneously at a point in time and revenue is recognized at that time. Our Peace of Mind® Extended Service Plan (POM) and Tax Identity Shield® (TIS) products have multiple performance obligations that are provided over time. The transaction price for POM and TIS, which is due at the time of purchase, is allocated to the various performance obligations based on relative standalone selling prices. Revenues for POM and TIS are deferred until the respective performance obligations have been satisfied. We have determined that these contracts do not contain a significant financing component.</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majority of our revenues are from our U.S. business. The following table disaggregates our U.S. revenues by major service line, with all international businesses included in a single line, which consists primarily of tax preparation revenues: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gridSpan w:val="6"/>
          </w:tcPr>
          <w:p>
            <w:pPr>
              <w:ind w:left="20"/>
              <w:spacing w:after="0"/>
              <w:rPr>
                <w:sz w:val="20"/>
                <w:szCs w:val="20"/>
                <w:color w:val="auto"/>
              </w:rPr>
            </w:pPr>
            <w:r>
              <w:rPr>
                <w:rFonts w:ascii="Arial" w:cs="Arial" w:eastAsia="Arial" w:hAnsi="Arial"/>
                <w:sz w:val="16"/>
                <w:szCs w:val="16"/>
                <w:color w:val="auto"/>
              </w:rPr>
              <w:t>Three months ended October 31,</w:t>
            </w:r>
          </w:p>
        </w:tc>
        <w:tc>
          <w:tcPr>
            <w:tcW w:w="280" w:type="dxa"/>
            <w:vAlign w:val="bottom"/>
          </w:tcPr>
          <w:p>
            <w:pPr>
              <w:spacing w:after="0"/>
              <w:rPr>
                <w:sz w:val="22"/>
                <w:szCs w:val="22"/>
                <w:color w:val="auto"/>
              </w:rPr>
            </w:pPr>
          </w:p>
        </w:tc>
        <w:tc>
          <w:tcPr>
            <w:tcW w:w="2780" w:type="dxa"/>
            <w:vAlign w:val="bottom"/>
            <w:gridSpan w:val="4"/>
          </w:tcPr>
          <w:p>
            <w:pPr>
              <w:jc w:val="right"/>
              <w:ind w:right="340"/>
              <w:spacing w:after="0"/>
              <w:rPr>
                <w:sz w:val="20"/>
                <w:szCs w:val="20"/>
                <w:color w:val="auto"/>
              </w:rPr>
            </w:pPr>
            <w:r>
              <w:rPr>
                <w:rFonts w:ascii="Arial" w:cs="Arial" w:eastAsia="Arial" w:hAnsi="Arial"/>
                <w:sz w:val="16"/>
                <w:szCs w:val="16"/>
                <w:color w:val="auto"/>
              </w:rPr>
              <w:t>Six months ended October 31,</w:t>
            </w: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color w:val="auto"/>
              </w:rPr>
              <w:t>2017</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assisted tax preparation</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41,652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72,756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66,628</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U.S. royalties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8,062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15,633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13,975</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DIY tax preparation</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7,489</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International revenues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45,497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47,934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84,676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88,351</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Revenues from Refund Transfers</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3,951</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Revenues from Emerald Card®</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9,478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23,724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24,167</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24,318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60,895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56,528</w:t>
            </w: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Revenues from Tax Identity Shield®</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5,243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9,984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511</w:t>
            </w: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fee income on Emerald Advance</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1,258</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10,670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9,233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17,783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15,798</w:t>
            </w:r>
          </w:p>
        </w:tc>
      </w:tr>
      <w:tr>
        <w:trPr>
          <w:trHeight w:val="264"/>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148,871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140,854</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294,054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278,656</w:t>
            </w:r>
          </w:p>
        </w:tc>
      </w:tr>
      <w:tr>
        <w:trPr>
          <w:trHeight w:val="122"/>
        </w:trPr>
        <w:tc>
          <w:tcPr>
            <w:tcW w:w="5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 revenues are recognized when performance obligations are satisfied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314960</wp:posOffset>
            </wp:positionV>
            <wp:extent cx="2228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sz w:val="20"/>
          <w:szCs w:val="20"/>
          <w:color w:val="auto"/>
        </w:rPr>
        <w:tab/>
      </w:r>
      <w:r>
        <w:rPr>
          <w:rFonts w:ascii="Arial" w:cs="Arial" w:eastAsia="Arial" w:hAnsi="Arial"/>
          <w:sz w:val="14"/>
          <w:szCs w:val="14"/>
          <w:color w:val="FFFFFF"/>
          <w:highlight w:val="black"/>
        </w:rPr>
        <w:t>5</w:t>
      </w:r>
    </w:p>
    <w:p>
      <w:pPr>
        <w:sectPr>
          <w:pgSz w:w="11900" w:h="16838" w:orient="portrait"/>
          <w:cols w:equalWidth="0" w:num="1">
            <w:col w:w="11420"/>
          </w:cols>
          <w:pgMar w:left="240" w:top="249"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420" w:hanging="169"/>
        <w:spacing w:after="0" w:line="26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Assisted and DIY online tax preparation revenues are recorded when a completed return is electronically filed or accepted by the customer. The value of point-of-sale discounts and coupons are recorded as a reduction of revenue.</w:t>
      </w:r>
    </w:p>
    <w:p>
      <w:pPr>
        <w:spacing w:after="0" w:line="88"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for electronic filing of tax returns prepared using our DIY tax preparation solutions are recorded when the return is electronically filed.</w:t>
      </w:r>
    </w:p>
    <w:p>
      <w:pPr>
        <w:spacing w:after="0" w:line="117" w:lineRule="exact"/>
        <w:rPr>
          <w:rFonts w:ascii="Arial" w:cs="Arial" w:eastAsia="Arial" w:hAnsi="Arial"/>
          <w:sz w:val="18"/>
          <w:szCs w:val="18"/>
          <w:color w:val="auto"/>
        </w:rPr>
      </w:pPr>
    </w:p>
    <w:p>
      <w:pPr>
        <w:ind w:left="420" w:hanging="169"/>
        <w:spacing w:after="0" w:line="262"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related to Refund Transfers (RTs) are recognized when the Internal Revenue Service (IRS) acknowledgment is received and the bank account is established at Axos Bank, formerly known as BofI Federal Bank, a federal savings bank (Axos).</w:t>
      </w:r>
    </w:p>
    <w:p>
      <w:pPr>
        <w:spacing w:after="0" w:line="88" w:lineRule="exact"/>
        <w:rPr>
          <w:rFonts w:ascii="Arial" w:cs="Arial" w:eastAsia="Arial" w:hAnsi="Arial"/>
          <w:sz w:val="18"/>
          <w:szCs w:val="18"/>
          <w:color w:val="auto"/>
        </w:rPr>
      </w:pPr>
    </w:p>
    <w:p>
      <w:pPr>
        <w:jc w:val="both"/>
        <w:ind w:left="420" w:hanging="169"/>
        <w:spacing w:after="0" w:line="25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associated with our Emerald Card® program consist of interchange income from the use of debit cards and fees from the use of ATM networks, net of volume-based amounts retained by Axos in connection with our agreement. Interchange income is a fee paid by a merchant bank to Axos through the interchange network. Net revenue associated with our Emerald Card® is recognized based on cardholder transactions.</w:t>
      </w:r>
    </w:p>
    <w:p>
      <w:pPr>
        <w:spacing w:after="0" w:line="96" w:lineRule="exact"/>
        <w:rPr>
          <w:rFonts w:ascii="Arial" w:cs="Arial" w:eastAsia="Arial" w:hAnsi="Arial"/>
          <w:sz w:val="18"/>
          <w:szCs w:val="18"/>
          <w:color w:val="auto"/>
        </w:rPr>
      </w:pPr>
    </w:p>
    <w:p>
      <w:pPr>
        <w:jc w:val="both"/>
        <w:ind w:left="420" w:hanging="169"/>
        <w:spacing w:after="0" w:line="25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POM we (1) represent our clients if they are audited by a taxing authority, and (2) assume the cost, subject to certain limits, of additional taxes owed by a client resulting from errors attributable to H&amp;R Block. POM revenues and incremental wages are deferred and recognized over the term of the plan, based on the historical pattern of actual claims paid, as claims paid represent the transfer of POM services to the customer. The plan is effective for the life of the tax return, which can be up to six years; however, the majority of claims are incurred in years two and three after the sale of POM.</w:t>
      </w:r>
    </w:p>
    <w:p>
      <w:pPr>
        <w:spacing w:after="0" w:line="97" w:lineRule="exact"/>
        <w:rPr>
          <w:rFonts w:ascii="Arial" w:cs="Arial" w:eastAsia="Arial" w:hAnsi="Arial"/>
          <w:sz w:val="18"/>
          <w:szCs w:val="18"/>
          <w:color w:val="auto"/>
        </w:rPr>
      </w:pPr>
    </w:p>
    <w:p>
      <w:pPr>
        <w:jc w:val="both"/>
        <w:ind w:left="420" w:hanging="169"/>
        <w:spacing w:after="0" w:line="253"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TIS program offers clients assistance in helping protect their tax identity and access to services to help restore their tax identity, if necessary. Protection services include a daily scan of the dark web for personal information, a pre-tax season identity theft risk assessment, notifying clients if their information is detected on a tax return filed through H&amp;R Block, and obtaining additional IRS identity protections when eligible. TIS revenues are deferred and are recognized as the various services are provided to the client, either by us or a third party, throughout the term of the contract, which ends on April 30th of the following year.</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Royalty, product and other revenues are recognized when performance obligations are satisfied as follows:</w:t>
      </w:r>
    </w:p>
    <w:p>
      <w:pPr>
        <w:spacing w:after="0" w:line="117" w:lineRule="exact"/>
        <w:rPr>
          <w:sz w:val="20"/>
          <w:szCs w:val="20"/>
          <w:color w:val="auto"/>
        </w:rPr>
      </w:pPr>
    </w:p>
    <w:p>
      <w:pPr>
        <w:ind w:left="420" w:hanging="169"/>
        <w:spacing w:after="0" w:line="26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Royalties, which are based on contractual percentages of franchise gross receipts, are generally recorded in the period in which the services are provided by the franchisee to the customer.</w:t>
      </w:r>
    </w:p>
    <w:p>
      <w:pPr>
        <w:spacing w:after="0" w:line="88" w:lineRule="exact"/>
        <w:rPr>
          <w:rFonts w:ascii="Arial" w:cs="Arial" w:eastAsia="Arial" w:hAnsi="Arial"/>
          <w:sz w:val="18"/>
          <w:szCs w:val="18"/>
          <w:color w:val="auto"/>
        </w:rPr>
      </w:pPr>
    </w:p>
    <w:p>
      <w:pPr>
        <w:ind w:left="420" w:hanging="169"/>
        <w:spacing w:after="0" w:line="26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from the sale of DIY desktop software is recognized when the product is sold to the end user. Rebates and other incentives paid in connection with these sales are recorded as a reduction of revenue.</w:t>
      </w:r>
    </w:p>
    <w:p>
      <w:pPr>
        <w:spacing w:after="0" w:line="88" w:lineRule="exact"/>
        <w:rPr>
          <w:rFonts w:ascii="Arial" w:cs="Arial" w:eastAsia="Arial" w:hAnsi="Arial"/>
          <w:sz w:val="18"/>
          <w:szCs w:val="18"/>
          <w:color w:val="auto"/>
        </w:rPr>
      </w:pPr>
    </w:p>
    <w:p>
      <w:pPr>
        <w:ind w:left="420" w:hanging="169"/>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revenue on Emerald Advance lines of credit (EAs) is recorded over the life of the underlying loan.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POM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Deferred Revenue</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Deferred Wages</w:t>
            </w:r>
          </w:p>
        </w:tc>
        <w:tc>
          <w:tcPr>
            <w:tcW w:w="800" w:type="dxa"/>
            <w:vAlign w:val="bottom"/>
            <w:tcBorders>
              <w:bottom w:val="single" w:sz="8" w:color="auto"/>
            </w:tcBorders>
          </w:tcPr>
          <w:p>
            <w:pPr>
              <w:spacing w:after="0"/>
              <w:rPr>
                <w:sz w:val="22"/>
                <w:szCs w:val="22"/>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Six months ended October 31,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2017</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218,274</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211,223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32,683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31,344</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Amounts deferred</w:t>
            </w:r>
          </w:p>
        </w:tc>
        <w:tc>
          <w:tcPr>
            <w:tcW w:w="4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3,459</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2,913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w:t>
            </w:r>
          </w:p>
        </w:tc>
      </w:tr>
      <w:tr>
        <w:trPr>
          <w:trHeight w:val="27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recognized on previous deferrals</w:t>
            </w: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(71,074)</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(63,332)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(10,752)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(9,230)</w:t>
            </w:r>
          </w:p>
        </w:tc>
      </w:tr>
      <w:tr>
        <w:trPr>
          <w:trHeight w:val="250"/>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end of the period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150,659</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150,804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22,011</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22,150</w:t>
            </w:r>
          </w:p>
        </w:tc>
      </w:tr>
      <w:tr>
        <w:trPr>
          <w:trHeight w:val="122"/>
        </w:trPr>
        <w:tc>
          <w:tcPr>
            <w:tcW w:w="5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As of October 31, 2018, deferred revenue related to POM was $150.7 million. We expect that $105.7 million will be recognized over the next twelve months, while the remaining balance will be recognized over the following sixty months.</w:t>
      </w:r>
    </w:p>
    <w:p>
      <w:pPr>
        <w:spacing w:after="0" w:line="88"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Deferred revenue related to TIS was $36.4 million and $20.6 million at April 30, 2018 and 2017, respectively. As of October 31, 2018 and 2017, TIS deferred revenue was $21.8 million and $24.4 million, respectively. All deferred revenue related to TIS will be recognized within this fiscal year.</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 significant portion of our accounts receivable balances, with the exception of those related to EAs, are subject to the new revenue guidance. The majority of our services and products must be paid for at the time of service,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50"/>
        <w:spacing w:after="0"/>
        <w:tabs>
          <w:tab w:leader="none" w:pos="40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therefore no receivable is recorded unless an RT is purchased. Generally the prices of our services and products are fixed and determinable at the time of sale. For our RT product, we record a receivable for our fees which is then collected at the time the IRS issues the client’s refund. Our receivables from contracts with customers are generally collected on a periodic basis during and subsequent to the tax season. See note 4 for our accounts receivable balances.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LOSS PER SHARE AND STOCKHOLDERS' EQUITY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and diluted loss per share is computed using the two-class method. The two-class method is an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3.4 million shares for the three and six months ended October 31, 2018, and 3.4 million shares for the three and six months ended October 31, 2017, as the effect would be antidilutive due to the net loss from continuing operations during those periods.</w:t>
      </w:r>
    </w:p>
    <w:p>
      <w:pPr>
        <w:spacing w:after="0" w:line="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loss per share from continuing operations are as follows:</w:t>
      </w:r>
    </w:p>
    <w:p>
      <w:pPr>
        <w:spacing w:after="0" w:line="177" w:lineRule="exact"/>
        <w:rPr>
          <w:sz w:val="20"/>
          <w:szCs w:val="20"/>
          <w:color w:val="auto"/>
        </w:rPr>
      </w:pPr>
    </w:p>
    <w:p>
      <w:pPr>
        <w:ind w:left="900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color w:val="auto"/>
              </w:rPr>
              <w:t>Three months ended October 31,</w:t>
            </w:r>
          </w:p>
        </w:tc>
        <w:tc>
          <w:tcPr>
            <w:tcW w:w="280" w:type="dxa"/>
            <w:vAlign w:val="bottom"/>
          </w:tcPr>
          <w:p>
            <w:pPr>
              <w:spacing w:after="0"/>
              <w:rPr>
                <w:sz w:val="18"/>
                <w:szCs w:val="18"/>
                <w:color w:val="auto"/>
              </w:rPr>
            </w:pPr>
          </w:p>
        </w:tc>
        <w:tc>
          <w:tcPr>
            <w:tcW w:w="2780" w:type="dxa"/>
            <w:vAlign w:val="bottom"/>
            <w:gridSpan w:val="4"/>
          </w:tcPr>
          <w:p>
            <w:pPr>
              <w:jc w:val="right"/>
              <w:ind w:right="339"/>
              <w:spacing w:after="0"/>
              <w:rPr>
                <w:sz w:val="20"/>
                <w:szCs w:val="20"/>
                <w:color w:val="auto"/>
              </w:rPr>
            </w:pPr>
            <w:r>
              <w:rPr>
                <w:rFonts w:ascii="Arial" w:cs="Arial" w:eastAsia="Arial" w:hAnsi="Arial"/>
                <w:sz w:val="16"/>
                <w:szCs w:val="16"/>
                <w:color w:val="auto"/>
              </w:rPr>
              <w:t>Six months ended October 31,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shareholders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(170,937)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(319,734)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Amounts allocated to participating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common</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(171,081)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(320,020)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(276,451)</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205,520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209,065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206,596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208,500</w:t>
            </w:r>
          </w:p>
        </w:tc>
        <w:tc>
          <w:tcPr>
            <w:tcW w:w="0" w:type="dxa"/>
            <w:vAlign w:val="bottom"/>
          </w:tcPr>
          <w:p>
            <w:pPr>
              <w:spacing w:after="0"/>
              <w:rPr>
                <w:sz w:val="1"/>
                <w:szCs w:val="1"/>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Potential dilutive shares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Dilutive weighted average common shares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205,520</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209,065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206,596</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208,500</w:t>
            </w:r>
          </w:p>
        </w:tc>
        <w:tc>
          <w:tcPr>
            <w:tcW w:w="0" w:type="dxa"/>
            <w:vAlign w:val="bottom"/>
          </w:tcPr>
          <w:p>
            <w:pPr>
              <w:spacing w:after="0"/>
              <w:rPr>
                <w:sz w:val="1"/>
                <w:szCs w:val="1"/>
                <w:color w:val="auto"/>
              </w:rPr>
            </w:pPr>
          </w:p>
        </w:tc>
      </w:tr>
      <w:tr>
        <w:trPr>
          <w:trHeight w:val="122"/>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(0.83)</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8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22"/>
        </w:trPr>
        <w:tc>
          <w:tcPr>
            <w:tcW w:w="5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weighted average shares outstanding for the three and six months ended October 31, 2018 decreased to 205.5 million and 206.6 million, respectively, from 209.1 million and 208.5 million, respectively, for the three and six months ended October 31, 2017. The decrease is due to share repurchases completed in the current year. During the six months ended October 31, 2018, we purchased and immediately retired 4.2 million shares at an aggregate cost of $97.1 million (average price of $23.27 per share). We did not repurchase and retire any shares during the six months ended October 31, 2017. The cost of shares retired during the current period was allocated to the components of stockholders’ equity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121"/>
        </w:trPr>
        <w:tc>
          <w:tcPr>
            <w:tcW w:w="88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104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ind w:right="21"/>
              <w:spacing w:after="0"/>
              <w:rPr>
                <w:sz w:val="20"/>
                <w:szCs w:val="20"/>
                <w:color w:val="auto"/>
              </w:rPr>
            </w:pPr>
            <w:r>
              <w:rPr>
                <w:rFonts w:ascii="Arial" w:cs="Arial" w:eastAsia="Arial" w:hAnsi="Arial"/>
                <w:sz w:val="16"/>
                <w:szCs w:val="16"/>
                <w:b w:val="1"/>
                <w:bCs w:val="1"/>
                <w:color w:val="auto"/>
              </w:rPr>
              <w:t>42</w:t>
            </w: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Additional paid-in-capital</w:t>
            </w:r>
          </w:p>
        </w:tc>
        <w:tc>
          <w:tcPr>
            <w:tcW w:w="10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2,503</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Retained earnings</w:t>
            </w:r>
          </w:p>
        </w:tc>
        <w:tc>
          <w:tcPr>
            <w:tcW w:w="10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94,560</w:t>
            </w: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97,105</w:t>
            </w:r>
          </w:p>
        </w:tc>
      </w:tr>
      <w:tr>
        <w:trPr>
          <w:trHeight w:val="122"/>
        </w:trPr>
        <w:tc>
          <w:tcPr>
            <w:tcW w:w="88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six months ended October 31, 2018, we also acquired 0.2 million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at an aggregate cost of $5.0 million, which represent shares swapped or surrendered to us in connection with the vesting or exercise of stock-based awards. During the six months ended October 31, 2017, we acquired 0.2 million shares at an aggregate cost of $7.6 million for similar purposes.</w:t>
      </w:r>
    </w:p>
    <w:p>
      <w:pPr>
        <w:spacing w:after="0" w:line="91"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During the six months ended October 31, 2018 and 2017, we issued 0.7 million and 2.1 million shares of common stock, respectively, due to the vesting or exercise of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296545</wp:posOffset>
            </wp:positionV>
            <wp:extent cx="222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sz w:val="20"/>
          <w:szCs w:val="20"/>
          <w:color w:val="auto"/>
        </w:rPr>
        <w:tab/>
      </w:r>
      <w:r>
        <w:rPr>
          <w:rFonts w:ascii="Arial" w:cs="Arial" w:eastAsia="Arial" w:hAnsi="Arial"/>
          <w:sz w:val="14"/>
          <w:szCs w:val="14"/>
          <w:color w:val="FFFFFF"/>
          <w:highlight w:val="black"/>
        </w:rPr>
        <w:t>7</w:t>
      </w:r>
    </w:p>
    <w:p>
      <w:pPr>
        <w:sectPr>
          <w:pgSz w:w="11900" w:h="16838" w:orient="portrait"/>
          <w:cols w:equalWidth="0" w:num="1">
            <w:col w:w="11420"/>
          </w:cols>
          <w:pgMar w:left="240" w:top="249"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six months ended October 31, 2018, we granted equity awards equivalent to 1.0 million shares under our stock-based compensation plans, consisting primarily of nonvested units. Stock-based compensation expense of our continuing operations totaled $7.5 million and $11.8 million for the three and six months ended October 31, 2018, respectively, and $6.8 million and $11.6 million for the three and six months ended October 31, 2017, respectively. As of October 31, 2018, unrecognized compensation cost for stock options totaled $0.9 million, and for nonvested shares and units totaled $37.9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October 31, 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color w:val="auto"/>
              </w:rPr>
              <w:t>October 31,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6"/>
                <w:szCs w:val="16"/>
                <w:color w:val="auto"/>
              </w:rPr>
              <w:t>April 30, 2018</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200" w:type="dxa"/>
            <w:vAlign w:val="bottom"/>
          </w:tcPr>
          <w:p>
            <w:pPr>
              <w:spacing w:after="0"/>
              <w:rPr>
                <w:sz w:val="22"/>
                <w:szCs w:val="22"/>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26,964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38,489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37,953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42,443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30,596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35,212</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6,033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41,572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5,503</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Instant Refund® receivables</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H&amp;R Block Emerald Advance® lines of</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7,418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10,988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28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8"/>
                <w:szCs w:val="18"/>
                <w:color w:val="auto"/>
              </w:rPr>
            </w:pP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9,103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20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10,198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7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3,147</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61,286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60,529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77,750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62,549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146,774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52,434</w:t>
            </w:r>
          </w:p>
        </w:tc>
        <w:tc>
          <w:tcPr>
            <w:tcW w:w="0" w:type="dxa"/>
            <w:vAlign w:val="bottom"/>
          </w:tcPr>
          <w:p>
            <w:pPr>
              <w:spacing w:after="0"/>
              <w:rPr>
                <w:sz w:val="1"/>
                <w:szCs w:val="1"/>
                <w:color w:val="auto"/>
              </w:rPr>
            </w:pPr>
          </w:p>
        </w:tc>
      </w:tr>
      <w:tr>
        <w:trPr>
          <w:trHeight w:val="122"/>
        </w:trPr>
        <w:tc>
          <w:tcPr>
            <w:tcW w:w="32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off-season working capital needs. As of October 31, 2018 and 2017, loans with a principal balance of $1.1 million and $2.3 million, respectively, were more than 90 days past due. We had no loans to franchisees on non-accrual status.</w:t>
      </w:r>
    </w:p>
    <w:p>
      <w:pPr>
        <w:spacing w:after="0" w:line="69"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INSTANT REFUND® PROGRAM </w:t>
      </w:r>
      <w:r>
        <w:rPr>
          <w:rFonts w:ascii="Arial" w:cs="Arial" w:eastAsia="Arial" w:hAnsi="Arial"/>
          <w:sz w:val="18"/>
          <w:szCs w:val="18"/>
          <w:color w:val="auto"/>
        </w:rPr>
        <w:t>– H&amp;R Block Instant Refund® (formerly Instant Cash Back®), amounts are generally received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Canada Revenue Agency (CRA) within 60 days of filing the client's return, with the remaining balance collectible from the client. As of October 31, 2018 and 2017, we had $19 thousand and $39 thousand, respectively, of Instant Refund® balances more than 60 days old due from the CRA.</w:t>
      </w:r>
    </w:p>
    <w:p>
      <w:pPr>
        <w:spacing w:after="0" w:line="9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As of October 31, 2018, gross balances of $2.6 million and $1.2 million, were related to tax returns for calendar year 2017 and 2016 and prior,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17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0" w:hanging="250"/>
        <w:spacing w:after="0"/>
        <w:tabs>
          <w:tab w:leader="none" w:pos="40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H&amp;R BLOCK EMERALD ADVANCE® LINES OF CREDIT </w:t>
      </w:r>
      <w:r>
        <w:rPr>
          <w:rFonts w:ascii="Arial" w:cs="Arial" w:eastAsia="Arial" w:hAnsi="Arial"/>
          <w:sz w:val="18"/>
          <w:szCs w:val="18"/>
          <w:color w:val="auto"/>
        </w:rPr>
        <w:t>– We review the credit quality of our purchased participation interests in EA</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based on pools, which are segregated by the year of origination, with older years being deemed more unlikely to be repaid. Beginning in fiscal year 2018, we now charge-off older balances in December while in prior years, these charge-offs happened in April. This change was made to align with our practices on other financial receivables. Balances and amounts on non-accrual status and classified as impaired, or more than 60 days past due, as of October 31, 2018 and 2017, by year of origination,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 October 31,</w:t>
            </w:r>
          </w:p>
        </w:tc>
        <w:tc>
          <w:tcPr>
            <w:tcW w:w="5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6"/>
                <w:szCs w:val="16"/>
                <w:color w:val="auto"/>
              </w:rPr>
              <w:t>2017</w:t>
            </w:r>
          </w:p>
        </w:tc>
        <w:tc>
          <w:tcPr>
            <w:tcW w:w="1280" w:type="dxa"/>
            <w:vAlign w:val="bottom"/>
            <w:tcBorders>
              <w:bottom w:val="single" w:sz="8" w:color="auto"/>
            </w:tcBorders>
          </w:tcPr>
          <w:p>
            <w:pPr>
              <w:spacing w:after="0"/>
              <w:rPr>
                <w:sz w:val="22"/>
                <w:szCs w:val="22"/>
                <w:color w:val="auto"/>
              </w:rPr>
            </w:pPr>
          </w:p>
        </w:tc>
      </w:tr>
      <w:tr>
        <w:trPr>
          <w:trHeight w:val="264"/>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Balance</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Non-Accrual</w:t>
            </w:r>
          </w:p>
        </w:tc>
        <w:tc>
          <w:tcPr>
            <w:tcW w:w="2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Year of origination:</w:t>
            </w: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Balance</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Non-Accrual</w:t>
            </w:r>
          </w:p>
        </w:tc>
      </w:tr>
      <w:tr>
        <w:trPr>
          <w:trHeight w:val="270"/>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23,457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23,457</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2017</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8,641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8,641</w:t>
            </w:r>
          </w:p>
        </w:tc>
      </w:tr>
      <w:tr>
        <w:trPr>
          <w:trHeight w:val="260"/>
        </w:trPr>
        <w:tc>
          <w:tcPr>
            <w:tcW w:w="2200" w:type="dxa"/>
            <w:vAlign w:val="bottom"/>
          </w:tcPr>
          <w:p>
            <w:pPr>
              <w:ind w:left="180"/>
              <w:spacing w:after="0"/>
              <w:rPr>
                <w:sz w:val="20"/>
                <w:szCs w:val="20"/>
                <w:color w:val="auto"/>
              </w:rPr>
            </w:pPr>
            <w:r>
              <w:rPr>
                <w:rFonts w:ascii="Arial" w:cs="Arial" w:eastAsia="Arial" w:hAnsi="Arial"/>
                <w:sz w:val="16"/>
                <w:szCs w:val="16"/>
                <w:color w:val="auto"/>
              </w:rPr>
              <w:t>2017 and prior</w:t>
            </w:r>
          </w:p>
        </w:tc>
        <w:tc>
          <w:tcPr>
            <w:tcW w:w="58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7,749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7,749</w:t>
            </w:r>
          </w:p>
        </w:tc>
        <w:tc>
          <w:tcPr>
            <w:tcW w:w="2140" w:type="dxa"/>
            <w:vAlign w:val="bottom"/>
          </w:tcPr>
          <w:p>
            <w:pPr>
              <w:ind w:left="280"/>
              <w:spacing w:after="0"/>
              <w:rPr>
                <w:sz w:val="20"/>
                <w:szCs w:val="20"/>
                <w:color w:val="auto"/>
              </w:rPr>
            </w:pPr>
            <w:r>
              <w:rPr>
                <w:rFonts w:ascii="Arial" w:cs="Arial" w:eastAsia="Arial" w:hAnsi="Arial"/>
                <w:sz w:val="16"/>
                <w:szCs w:val="16"/>
                <w:color w:val="auto"/>
              </w:rPr>
              <w:t>2016 and prior</w:t>
            </w:r>
          </w:p>
        </w:tc>
        <w:tc>
          <w:tcPr>
            <w:tcW w:w="5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6,717</w:t>
            </w:r>
          </w:p>
        </w:tc>
      </w:tr>
      <w:tr>
        <w:trPr>
          <w:trHeight w:val="273"/>
        </w:trPr>
        <w:tc>
          <w:tcPr>
            <w:tcW w:w="2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Revolving loans</w:t>
            </w:r>
          </w:p>
        </w:tc>
        <w:tc>
          <w:tcPr>
            <w:tcW w:w="5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13,822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11,974</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Revolving loans</w:t>
            </w:r>
          </w:p>
        </w:tc>
        <w:tc>
          <w:tcPr>
            <w:tcW w:w="5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15,069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12,579</w:t>
            </w:r>
          </w:p>
        </w:tc>
      </w:tr>
      <w:tr>
        <w:trPr>
          <w:trHeight w:val="250"/>
        </w:trPr>
        <w:tc>
          <w:tcPr>
            <w:tcW w:w="2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45,028</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43,180</w:t>
            </w:r>
          </w:p>
        </w:tc>
        <w:tc>
          <w:tcPr>
            <w:tcW w:w="2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30,427</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27,937</w:t>
            </w:r>
          </w:p>
        </w:tc>
      </w:tr>
      <w:tr>
        <w:trPr>
          <w:trHeight w:val="270"/>
        </w:trPr>
        <w:tc>
          <w:tcPr>
            <w:tcW w:w="2200" w:type="dxa"/>
            <w:vAlign w:val="bottom"/>
            <w:tcBorders>
              <w:top w:val="single" w:sz="8" w:color="CCEEFF"/>
            </w:tcBorders>
            <w:shd w:val="clear" w:color="auto" w:fill="CCEEFF"/>
          </w:tcPr>
          <w:p>
            <w:pPr>
              <w:ind w:left="180"/>
              <w:spacing w:after="0" w:line="270" w:lineRule="exact"/>
              <w:rPr>
                <w:sz w:val="20"/>
                <w:szCs w:val="20"/>
                <w:color w:val="auto"/>
              </w:rPr>
            </w:pPr>
            <w:r>
              <w:rPr>
                <w:rFonts w:ascii="Arial" w:cs="Arial" w:eastAsia="Arial" w:hAnsi="Arial"/>
                <w:sz w:val="16"/>
                <w:szCs w:val="16"/>
                <w:color w:val="auto"/>
              </w:rPr>
              <w:t xml:space="preserve">Allowance </w:t>
            </w:r>
            <w:r>
              <w:rPr>
                <w:rFonts w:ascii="Arial" w:cs="Arial" w:eastAsia="Arial" w:hAnsi="Arial"/>
                <w:sz w:val="27"/>
                <w:szCs w:val="27"/>
                <w:color w:val="auto"/>
                <w:vertAlign w:val="superscript"/>
              </w:rPr>
              <w:t>(1)</w:t>
            </w:r>
          </w:p>
        </w:tc>
        <w:tc>
          <w:tcPr>
            <w:tcW w:w="580" w:type="dxa"/>
            <w:vAlign w:val="bottom"/>
            <w:tcBorders>
              <w:top w:val="single" w:sz="8" w:color="CCEEFF"/>
              <w:bottom w:val="single" w:sz="8" w:color="auto"/>
            </w:tcBorders>
            <w:shd w:val="clear" w:color="auto" w:fill="CCEEFF"/>
          </w:tcPr>
          <w:p>
            <w:pPr>
              <w:spacing w:after="0"/>
              <w:rPr>
                <w:sz w:val="23"/>
                <w:szCs w:val="23"/>
                <w:color w:val="auto"/>
              </w:rPr>
            </w:pP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(26,622)</w:t>
            </w: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2140" w:type="dxa"/>
            <w:vAlign w:val="bottom"/>
            <w:tcBorders>
              <w:top w:val="single" w:sz="8" w:color="CCEEFF"/>
            </w:tcBorders>
            <w:shd w:val="clear" w:color="auto" w:fill="CCEEFF"/>
          </w:tcPr>
          <w:p>
            <w:pPr>
              <w:ind w:left="280"/>
              <w:spacing w:after="0" w:line="270" w:lineRule="exact"/>
              <w:rPr>
                <w:sz w:val="20"/>
                <w:szCs w:val="20"/>
                <w:color w:val="auto"/>
              </w:rPr>
            </w:pPr>
            <w:r>
              <w:rPr>
                <w:rFonts w:ascii="Arial" w:cs="Arial" w:eastAsia="Arial" w:hAnsi="Arial"/>
                <w:sz w:val="16"/>
                <w:szCs w:val="16"/>
                <w:color w:val="auto"/>
              </w:rPr>
              <w:t xml:space="preserve">Allowance </w:t>
            </w:r>
            <w:r>
              <w:rPr>
                <w:rFonts w:ascii="Arial" w:cs="Arial" w:eastAsia="Arial" w:hAnsi="Arial"/>
                <w:sz w:val="27"/>
                <w:szCs w:val="27"/>
                <w:color w:val="auto"/>
                <w:vertAlign w:val="superscript"/>
              </w:rPr>
              <w:t>(1)</w:t>
            </w:r>
          </w:p>
        </w:tc>
        <w:tc>
          <w:tcPr>
            <w:tcW w:w="580" w:type="dxa"/>
            <w:vAlign w:val="bottom"/>
            <w:tcBorders>
              <w:top w:val="single" w:sz="8" w:color="CCEEFF"/>
              <w:bottom w:val="single" w:sz="8" w:color="auto"/>
            </w:tcBorders>
            <w:shd w:val="clear" w:color="auto" w:fill="CCEEFF"/>
          </w:tcPr>
          <w:p>
            <w:pPr>
              <w:spacing w:after="0"/>
              <w:rPr>
                <w:sz w:val="23"/>
                <w:szCs w:val="23"/>
                <w:color w:val="auto"/>
              </w:rPr>
            </w:pPr>
          </w:p>
        </w:tc>
        <w:tc>
          <w:tcPr>
            <w:tcW w:w="1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(10,123)</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44"/>
        </w:trPr>
        <w:tc>
          <w:tcPr>
            <w:tcW w:w="2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balance</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18,406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21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balance</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20,304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r>
      <w:tr>
        <w:trPr>
          <w:trHeight w:val="122"/>
        </w:trPr>
        <w:tc>
          <w:tcPr>
            <w:tcW w:w="2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05"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As of October 31, 2018, the allowance relates to estimated uncollectible balances from the 2018 tax season and past due revolving loans. As of October 31, 2017, the allowance related solely to revolving loans.</w:t>
      </w:r>
    </w:p>
    <w:p>
      <w:pPr>
        <w:spacing w:after="0" w:line="71" w:lineRule="exact"/>
        <w:rPr>
          <w:sz w:val="20"/>
          <w:szCs w:val="20"/>
          <w:color w:val="auto"/>
        </w:rPr>
      </w:pPr>
    </w:p>
    <w:p>
      <w:pPr>
        <w:ind w:right="20" w:firstLine="216"/>
        <w:spacing w:after="0" w:line="28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 Activity in the allowance for doubtful accounts for our EA and all other short-term and long-term receivables for the six months ended October 31, 2018 and 2017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All Other</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Total</w:t>
            </w: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2018</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26,622</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55,191</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81,813</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6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2,350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2,350</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Recoveries</w:t>
            </w:r>
          </w:p>
        </w:tc>
        <w:tc>
          <w:tcPr>
            <w:tcW w:w="6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(3,020)</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Charge-offs and other</w:t>
            </w:r>
          </w:p>
        </w:tc>
        <w:tc>
          <w:tcPr>
            <w:tcW w:w="6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(1,176)</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(1,176)</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October 31, 2018</w:t>
            </w:r>
          </w:p>
        </w:tc>
        <w:tc>
          <w:tcPr>
            <w:tcW w:w="66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26,622</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53,345</w:t>
            </w:r>
          </w:p>
        </w:tc>
        <w:tc>
          <w:tcPr>
            <w:tcW w:w="12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79,967</w:t>
            </w:r>
          </w:p>
        </w:tc>
      </w:tr>
      <w:tr>
        <w:trPr>
          <w:trHeight w:val="284"/>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2017</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10,123</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46,552</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56,675</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6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4,238</w:t>
            </w:r>
          </w:p>
        </w:tc>
      </w:tr>
      <w:tr>
        <w:trPr>
          <w:trHeight w:val="27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Charge-offs, net of recoveries</w:t>
            </w:r>
          </w:p>
        </w:tc>
        <w:tc>
          <w:tcPr>
            <w:tcW w:w="6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w:t>
            </w:r>
          </w:p>
        </w:tc>
      </w:tr>
      <w:tr>
        <w:trPr>
          <w:trHeight w:val="250"/>
        </w:trPr>
        <w:tc>
          <w:tcPr>
            <w:tcW w:w="5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October 31, 2017</w:t>
            </w:r>
          </w:p>
        </w:tc>
        <w:tc>
          <w:tcPr>
            <w:tcW w:w="6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10,123</w:t>
            </w:r>
          </w:p>
        </w:tc>
        <w:tc>
          <w:tcPr>
            <w:tcW w:w="10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46,521</w:t>
            </w:r>
          </w:p>
        </w:tc>
        <w:tc>
          <w:tcPr>
            <w:tcW w:w="1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56,644</w:t>
            </w:r>
          </w:p>
        </w:tc>
      </w:tr>
      <w:tr>
        <w:trPr>
          <w:trHeight w:val="122"/>
        </w:trPr>
        <w:tc>
          <w:tcPr>
            <w:tcW w:w="56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514350</wp:posOffset>
            </wp:positionV>
            <wp:extent cx="2228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380"/>
        <w:spacing w:after="0"/>
        <w:tabs>
          <w:tab w:leader="none" w:pos="1118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sz w:val="20"/>
          <w:szCs w:val="20"/>
          <w:color w:val="auto"/>
        </w:rPr>
        <w:tab/>
      </w:r>
      <w:r>
        <w:rPr>
          <w:rFonts w:ascii="Arial" w:cs="Arial" w:eastAsia="Arial" w:hAnsi="Arial"/>
          <w:sz w:val="14"/>
          <w:szCs w:val="14"/>
          <w:color w:val="FFFFFF"/>
          <w:highlight w:val="black"/>
        </w:rPr>
        <w:t>9</w:t>
      </w:r>
    </w:p>
    <w:p>
      <w:pPr>
        <w:sectPr>
          <w:pgSz w:w="11900" w:h="16838" w:orient="portrait"/>
          <w:cols w:equalWidth="0" w:num="1">
            <w:col w:w="11420"/>
          </w:cols>
          <w:pgMar w:left="240" w:top="24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October 31, 2018 and 2017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17"/>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w:t>
            </w: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5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Impairment Losses</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Net</w:t>
            </w:r>
          </w:p>
        </w:tc>
      </w:tr>
      <w:tr>
        <w:trPr>
          <w:trHeight w:val="257"/>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2018</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540,168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507,871</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6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624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624</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(1,304)</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Impairments</w:t>
            </w:r>
          </w:p>
        </w:tc>
        <w:tc>
          <w:tcPr>
            <w:tcW w:w="6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October 31, 2018</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539,488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507,191</w:t>
            </w:r>
          </w:p>
        </w:tc>
      </w:t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7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2017</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491,207</w:t>
            </w:r>
          </w:p>
        </w:tc>
      </w:tr>
      <w:tr>
        <w:trPr>
          <w:trHeight w:val="260"/>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Acquisitions</w:t>
            </w:r>
          </w:p>
        </w:tc>
        <w:tc>
          <w:tcPr>
            <w:tcW w:w="6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961</w:t>
            </w:r>
          </w:p>
        </w:tc>
      </w:tr>
      <w:tr>
        <w:trPr>
          <w:trHeight w:val="280"/>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6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891</w:t>
            </w:r>
          </w:p>
        </w:tc>
      </w:tr>
      <w:tr>
        <w:trPr>
          <w:trHeight w:val="264"/>
        </w:trPr>
        <w:tc>
          <w:tcPr>
            <w:tcW w:w="5740" w:type="dxa"/>
            <w:vAlign w:val="bottom"/>
            <w:gridSpan w:val="2"/>
          </w:tcPr>
          <w:p>
            <w:pPr>
              <w:ind w:left="40"/>
              <w:spacing w:after="0"/>
              <w:rPr>
                <w:sz w:val="20"/>
                <w:szCs w:val="20"/>
                <w:color w:val="auto"/>
              </w:rPr>
            </w:pPr>
            <w:r>
              <w:rPr>
                <w:rFonts w:ascii="Arial" w:cs="Arial" w:eastAsia="Arial" w:hAnsi="Arial"/>
                <w:sz w:val="16"/>
                <w:szCs w:val="16"/>
                <w:color w:val="auto"/>
              </w:rPr>
              <w:t>Impairments</w:t>
            </w:r>
          </w:p>
        </w:tc>
        <w:tc>
          <w:tcPr>
            <w:tcW w:w="6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57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October 31, 2017</w:t>
            </w:r>
          </w:p>
        </w:tc>
        <w:tc>
          <w:tcPr>
            <w:tcW w:w="60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525,356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493,059</w:t>
            </w:r>
          </w:p>
        </w:tc>
      </w:tr>
      <w:tr>
        <w:trPr>
          <w:trHeight w:val="122"/>
        </w:trPr>
        <w:tc>
          <w:tcPr>
            <w:tcW w:w="5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 000s)</w:t>
            </w: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Gross</w:t>
            </w: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Carrying</w:t>
            </w:r>
          </w:p>
        </w:tc>
        <w:tc>
          <w:tcPr>
            <w:tcW w:w="52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Accumulated</w:t>
            </w: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8"/>
        </w:trPr>
        <w:tc>
          <w:tcPr>
            <w:tcW w:w="5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Net</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October 31, 2018:</w:t>
            </w: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339,719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(124,733)</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214,986</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256,739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(179,011)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77,728</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142,147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(117,060)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25,087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32,879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(30,596)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2,283</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19,201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(12,694)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6,507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54,700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14,054</w:t>
            </w:r>
          </w:p>
        </w:tc>
      </w:tr>
      <w:tr>
        <w:trPr>
          <w:trHeight w:val="270"/>
        </w:trPr>
        <w:tc>
          <w:tcPr>
            <w:tcW w:w="538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23,879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23,879</w:t>
            </w:r>
          </w:p>
        </w:tc>
      </w:tr>
      <w:tr>
        <w:trPr>
          <w:trHeight w:val="250"/>
        </w:trPr>
        <w:tc>
          <w:tcPr>
            <w:tcW w:w="5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869,264</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(504,740)</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364,524</w:t>
            </w:r>
          </w:p>
        </w:tc>
      </w:tr>
      <w:tr>
        <w:trPr>
          <w:trHeight w:val="254"/>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As of October 31, 2017:</w:t>
            </w: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331,290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229,303</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234,909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(147,881)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87,028</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146,985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(117,162)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29,823</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32,471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(28,644)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3,827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7,787</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54,700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(34,889)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19,811</w:t>
            </w:r>
          </w:p>
        </w:tc>
      </w:tr>
      <w:tr>
        <w:trPr>
          <w:trHeight w:val="280"/>
        </w:trPr>
        <w:tc>
          <w:tcPr>
            <w:tcW w:w="538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28,861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28,861</w:t>
            </w:r>
          </w:p>
        </w:tc>
      </w:tr>
      <w:tr>
        <w:trPr>
          <w:trHeight w:val="244"/>
        </w:trPr>
        <w:tc>
          <w:tcPr>
            <w:tcW w:w="52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848,417</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(441,977)</w:t>
            </w: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406,440</w:t>
            </w:r>
          </w:p>
        </w:tc>
      </w:tr>
      <w:tr>
        <w:trPr>
          <w:trHeight w:val="27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April 30, 2018:</w:t>
            </w:r>
          </w:p>
        </w:tc>
        <w:tc>
          <w:tcPr>
            <w:tcW w:w="6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339,779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(113,856)</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225,923</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256,137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(164,005)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92,132</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140,255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(111,734)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28,521</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32,899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w:t>
            </w:r>
          </w:p>
        </w:tc>
      </w:tr>
      <w:tr>
        <w:trPr>
          <w:trHeight w:val="260"/>
        </w:trPr>
        <w:tc>
          <w:tcPr>
            <w:tcW w:w="538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6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(12,054)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7,147</w:t>
            </w:r>
          </w:p>
        </w:tc>
      </w:tr>
      <w:tr>
        <w:trPr>
          <w:trHeight w:val="280"/>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6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16,930</w:t>
            </w:r>
          </w:p>
        </w:tc>
      </w:tr>
      <w:tr>
        <w:trPr>
          <w:trHeight w:val="270"/>
        </w:trPr>
        <w:tc>
          <w:tcPr>
            <w:tcW w:w="538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7"/>
                <w:szCs w:val="27"/>
                <w:color w:val="auto"/>
                <w:vertAlign w:val="superscript"/>
              </w:rPr>
              <w:t>(1)</w:t>
            </w:r>
          </w:p>
        </w:tc>
        <w:tc>
          <w:tcPr>
            <w:tcW w:w="680" w:type="dxa"/>
            <w:vAlign w:val="bottom"/>
          </w:tcPr>
          <w:p>
            <w:pPr>
              <w:spacing w:after="0"/>
              <w:rPr>
                <w:sz w:val="23"/>
                <w:szCs w:val="23"/>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244"/>
        </w:trPr>
        <w:tc>
          <w:tcPr>
            <w:tcW w:w="5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843,073</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(469,092)</w:t>
            </w:r>
          </w:p>
        </w:tc>
        <w:tc>
          <w:tcPr>
            <w:tcW w:w="10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Represents business acquisitions for which final purchase price allocations have not yet been determined.</w:t>
      </w:r>
    </w:p>
    <w:p>
      <w:pPr>
        <w:spacing w:after="0" w:line="92"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During the six months ended October 31, 2018 and 2017, we made payments to acquire franchisee and competitor businesses totaling $24.5 million and $27.5 million, respectively.</w:t>
      </w:r>
    </w:p>
    <w:p>
      <w:pPr>
        <w:spacing w:after="0" w:line="8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Amortization of intangible assets for the three and six months ended October 31, 2018 was $17.6 million and $35.7 million, respectively. Amortization for the three and six months ended October 31, 2017 was $19.4 million and $38.7 million, respectively. Estimated amortization of intangible assets for fiscal years 2019, 2020, 2021, 2022 and 2023 is $69.7 million, $53.4 million, $38.0 million, $25.7 million and $13.4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301625</wp:posOffset>
            </wp:positionV>
            <wp:extent cx="2228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ectPr>
          <w:pgSz w:w="11900" w:h="16838" w:orient="portrait"/>
          <w:cols w:equalWidth="0" w:num="1">
            <w:col w:w="11420"/>
          </w:cols>
          <w:pgMar w:left="240" w:top="24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October 31, 2018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October 31, 2017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April 30, 2018</w:t>
            </w:r>
          </w:p>
        </w:tc>
      </w:tr>
      <w:tr>
        <w:trPr>
          <w:trHeight w:val="25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4.125%, due October 2020</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650,000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650,000</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650,000</w:t>
            </w: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Senior Notes, 5.500%, due November 2022</w:t>
            </w:r>
          </w:p>
        </w:tc>
        <w:tc>
          <w:tcPr>
            <w:tcW w:w="440" w:type="dxa"/>
            <w:vAlign w:val="bottom"/>
          </w:tcPr>
          <w:p>
            <w:pPr>
              <w:spacing w:after="0"/>
              <w:rPr>
                <w:sz w:val="22"/>
                <w:szCs w:val="22"/>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500,000</w:t>
            </w:r>
          </w:p>
        </w:tc>
      </w:tr>
      <w:tr>
        <w:trPr>
          <w:trHeight w:val="28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5.250%, due October 2025</w:t>
            </w:r>
          </w:p>
        </w:tc>
        <w:tc>
          <w:tcPr>
            <w:tcW w:w="4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350,000</w:t>
            </w: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Capital lease obligation</w:t>
            </w:r>
          </w:p>
        </w:tc>
        <w:tc>
          <w:tcPr>
            <w:tcW w:w="440" w:type="dxa"/>
            <w:vAlign w:val="bottom"/>
          </w:tcPr>
          <w:p>
            <w:pPr>
              <w:spacing w:after="0"/>
              <w:rPr>
                <w:sz w:val="22"/>
                <w:szCs w:val="22"/>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6,125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5,628</w:t>
            </w:r>
          </w:p>
        </w:tc>
      </w:tr>
      <w:tr>
        <w:trPr>
          <w:trHeight w:val="27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issuance costs and discounts</w:t>
            </w:r>
          </w:p>
        </w:tc>
        <w:tc>
          <w:tcPr>
            <w:tcW w:w="4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(8,672)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(11,293)</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(9,993)</w:t>
            </w:r>
          </w:p>
        </w:tc>
      </w:tr>
      <w:tr>
        <w:trPr>
          <w:trHeight w:val="247"/>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1,491,328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1,494,832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1,495,635</w:t>
            </w:r>
          </w:p>
        </w:tc>
      </w:tr>
      <w:tr>
        <w:trPr>
          <w:trHeight w:val="27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44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w:t>
            </w:r>
          </w:p>
        </w:tc>
      </w:tr>
      <w:tr>
        <w:trPr>
          <w:trHeight w:val="250"/>
        </w:trPr>
        <w:tc>
          <w:tcPr>
            <w:tcW w:w="43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1,491,328</w:t>
            </w: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1,493,828</w:t>
            </w:r>
          </w:p>
        </w:tc>
        <w:tc>
          <w:tcPr>
            <w:tcW w:w="1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1,494,609</w:t>
            </w:r>
          </w:p>
        </w:tc>
      </w:tr>
      <w:tr>
        <w:trPr>
          <w:trHeight w:val="122"/>
        </w:trPr>
        <w:tc>
          <w:tcPr>
            <w:tcW w:w="43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7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7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On September 21, 2018, we entered into a Third Amended and Restated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 Agreement (2018 CLOC), which amended and restated our Second Amended and Restated Credit and Guarantee Agreement (2017 CLOC), extending the scheduled maturity date from September 22, 2022 to September 21, 2023. Other material terms remain unchanged from our 2017 CLOC. The 2018 CLOC provides for an unsecured senior 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2018 CLOC will mature on September 21, 2023,</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unless extended pursuant to the terms of the 2018 CLOC, at which time all outstanding amounts thereunder will be due and payable. The 2018 CLOC includes an annual facility fee, which will vary depending on our then current credit ratings.</w:t>
      </w:r>
    </w:p>
    <w:p>
      <w:pPr>
        <w:spacing w:after="0" w:line="8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2018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2018 CLOC includes provisions for an equity cure which could potentially allow us to independently cure certain defaults. Proceeds under the 2018 CLOC may be used for working capital needs or for other general corporate purposes. We were in compliance with these requirements as of October 31, 2018.</w:t>
      </w:r>
    </w:p>
    <w:p>
      <w:pPr>
        <w:spacing w:after="0" w:line="10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had no outstanding balance under the 2018 CLOC as of October 31, 2018, and amounts available to borrow were limited by the debt-to-EBITDA covenant to approximately $1.7 billion as of October 31, 2018.</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October 2018, we exercised a purchase option to acquire an office building previously recorded as a capital lease.</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estimated fair value of our long-term debt as of October 31, 2018 and 2017 and April 30, 2018 totaled $1.5 billion, $1.6 billion and $1.5 billion,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The Company's U.S. federal income tax return for 2016 is currently under examination. Our U.S. federal income tax return for 2015 remains open for examination. Our U.S. federal income tax returns for 2014 and all prior periods are closed. With respect to state and local jurisdictions and countries outside of the U.S., we are typically subject to examination for three to six years after the income tax returns have been filed. Although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17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hanging="290"/>
        <w:spacing w:after="0"/>
        <w:tabs>
          <w:tab w:leader="none" w:pos="40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tax audits are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8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On December 22, 2017, the U.S. government enacted the Tax Legislation, which made broad and complex changes to the U.S. tax code that impacted our financial statements, the most significant being a reduction in the U.S. federal corporate income tax rate from 35% to 21% and the imposition of a one-time transition tax on certain earnings of foreign subsidiaries. In addition, the Securities and Exchange Commission (SEC) staff issued Staff Accounting Bulletin 118 (SAB 118), which provides guidance on accounting for the tax effects of the Tax Legislation. SAB 118 provides a measurement period that should not extend beyond one year from the Tax Legislation’s enactment date for companies to complete their analysis and apply the provisions of the Tax Legislation to their financial statements. To the extent a company’s accounting for certain income tax effects of the Tax Legislation is incomplete but the company is able to determine a reasonable estimate, it must record a provisional estimate in the financial statements. If a company cannot determine a provisional estimate to be included in the financial statements, it should continue to apply the provisions of the tax laws that were in effect immediately before the enactment of the Tax Legislation.</w:t>
      </w:r>
    </w:p>
    <w:p>
      <w:pPr>
        <w:spacing w:after="0" w:line="10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second quarter of fiscal year 2019, we filed our calendar year 2017 U.S. federal income tax return and continued our assessment of the corporate income tax impacts of the Tax Legislation. During the six months ended October 31, 2018, the Company recognized immaterial adjustments to the provisional amounts recorded as of April 30, 2018 and included these adjustments as a component of income tax expense from continuing operations. Our financial statements reflect reasonable provisional estimates of the effects of the Tax Legislation in computing our deferred taxes, the one-time transition tax, the impact of global intangible low taxed income (GILTI), unrecognized tax benefits, and the indirect impacts of the Tax Legislation on state and local taxes.</w:t>
      </w:r>
    </w:p>
    <w:p>
      <w:pPr>
        <w:spacing w:after="0" w:line="10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are in the process of finalizing our assessment of the impact of the Tax Legislation and our provisional estimates may change as a result of additional analysis of the underlying calculations, or additional regulatory guidance that clarifies the interpretations of the Tax Legislation. As we interpret additional guidance issued by the IRS, U.S. Department of the Treasury, or other standard-setting organizations, and consult with outside advisors, we may adjust these provisional amounts in accordance with SAB 118. The final adjustments will be recorded in the third quarter of fiscal year 2019 and may differ from the estimates provided and could have a material impact on our financial statements. Additionally, due to the complexity of the Tax Legislation as it relates to GILTI, we are continuing to evaluate how the income tax provision will be accounted for under GAAP, which permits companies to make an accounting policy election to either (i) account for GILTI as a component of tax expense in the period in which the company is subject to the rules, or (ii) account for GILTI in the company's measurement of deferred taxes. Currently, we have not elected a method.</w:t>
      </w:r>
    </w:p>
    <w:p>
      <w:pPr>
        <w:spacing w:after="0" w:line="10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Consistent with prior years, our pretax loss for the six months ended October 31, 2018 is expected to be offset by income in the fourth quarter due to the established pattern of seasonality in our primary business operations. As such, management has determined that it is at least more-likely-than-not that realization of tax benefits recorded in our financial statements will occur within our fiscal year. The amount of tax benefit recorded for the six months ended October 31, 2018 reflects management’s estimate of the annual effective tax rate applied to the year-to-date loss from continuing operations adjusted for the tax impact of items discrete to the quarter.</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effective tax rate from continuing operations, including the effects of discrete income tax items, was 25.8% and 37.5% for the six months ended October 31, 2018 and 2017, respectively. The reduced effective tax rate results primarily from the decrease in the U.S. federal corporate income tax rate from 35% to 21%, effective January 1, 2018.</w:t>
      </w:r>
    </w:p>
    <w:p>
      <w:pPr>
        <w:spacing w:after="0" w:line="9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had gross unrecognized tax benefits of $189.6 million, $132.9 million and $186.1 million as of October 31, 2018 and 2017 and April 30, 2018, respectively. The gross unrecognized tax benefits increased $3.5 million and decreased $17.0 million during the six months ended October 31, 2018 and 2017, respectively. We believe it is reasonably possible that the balance of unrecognized tax benefits could decrease by approximately $31.1 million within the next twelve months. The anticipated decrease is due to the expiration of statutes of limitations, and anticipated closure of various tax matters currently under examination, and settlements with tax authorities. For such matters where a change in the balance of unrecognized tax benefits is not reasonably possible, no estimate has been included.</w:t>
      </w:r>
    </w:p>
    <w:p>
      <w:pPr>
        <w:spacing w:after="0" w:line="101" w:lineRule="exact"/>
        <w:rPr>
          <w:sz w:val="20"/>
          <w:szCs w:val="20"/>
          <w:color w:val="auto"/>
        </w:rPr>
      </w:pPr>
    </w:p>
    <w:p>
      <w:pPr>
        <w:jc w:val="both"/>
        <w:ind w:right="20" w:firstLine="216"/>
        <w:spacing w:after="0" w:line="262" w:lineRule="auto"/>
        <w:rPr>
          <w:sz w:val="20"/>
          <w:szCs w:val="20"/>
          <w:color w:val="auto"/>
        </w:rPr>
      </w:pPr>
      <w:r>
        <w:rPr>
          <w:rFonts w:ascii="Arial" w:cs="Arial" w:eastAsia="Arial" w:hAnsi="Arial"/>
          <w:sz w:val="18"/>
          <w:szCs w:val="18"/>
          <w:color w:val="auto"/>
        </w:rPr>
        <w:t>The increase in noncurrent deferred tax assets and income taxes receivable of $96.9 million from April 30, 2018 is primarily due to the adoption of ASU 2016-16. See note 1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296545</wp:posOffset>
            </wp:positionV>
            <wp:extent cx="2228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ectPr>
          <w:pgSz w:w="11900" w:h="16838" w:orient="portrait"/>
          <w:cols w:equalWidth="0" w:num="1">
            <w:col w:w="11420"/>
          </w:cols>
          <w:pgMar w:left="240" w:top="249"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Three months ended October 31,</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color w:val="auto"/>
              </w:rPr>
              <w:t>Six months ended October 31,</w:t>
            </w:r>
          </w:p>
        </w:tc>
      </w:tr>
      <w:tr>
        <w:trPr>
          <w:trHeight w:val="264"/>
        </w:trPr>
        <w:tc>
          <w:tcPr>
            <w:tcW w:w="4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2017</w:t>
            </w:r>
          </w:p>
        </w:tc>
      </w:tr>
      <w:tr>
        <w:trPr>
          <w:trHeight w:val="257"/>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4,505</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9,002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2,755</w:t>
            </w:r>
          </w:p>
        </w:tc>
      </w:tr>
      <w:tr>
        <w:trPr>
          <w:trHeight w:val="260"/>
        </w:trPr>
        <w:tc>
          <w:tcPr>
            <w:tcW w:w="4600" w:type="dxa"/>
            <w:vAlign w:val="bottom"/>
            <w:gridSpan w:val="3"/>
          </w:tcPr>
          <w:p>
            <w:pPr>
              <w:ind w:left="180"/>
              <w:spacing w:after="0"/>
              <w:rPr>
                <w:sz w:val="20"/>
                <w:szCs w:val="20"/>
                <w:color w:val="auto"/>
              </w:rPr>
            </w:pPr>
            <w:r>
              <w:rPr>
                <w:rFonts w:ascii="Arial" w:cs="Arial" w:eastAsia="Arial" w:hAnsi="Arial"/>
                <w:sz w:val="16"/>
                <w:szCs w:val="16"/>
                <w:color w:val="auto"/>
              </w:rPr>
              <w:t>Foreign currency gains (losses), net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3"/>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50"/>
        </w:trPr>
        <w:tc>
          <w:tcPr>
            <w:tcW w:w="46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4,464</w:t>
            </w:r>
          </w:p>
        </w:tc>
        <w:tc>
          <w:tcPr>
            <w:tcW w:w="100" w:type="dxa"/>
            <w:vAlign w:val="bottom"/>
          </w:tcPr>
          <w:p>
            <w:pPr>
              <w:spacing w:after="0"/>
              <w:rPr>
                <w:sz w:val="21"/>
                <w:szCs w:val="21"/>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9,006</w:t>
            </w:r>
          </w:p>
        </w:tc>
        <w:tc>
          <w:tcPr>
            <w:tcW w:w="100" w:type="dxa"/>
            <w:vAlign w:val="bottom"/>
          </w:tcPr>
          <w:p>
            <w:pPr>
              <w:spacing w:after="0"/>
              <w:rPr>
                <w:sz w:val="21"/>
                <w:szCs w:val="21"/>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2,231</w:t>
            </w:r>
          </w:p>
        </w:tc>
      </w:tr>
      <w:tr>
        <w:trPr>
          <w:trHeight w:val="122"/>
        </w:trPr>
        <w:tc>
          <w:tcPr>
            <w:tcW w:w="41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40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1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$7.1 million, $3.6 million and $ 9.4 million as of October 31, 2018 and 2017 and April 30, 2018, respectively. The short-term and long-term portions of this liability are included in deferred revenue and other liabilities in the consolidated balance sheets.</w:t>
      </w:r>
    </w:p>
    <w:p>
      <w:pPr>
        <w:spacing w:after="0" w:line="10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liability related to acquisitions for estimated contingent consideration was $11.5 million, $10.1 million and $12.1 million as of October 31, 2018 and 2017 and April 30, 2018, respectively, with amounts recorded in deferred revenue and other liabilities. Estimates of contingent payments are typically based on expected financial performance of the acquired business and economic conditions at the time of acquisition. Should actual results differ from our assumptions,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$32.2 million at October 31, 2018, and net of amounts drawn and outstanding, our remaining commitment to fund totaled $12.7 million.</w:t>
      </w:r>
    </w:p>
    <w:p>
      <w:pPr>
        <w:spacing w:after="0" w:line="7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b w:val="1"/>
          <w:bCs w:val="1"/>
          <w:color w:val="auto"/>
        </w:rPr>
        <w:t xml:space="preserve">LOSS CONTINGENCIES PERTAINING TO DISCONTINUED MORTGAGE OPERATIONS </w:t>
      </w:r>
      <w:r>
        <w:rPr>
          <w:rFonts w:ascii="Arial" w:cs="Arial" w:eastAsia="Arial" w:hAnsi="Arial"/>
          <w:sz w:val="18"/>
          <w:szCs w:val="18"/>
          <w:color w:val="auto"/>
        </w:rPr>
        <w:t>– SCC ceased originating mortgage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in April 2008, sold its servicing assets and discontinued its remaining operations. 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w:t>
      </w:r>
    </w:p>
    <w:p>
      <w:pPr>
        <w:spacing w:after="0" w:line="9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SCC accrues a liability for losses related to representation and warranty claims when those losses are believed to be both probable and reasonably estimable. SCC’s loss estimate is based on the best information currently available, management judgment, developments in relevant case law, and the terms of bulk settlements. In periods when a liability is accrued for such loss contingencies, the liability is included in deferred revenue and other current liabilities on the consolidated balance sheets. SCC had no liability accrued for these losses as of October 31, 2018 or April 30, 2018, compared to $4.5 million at October 31, 2017.</w:t>
      </w:r>
    </w:p>
    <w:p>
      <w:pPr>
        <w:spacing w:after="0" w:line="97" w:lineRule="exact"/>
        <w:rPr>
          <w:sz w:val="20"/>
          <w:szCs w:val="20"/>
          <w:color w:val="auto"/>
        </w:rPr>
      </w:pPr>
    </w:p>
    <w:p>
      <w:pPr>
        <w:jc w:val="both"/>
        <w:ind w:firstLine="230"/>
        <w:spacing w:after="0" w:line="262" w:lineRule="auto"/>
        <w:rPr>
          <w:sz w:val="20"/>
          <w:szCs w:val="20"/>
          <w:color w:val="auto"/>
        </w:rPr>
      </w:pPr>
      <w:r>
        <w:rPr>
          <w:rFonts w:ascii="Arial" w:cs="Arial" w:eastAsia="Arial" w:hAnsi="Arial"/>
          <w:sz w:val="18"/>
          <w:szCs w:val="18"/>
          <w:color w:val="auto"/>
        </w:rPr>
        <w:t>See note 10, which addresses contingent losses that may be incurred with respect to various indemnification or contribution claims by underwriters, depositors, and securitization trustees in securitization transactions in which SCC participated.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LITIGATION AND OTHER RELATED CONTINGENCIES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2317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00" w:hanging="290"/>
        <w:spacing w:after="0"/>
        <w:tabs>
          <w:tab w:leader="none" w:pos="40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8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October 31, 2018.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October 31, 2018 and 2017 and April 30, 2018, our total accrued liabilities were $3.0 million, $2.5 million and $2.7 million, respectively.</w:t>
      </w:r>
    </w:p>
    <w:p>
      <w:pPr>
        <w:spacing w:after="0" w:line="10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aggregate range of reasonably possible losses includes (1) matters where a liability has been accrued and there is a reasonably possible loss in excess of the amount accrued for that liability, and (2) matters where a loss is believed to be reasonably possible, but a liability has not been accrued. This aggregate range only represents those losses as to which we are currently able to estimate a reasonably possible loss or range of loss. It does not represent our maximum loss exposure. 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October 31, 2018, we believe the aggregate range of reasonably possible losses in excess of amounts accrued is not material.</w:t>
      </w:r>
    </w:p>
    <w:p>
      <w:pPr>
        <w:spacing w:after="0" w:line="9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For other matters, we are not currently able to estimate the reasonably possible loss or range of loss.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but there can be no assurances as to their outcomes. In the event of unfavorable outcomes, it could require modifications to our operations; in addition, the amounts that may be required 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300355</wp:posOffset>
            </wp:positionV>
            <wp:extent cx="2228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ectPr>
          <w:pgSz w:w="11900" w:h="16838" w:orient="portrait"/>
          <w:cols w:equalWidth="0" w:num="1">
            <w:col w:w="11420"/>
          </w:cols>
          <w:pgMar w:left="240" w:top="249"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discharge or settle the matters could be substantial and could have a material adverse impact on our business and our consolidated financial position, results of operations, and cash flows.</w:t>
      </w:r>
    </w:p>
    <w:p>
      <w:pPr>
        <w:spacing w:after="0" w:line="6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other loss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100" w:lineRule="exact"/>
        <w:rPr>
          <w:sz w:val="20"/>
          <w:szCs w:val="20"/>
          <w:color w:val="auto"/>
        </w:rPr>
      </w:pPr>
    </w:p>
    <w:p>
      <w:pPr>
        <w:jc w:val="both"/>
        <w:ind w:firstLine="230"/>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RMBSs. In connection with the sale of loans and/or RMBSs, SCC made certain representations and warranties.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195"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2317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400" w:hanging="290"/>
        <w:spacing w:after="0"/>
        <w:tabs>
          <w:tab w:leader="none" w:pos="40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response to a motion filed by SCC, the court dismissed the plaintiff's claims for breach of the duty to cure or repurchase, anticipatory breach, indemnity, and 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We have not concluded that a loss related to this matter is probable, nor have we accrued a liability related to this matter.</w:t>
      </w:r>
    </w:p>
    <w:p>
      <w:pPr>
        <w:spacing w:after="0" w:line="97"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Settlement payments that were made in fiscal year 2018 for representation and warranty claims are related to some of the loans in this case. We have not concluded that a loss related to this lawsuit is probable, nor have we accrued a liability related to this lawsuit.</w:t>
      </w:r>
    </w:p>
    <w:p>
      <w:pPr>
        <w:spacing w:after="0" w:line="10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Underwriters and depositors are, or have been, involved in multiple lawsuits related to securitization transactions in which SCC participated. These lawsuits allege or alleged a variety of claims, including violations of federal and state securities laws and common law fraud, based on alleged materially inaccurate or misleading disclosures. SCC has received notices of claims for indemnification relating to lawsuits to which underwriters or depositors are party. Based on information currently available to SCC, it believes that the 21 lawsuits in which notice of a claim has been made involve 39 securitization transactions with original investments of approximately $14 billion (of which the outstanding principal amount is approximately $3.2 billion). Additional lawsuits against the underwriters or depositors may be filed in the future, and SCC may receive additional notices of claims for indemnification or contribution from underwriters or depositors with respect to existing or new lawsuits or settlements of such lawsuits.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4"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 securitization trustees of potential indemnification obligations, and may receive additional notices with respect to existing or new lawsuits or settlements of such lawsuits, in its capacity as originator, depositor, or servicer. We have not concluded that a loss related to any of these indemnification claims is probable, nor have we accrued a liability related to any of these claims.</w:t>
      </w:r>
    </w:p>
    <w:p>
      <w:pPr>
        <w:spacing w:after="0" w:line="99"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301625</wp:posOffset>
            </wp:positionV>
            <wp:extent cx="2228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ectPr>
          <w:pgSz w:w="11900" w:h="16838" w:orient="portrait"/>
          <w:cols w:equalWidth="0" w:num="1">
            <w:col w:w="11420"/>
          </w:cols>
          <w:pgMar w:left="240" w:top="24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attempt to assert claims against or seek payment directly from the Company even if SCC's assets exceed its liabilities. SCC's principal assets, as of October 31, 2018, total approximately $296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AND OTHER LOSS CONTINGENCIES PERTAINING TO OTHER DISCONTINUED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Express IRA Litigation. </w:t>
      </w:r>
      <w:r>
        <w:rPr>
          <w:rFonts w:ascii="Arial" w:cs="Arial" w:eastAsia="Arial" w:hAnsi="Arial"/>
          <w:sz w:val="18"/>
          <w:szCs w:val="18"/>
          <w:color w:val="auto"/>
        </w:rPr>
        <w:t>On January 2, 2008, the Mississippi Attorney General in the Chancery Court of Hinds County, Mississippi First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Judicial District (Case No. G 2008 6 S 2) filed a lawsuit regarding our former Express IRA product that is styled </w:t>
      </w:r>
      <w:r>
        <w:rPr>
          <w:rFonts w:ascii="Arial" w:cs="Arial" w:eastAsia="Arial" w:hAnsi="Arial"/>
          <w:sz w:val="18"/>
          <w:szCs w:val="18"/>
          <w:i w:val="1"/>
          <w:iCs w:val="1"/>
          <w:color w:val="auto"/>
        </w:rPr>
        <w:t>Jim Hood, Attorney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State of Mississippi v. H&amp;R Block, Inc., H&amp;R Block Financial Advisors, Inc</w:t>
      </w:r>
      <w:r>
        <w:rPr>
          <w:rFonts w:ascii="Arial" w:cs="Arial" w:eastAsia="Arial" w:hAnsi="Arial"/>
          <w:sz w:val="18"/>
          <w:szCs w:val="18"/>
          <w:color w:val="auto"/>
        </w:rPr>
        <w:t>.,</w:t>
      </w:r>
      <w:r>
        <w:rPr>
          <w:rFonts w:ascii="Arial" w:cs="Arial" w:eastAsia="Arial" w:hAnsi="Arial"/>
          <w:sz w:val="18"/>
          <w:szCs w:val="18"/>
          <w:i w:val="1"/>
          <w:iCs w:val="1"/>
          <w:color w:val="auto"/>
        </w:rPr>
        <w:t xml:space="preserve"> et al. </w:t>
      </w:r>
      <w:r>
        <w:rPr>
          <w:rFonts w:ascii="Arial" w:cs="Arial" w:eastAsia="Arial" w:hAnsi="Arial"/>
          <w:sz w:val="18"/>
          <w:szCs w:val="18"/>
          <w:color w:val="auto"/>
        </w:rPr>
        <w:t>The complaint alleges fraudulent business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deceptive acts and practices, common law fraud and breach of fiduciary duty with respect to the sale of the product in Mississippi and seeks equitable relief, disgorgement of profits, damages and restitution, civil penalties and punitive damages. We have not concluded that a loss related to this matter is probable, nor have we accrued a loss contingency related to this matter.</w:t>
      </w:r>
    </w:p>
    <w:p>
      <w:pPr>
        <w:spacing w:after="0" w:line="97"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color w:val="auto"/>
        </w:rPr>
        <w:t>Although we sold H&amp;R Block Financial Advisors, Inc. (HRBFA) effective November 1, 2008, we remain responsible for any liabilities relating to the Express IRA litigation through an indemnification agreement.</w:t>
      </w:r>
    </w:p>
    <w:p>
      <w:pPr>
        <w:spacing w:after="0" w:line="66" w:lineRule="exact"/>
        <w:rPr>
          <w:sz w:val="20"/>
          <w:szCs w:val="20"/>
          <w:color w:val="auto"/>
        </w:rPr>
      </w:pPr>
    </w:p>
    <w:p>
      <w:pPr>
        <w:jc w:val="both"/>
        <w:ind w:right="20" w:firstLine="216"/>
        <w:spacing w:after="0" w:line="26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8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CONDENSED CONSOLIDATING FINANCIAL STATEMENTS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Block Financial LLC (Block Financial) is a 100% owned subsidiary of the Company. Block Financial is the Issuer and the Company is the full and unconditional Guarantor of the Senior Notes, our 2018 CLOC and other indebtedness issued from time to time. These condensed consolidating financial statements have been prepared using the equity method of accounting. Earnings of subsidiaries are, therefore, reflected in the Company's investment in subsidiaries account. The elimination entries eliminate investments in subsidiaries, related stockholders' equity and other intercompany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17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00" w:hanging="290"/>
        <w:spacing w:after="0"/>
        <w:tabs>
          <w:tab w:leader="none" w:pos="40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OPERATIONS</w:t>
            </w: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October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11,458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142,154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(4,741)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148,871</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245,969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250,815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111,569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113,319</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9,861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357,538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364,134</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(176,485)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172,829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4,464</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(21,126)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(21,191)</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(177,961)</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(10,511)</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(216,347)</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172,829</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(231,990)</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(1,685)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(2,316)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(57,052)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(61,053)</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(176,276)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(8,195)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(159,295)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172,829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(170,937)</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(5,339)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(5,339)</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(176,276)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(13,534)</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(159,295)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172,829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(176,276)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(2,846)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2,846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(2,846)</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(179,122)</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(13,534)</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(162,141)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175,675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(179,122)</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October 31, 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11,705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132,060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140,854</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234,943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240,019</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3,585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116,144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116,846</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351,087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356,865</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(155,999)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(21,178)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(21,265)</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tax benefit</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(155,999)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(11,170)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(230,335)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161,239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(236,265)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(84,530)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(87,953)</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(153,566)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(10,180)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(145,805)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161,239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(148,312)</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(5,253)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(5,254)</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(153,566)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(15,433)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(145,806)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161,239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(153,566)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(1,385)</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(154,951)</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(15,433)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(147,191)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162,624</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(154,951)</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857885</wp:posOffset>
            </wp:positionV>
            <wp:extent cx="2228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ectPr>
          <w:pgSz w:w="11900" w:h="16838" w:orient="portrait"/>
          <w:cols w:equalWidth="0" w:num="1">
            <w:col w:w="11420"/>
          </w:cols>
          <w:pgMar w:left="240" w:top="24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OPERATIONS</w:t>
            </w: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Six months ended October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28,290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273,631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294,054</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12,047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463,087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472,375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6,097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216,594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219,059</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1,476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18,144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679,681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(7,867)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691,434</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(330,101)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314,112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9,006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(42,249)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(42,381)</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(331,577)</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(13,258)</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(400,032)</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314,112</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(430,755)</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(2,631)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(6,017)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(102,373)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(111,021)</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(328,946)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(7,241)</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(297,659)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314,112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(319,734)</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(9,212)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(9,212)</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(328,946)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(16,453)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(297,659)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314,112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(328,946)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(4,577)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4,577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(4,577)</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(333,523)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(16,453)</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(302,236)</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318,689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(333,523)</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6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Six months ended October 31, 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29,261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255,154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278,656</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454,913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467,734</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210,920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212,095</w:t>
            </w:r>
          </w:p>
        </w:tc>
        <w:tc>
          <w:tcPr>
            <w:tcW w:w="0" w:type="dxa"/>
            <w:vAlign w:val="bottom"/>
          </w:tcPr>
          <w:p>
            <w:pPr>
              <w:spacing w:after="0"/>
              <w:rPr>
                <w:sz w:val="1"/>
                <w:szCs w:val="1"/>
                <w:color w:val="auto"/>
              </w:rPr>
            </w:pPr>
          </w:p>
        </w:tc>
      </w:tr>
      <w:tr>
        <w:trPr>
          <w:trHeight w:val="250"/>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19,755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665,833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679,829</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(288,263)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291,068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Interest expense on external borrowings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(42,382)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(42,542)</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tax benefit</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(288,263)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(19,811)</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(424,478)</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291,068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(441,484)</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(4,130)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(5,613)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(155,611)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(165,354)</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(284,133)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(14,198)</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(268,867)</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291,068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(276,130)</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(8,001)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(8,003)</w:t>
            </w:r>
          </w:p>
        </w:tc>
        <w:tc>
          <w:tcPr>
            <w:tcW w:w="0" w:type="dxa"/>
            <w:vAlign w:val="bottom"/>
          </w:tcPr>
          <w:p>
            <w:pPr>
              <w:spacing w:after="0"/>
              <w:rPr>
                <w:sz w:val="1"/>
                <w:szCs w:val="1"/>
                <w:color w:val="auto"/>
              </w:rPr>
            </w:pPr>
          </w:p>
        </w:tc>
      </w:tr>
      <w:tr>
        <w:trPr>
          <w:trHeight w:val="256"/>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(284,133)</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(268,869)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291,068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(284,133)</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(283,056)</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(22,199)</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(267,792)</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289,991</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(283,056)</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317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14"/>
          <w:szCs w:val="14"/>
          <w:color w:val="FFFFFF"/>
          <w:highlight w:val="black"/>
        </w:rPr>
        <w:t>20</w:t>
      </w:r>
      <w:r>
        <w:rPr>
          <w:rFonts w:ascii="Arial" w:cs="Arial" w:eastAsia="Arial" w:hAnsi="Arial"/>
          <w:sz w:val="14"/>
          <w:szCs w:val="14"/>
          <w:color w:val="auto"/>
        </w:rPr>
        <w:tab/>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October 31,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4,417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596,382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600,799</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122,507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122,507</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39,241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22,045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61,286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15,934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18,745</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84,072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87,665</w:t>
            </w:r>
          </w:p>
        </w:tc>
        <w:tc>
          <w:tcPr>
            <w:tcW w:w="0" w:type="dxa"/>
            <w:vAlign w:val="bottom"/>
          </w:tcPr>
          <w:p>
            <w:pPr>
              <w:spacing w:after="0"/>
              <w:rPr>
                <w:sz w:val="1"/>
                <w:szCs w:val="1"/>
                <w:color w:val="auto"/>
              </w:rPr>
            </w:pP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47,251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840,940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891,002</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241,248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241,772</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364,524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364,524</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507,191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507,191</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17,941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112,612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130,987</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2,600,520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(2,715,382)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1,520,018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2,623,445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(4,143,463)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58,288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39,532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97,820</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2,603,765</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1,644,022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4,844,354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(6,858,845)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2,233,296</w:t>
            </w: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2,360</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9,933</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102,100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114,393</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41,755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43,396</w:t>
            </w:r>
          </w:p>
        </w:tc>
        <w:tc>
          <w:tcPr>
            <w:tcW w:w="0" w:type="dxa"/>
            <w:vAlign w:val="bottom"/>
          </w:tcPr>
          <w:p>
            <w:pPr>
              <w:spacing w:after="0"/>
              <w:rPr>
                <w:sz w:val="1"/>
                <w:szCs w:val="1"/>
                <w:color w:val="auto"/>
              </w:rPr>
            </w:pP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1,060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93,197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94,257</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20,409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163,266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183,675</w:t>
            </w:r>
          </w:p>
        </w:tc>
        <w:tc>
          <w:tcPr>
            <w:tcW w:w="0" w:type="dxa"/>
            <w:vAlign w:val="bottom"/>
          </w:tcPr>
          <w:p>
            <w:pPr>
              <w:spacing w:after="0"/>
              <w:rPr>
                <w:sz w:val="1"/>
                <w:szCs w:val="1"/>
                <w:color w:val="auto"/>
              </w:rPr>
            </w:pP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33,043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400,318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435,721</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1,491,328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1,491,328</w:t>
            </w:r>
          </w:p>
        </w:tc>
        <w:tc>
          <w:tcPr>
            <w:tcW w:w="0" w:type="dxa"/>
            <w:vAlign w:val="bottom"/>
          </w:tcPr>
          <w:p>
            <w:pPr>
              <w:spacing w:after="0"/>
              <w:rPr>
                <w:sz w:val="1"/>
                <w:szCs w:val="1"/>
                <w:color w:val="auto"/>
              </w:rPr>
            </w:pP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9,285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3,989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222,525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235,799</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100,973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101,773</w:t>
            </w:r>
          </w:p>
        </w:tc>
        <w:tc>
          <w:tcPr>
            <w:tcW w:w="0" w:type="dxa"/>
            <w:vAlign w:val="bottom"/>
          </w:tcPr>
          <w:p>
            <w:pPr>
              <w:spacing w:after="0"/>
              <w:rPr>
                <w:sz w:val="1"/>
                <w:szCs w:val="1"/>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2,623,445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1,520,018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(4,143,463)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2,635,090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1,529,160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2,243,834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(4,143,463)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2,264,621</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Stockholders' equity (deficiency)</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(31,325)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114,862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2,600,520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(2,715,382)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(31,325)</w:t>
            </w:r>
          </w:p>
        </w:tc>
        <w:tc>
          <w:tcPr>
            <w:tcW w:w="0" w:type="dxa"/>
            <w:vAlign w:val="bottom"/>
          </w:tcPr>
          <w:p>
            <w:pPr>
              <w:spacing w:after="0"/>
              <w:rPr>
                <w:sz w:val="1"/>
                <w:szCs w:val="1"/>
                <w:color w:val="auto"/>
              </w:rPr>
            </w:pPr>
          </w:p>
        </w:tc>
      </w:tr>
      <w:tr>
        <w:trPr>
          <w:trHeight w:val="25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2,603,765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1,644,022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4,844,354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(6,858,845)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2,233,296</w:t>
            </w:r>
          </w:p>
        </w:tc>
        <w:tc>
          <w:tcPr>
            <w:tcW w:w="0" w:type="dxa"/>
            <w:vAlign w:val="bottom"/>
          </w:tcPr>
          <w:p>
            <w:pPr>
              <w:spacing w:after="0"/>
              <w:rPr>
                <w:sz w:val="1"/>
                <w:szCs w:val="1"/>
                <w:color w:val="auto"/>
              </w:rPr>
            </w:pPr>
          </w:p>
        </w:tc>
      </w:tr>
      <w:tr>
        <w:trPr>
          <w:trHeight w:val="121"/>
        </w:trPr>
        <w:tc>
          <w:tcPr>
            <w:tcW w:w="3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514350</wp:posOffset>
            </wp:positionV>
            <wp:extent cx="2228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ectPr>
          <w:pgSz w:w="11900" w:h="16838" w:orient="portrait"/>
          <w:cols w:equalWidth="0" w:num="1">
            <w:col w:w="11420"/>
          </w:cols>
          <w:pgMar w:left="240" w:top="24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October 31, 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4,321</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176,676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180,997</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8,083</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92,582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100,665</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54,006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77,750</w:t>
            </w:r>
          </w:p>
        </w:tc>
      </w:tr>
      <w:tr>
        <w:trPr>
          <w:trHeight w:val="264"/>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4,205</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80,999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85,204</w:t>
            </w:r>
          </w:p>
        </w:tc>
      </w:tr>
      <w:tr>
        <w:trPr>
          <w:trHeight w:val="25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70,615</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374,001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444,616</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262,170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262,226</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406,440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406,440</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493,059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493,059</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25,453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9,205</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Investments in subsidiaries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1,890,500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91,515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from affiliates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1,467,742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2,290,036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(3,757,778)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62,046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38,969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101,015</w:t>
            </w:r>
          </w:p>
        </w:tc>
      </w:tr>
      <w:tr>
        <w:trPr>
          <w:trHeight w:val="250"/>
        </w:trPr>
        <w:tc>
          <w:tcPr>
            <w:tcW w:w="3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1,897,963</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1,625,912</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3,956,190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(5,763,504)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1,716,561</w:t>
            </w:r>
          </w:p>
        </w:tc>
      </w:tr>
      <w:tr>
        <w:trPr>
          <w:trHeight w:val="121"/>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 and accrued expenses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9,334</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114,875</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1,432</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41,465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42,897</w:t>
            </w:r>
          </w:p>
        </w:tc>
      </w:tr>
      <w:tr>
        <w:trPr>
          <w:trHeight w:val="20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43,879</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1,004</w:t>
            </w: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25,977</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164,545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190,522</w:t>
            </w:r>
          </w:p>
        </w:tc>
      </w:tr>
      <w:tr>
        <w:trPr>
          <w:trHeight w:val="250"/>
        </w:trPr>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36,743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354,027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393,177</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1,488,707</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1,493,828</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Reserves for uncertain tax positions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18,293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8,037</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135,405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138,024</w:t>
            </w: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104,305</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Amounts due to affiliates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2,290,036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1,467,742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(3,757,778)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2,310,736</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1,534,397</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2,065,690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(3,781,489)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2,129,334</w:t>
            </w: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Stockholders' equity (deficiency)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(412,773)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91,515</w:t>
            </w:r>
          </w:p>
        </w:tc>
        <w:tc>
          <w:tcPr>
            <w:tcW w:w="1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1,890,500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(1,982,015)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(412,773)</w:t>
            </w:r>
          </w:p>
        </w:tc>
      </w:tr>
      <w:tr>
        <w:trPr>
          <w:trHeight w:val="250"/>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1,897,963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1,625,912</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3,956,190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(5,763,504)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1,716,561</w:t>
            </w:r>
          </w:p>
        </w:tc>
      </w:tr>
      <w:tr>
        <w:trPr>
          <w:trHeight w:val="121"/>
        </w:trPr>
        <w:tc>
          <w:tcPr>
            <w:tcW w:w="3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2317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 w:hanging="290"/>
        <w:spacing w:after="0"/>
        <w:tabs>
          <w:tab w:leader="none" w:pos="40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1,540,598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1,544,944</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118,734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118,734</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146,774</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12,310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12,310</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68,951</w:t>
            </w:r>
          </w:p>
        </w:tc>
      </w:tr>
      <w:tr>
        <w:trPr>
          <w:trHeight w:val="250"/>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57,862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1,833,851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1,891,713</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231,888</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373,981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373,981</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507,871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507,871</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17,798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34,095</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2,801,808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1,541,954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2,400,938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50,073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101,401</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16,628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233,273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251,975</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141,499</w:t>
            </w:r>
          </w:p>
        </w:tc>
      </w:tr>
      <w:tr>
        <w:trPr>
          <w:trHeight w:val="19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264,791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263,050</w:t>
            </w:r>
          </w:p>
        </w:tc>
      </w:tr>
      <w:tr>
        <w:trPr>
          <w:trHeight w:val="27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3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22,172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163,929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186,101</w:t>
            </w:r>
          </w:p>
        </w:tc>
      </w:tr>
      <w:tr>
        <w:trPr>
          <w:trHeight w:val="256"/>
        </w:trPr>
        <w:tc>
          <w:tcPr>
            <w:tcW w:w="35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803,357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843,651</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1,490,007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4,602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1,494,609</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215,181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229,430</w:t>
            </w:r>
          </w:p>
        </w:tc>
      </w:tr>
      <w:tr>
        <w:trPr>
          <w:trHeight w:val="26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178,700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179,548</w:t>
            </w:r>
          </w:p>
        </w:tc>
      </w:tr>
      <w:tr>
        <w:trPr>
          <w:trHeight w:val="27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2,400,938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1,541,954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(3,942,892)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2,412,298</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1,536,839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2,743,794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(3,945,693)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2,747,238</w:t>
            </w:r>
          </w:p>
        </w:tc>
      </w:tr>
      <w:tr>
        <w:trPr>
          <w:trHeight w:val="25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393,711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131,315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2,801,808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(2,933,123)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393,711</w:t>
            </w:r>
          </w:p>
        </w:tc>
      </w:tr>
      <w:tr>
        <w:trPr>
          <w:trHeight w:val="250"/>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2,806,009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1,668,154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5,545,602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(6,878,816)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3,140,949</w:t>
            </w:r>
          </w:p>
        </w:tc>
      </w:tr>
      <w:tr>
        <w:trPr>
          <w:trHeight w:val="121"/>
        </w:trPr>
        <w:tc>
          <w:tcPr>
            <w:tcW w:w="34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308610</wp:posOffset>
            </wp:positionV>
            <wp:extent cx="2228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ectPr>
          <w:pgSz w:w="11900" w:h="16838" w:orient="portrait"/>
          <w:cols w:equalWidth="0" w:num="1">
            <w:col w:w="11420"/>
          </w:cols>
          <w:pgMar w:left="240" w:top="249"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Six months ended October 31, 2018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(22,827)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(604,864)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(627,691)</w:t>
            </w: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(66,258)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(66,422)</w:t>
            </w:r>
          </w:p>
        </w:tc>
        <w:tc>
          <w:tcPr>
            <w:tcW w:w="0" w:type="dxa"/>
            <w:vAlign w:val="bottom"/>
          </w:tcPr>
          <w:p>
            <w:pPr>
              <w:spacing w:after="0"/>
              <w:rPr>
                <w:sz w:val="1"/>
                <w:szCs w:val="1"/>
                <w:color w:val="auto"/>
              </w:rPr>
            </w:pP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(24,549)</w:t>
            </w:r>
          </w:p>
        </w:tc>
        <w:tc>
          <w:tcPr>
            <w:tcW w:w="0" w:type="dxa"/>
            <w:vAlign w:val="bottom"/>
          </w:tcPr>
          <w:p>
            <w:pPr>
              <w:spacing w:after="0"/>
              <w:rPr>
                <w:sz w:val="1"/>
                <w:szCs w:val="1"/>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(8,915)</w:t>
            </w:r>
          </w:p>
        </w:tc>
        <w:tc>
          <w:tcPr>
            <w:tcW w:w="0" w:type="dxa"/>
            <w:vAlign w:val="bottom"/>
          </w:tcPr>
          <w:p>
            <w:pPr>
              <w:spacing w:after="0"/>
              <w:rPr>
                <w:sz w:val="1"/>
                <w:szCs w:val="1"/>
                <w:color w:val="auto"/>
              </w:rPr>
            </w:pP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11,442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247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11,689</w:t>
            </w: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(203,834)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183,015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4,784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4,993</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23,566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(289,785)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183,015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(83,204)</w:t>
            </w: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(103,484)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(103,484)</w:t>
            </w:r>
          </w:p>
        </w:tc>
        <w:tc>
          <w:tcPr>
            <w:tcW w:w="0" w:type="dxa"/>
            <w:vAlign w:val="bottom"/>
          </w:tcPr>
          <w:p>
            <w:pPr>
              <w:spacing w:after="0"/>
              <w:rPr>
                <w:sz w:val="1"/>
                <w:szCs w:val="1"/>
                <w:color w:val="auto"/>
              </w:rPr>
            </w:pP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(102,096)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(102,096)</w:t>
            </w:r>
          </w:p>
        </w:tc>
        <w:tc>
          <w:tcPr>
            <w:tcW w:w="0" w:type="dxa"/>
            <w:vAlign w:val="bottom"/>
          </w:tcPr>
          <w:p>
            <w:pPr>
              <w:spacing w:after="0"/>
              <w:rPr>
                <w:sz w:val="1"/>
                <w:szCs w:val="1"/>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1,746</w:t>
            </w:r>
          </w:p>
        </w:tc>
        <w:tc>
          <w:tcPr>
            <w:tcW w:w="0" w:type="dxa"/>
            <w:vAlign w:val="bottom"/>
          </w:tcPr>
          <w:p>
            <w:pPr>
              <w:spacing w:after="0"/>
              <w:rPr>
                <w:sz w:val="1"/>
                <w:szCs w:val="1"/>
                <w:color w:val="auto"/>
              </w:rPr>
            </w:pP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203,834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(20,819)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(183,015)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(21,766)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(22,434)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(42,585)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(183,015)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(226,268)</w:t>
            </w: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(3,209)</w:t>
            </w:r>
          </w:p>
        </w:tc>
        <w:tc>
          <w:tcPr>
            <w:tcW w:w="0" w:type="dxa"/>
            <w:vAlign w:val="bottom"/>
          </w:tcPr>
          <w:p>
            <w:pPr>
              <w:spacing w:after="0"/>
              <w:rPr>
                <w:sz w:val="1"/>
                <w:szCs w:val="1"/>
                <w:color w:val="auto"/>
              </w:rPr>
            </w:pP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cash equivalents</w:t>
            </w:r>
          </w:p>
        </w:tc>
        <w:tc>
          <w:tcPr>
            <w:tcW w:w="24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(940,443)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(940,372)</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and restricted cash</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4,346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1,659,332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1,663,678</w:t>
            </w:r>
          </w:p>
        </w:tc>
        <w:tc>
          <w:tcPr>
            <w:tcW w:w="0" w:type="dxa"/>
            <w:vAlign w:val="bottom"/>
          </w:tcPr>
          <w:p>
            <w:pPr>
              <w:spacing w:after="0"/>
              <w:rPr>
                <w:sz w:val="1"/>
                <w:szCs w:val="1"/>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4,417</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718,889</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723,306</w:t>
            </w:r>
          </w:p>
        </w:tc>
        <w:tc>
          <w:tcPr>
            <w:tcW w:w="0" w:type="dxa"/>
            <w:vAlign w:val="bottom"/>
          </w:tcPr>
          <w:p>
            <w:pPr>
              <w:spacing w:after="0"/>
              <w:rPr>
                <w:sz w:val="1"/>
                <w:szCs w:val="1"/>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4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23177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14"/>
          <w:szCs w:val="14"/>
          <w:color w:val="FFFFFF"/>
          <w:highlight w:val="black"/>
        </w:rPr>
        <w:t>24</w:t>
      </w:r>
      <w:r>
        <w:rPr>
          <w:rFonts w:ascii="Arial" w:cs="Arial" w:eastAsia="Arial" w:hAnsi="Arial"/>
          <w:sz w:val="14"/>
          <w:szCs w:val="14"/>
          <w:color w:val="auto"/>
        </w:rPr>
        <w:tab/>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Block Financial</w:t>
            </w:r>
          </w:p>
        </w:tc>
        <w:tc>
          <w:tcPr>
            <w:tcW w:w="3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Six months ended October 31, 2017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(630,630)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(648,457)</w:t>
            </w: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(56,750)</w:t>
            </w: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(27,522)</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(10,939)</w:t>
            </w: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Payments received on franchise loans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10,077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10,322</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(80,141)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6,472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5,474</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18,347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(79,415)</w:t>
            </w:r>
          </w:p>
        </w:tc>
      </w:tr>
      <w:tr>
        <w:trPr>
          <w:trHeight w:val="258"/>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(100,082)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(100,082)</w:t>
            </w:r>
          </w:p>
        </w:tc>
      </w:tr>
      <w:tr>
        <w:trPr>
          <w:trHeight w:val="19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6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(7,581)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(7,581)</w:t>
            </w:r>
          </w:p>
        </w:tc>
      </w:tr>
      <w:tr>
        <w:trPr>
          <w:trHeight w:val="27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27,522</w:t>
            </w:r>
          </w:p>
        </w:tc>
      </w:tr>
      <w:tr>
        <w:trPr>
          <w:trHeight w:val="264"/>
        </w:trPr>
        <w:tc>
          <w:tcPr>
            <w:tcW w:w="356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80,141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(20,163)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(26,717)</w:t>
            </w:r>
          </w:p>
        </w:tc>
      </w:tr>
      <w:tr>
        <w:trPr>
          <w:trHeight w:val="250"/>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(59,978)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(106,858)</w:t>
            </w:r>
          </w:p>
        </w:tc>
      </w:tr>
      <w:tr>
        <w:trPr>
          <w:trHeight w:val="256"/>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Net decrease in cash, cash equivalents and</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(835,735)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(835,877)</w:t>
            </w:r>
          </w:p>
        </w:tc>
      </w:tr>
      <w:tr>
        <w:trPr>
          <w:trHeight w:val="200"/>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1,104,993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1,117,539</w:t>
            </w:r>
          </w:p>
        </w:tc>
      </w:tr>
      <w:tr>
        <w:trPr>
          <w:trHeight w:val="174"/>
        </w:trPr>
        <w:tc>
          <w:tcPr>
            <w:tcW w:w="356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6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12,404</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269,258</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281,662</w:t>
            </w:r>
          </w:p>
        </w:tc>
      </w:tr>
      <w:tr>
        <w:trPr>
          <w:trHeight w:val="121"/>
        </w:trPr>
        <w:tc>
          <w:tcPr>
            <w:tcW w:w="344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308610</wp:posOffset>
            </wp:positionV>
            <wp:extent cx="22288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ectPr>
          <w:pgSz w:w="11900" w:h="16838" w:orient="portrait"/>
          <w:cols w:equalWidth="0" w:num="1">
            <w:col w:w="11420"/>
          </w:cols>
          <w:pgMar w:left="240" w:top="249"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or via an internet review) or prepared and filed by our clients through our DIY tax solutions. We operate as a single segment that includes all of our continuing operations, which are designed to enable clients to obtain tax preparation services seamlessly.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Annual Report on Form 10-K for the fiscal year ended April 30, 2018, we disclosed our intent to review our overall pricing structure which was expected to negatively impact revenues in fiscal year 2019. As a result of this review, on October 29, 2018, we announced that, beginning January 2019, we will offer upfront, transparent pricing for all tax preparation methods, and lower prices for millions of our assisted tax preparation clients, which will result in a revenue decline in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2317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290"/>
        <w:spacing w:after="0"/>
        <w:tabs>
          <w:tab w:leader="none" w:pos="40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October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41,652</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36,665</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4,987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13.6 %</w:t>
            </w:r>
          </w:p>
        </w:tc>
      </w:tr>
      <w:tr>
        <w:trPr>
          <w:trHeight w:val="26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U.S. royalties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8,062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2,994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(29.8)%</w:t>
            </w:r>
          </w:p>
        </w:tc>
      </w:tr>
      <w:tr>
        <w:trPr>
          <w:trHeight w:val="26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International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45,497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Refund Transfers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560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(50.7)%</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Emerald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24,318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24,585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Tax Identity Shield®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c>
          <w:tcPr>
            <w:tcW w:w="15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Interest and fee income on Emerald Advance</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397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(33.2)%</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10,670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9,233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15.6 %</w:t>
            </w:r>
          </w:p>
        </w:tc>
      </w:tr>
      <w:tr>
        <w:trPr>
          <w:trHeight w:val="250"/>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148,871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140,854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8,017</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5.7 %</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Field wages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59,096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Other wages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50,046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46,723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7.1 %</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Benefits and other compensation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24,178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23,583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47"/>
        </w:trPr>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133,320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128,022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5,298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4.1 %</w:t>
            </w:r>
          </w:p>
        </w:tc>
      </w:tr>
      <w:tr>
        <w:trPr>
          <w:trHeight w:val="280"/>
        </w:trPr>
        <w:tc>
          <w:tcPr>
            <w:tcW w:w="55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Occupancy </w:t>
            </w:r>
            <w:r>
              <w:rPr>
                <w:rFonts w:ascii="Arial" w:cs="Arial" w:eastAsia="Arial" w:hAnsi="Arial"/>
                <w:sz w:val="27"/>
                <w:szCs w:val="27"/>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104,880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94,907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8,586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(25.7)%</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41,493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Bad debt</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(89.4)%</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70"/>
        </w:trPr>
        <w:tc>
          <w:tcPr>
            <w:tcW w:w="55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7"/>
                <w:szCs w:val="27"/>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72,478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71,435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1.5 %</w:t>
            </w:r>
          </w:p>
        </w:tc>
      </w:tr>
      <w:tr>
        <w:trPr>
          <w:trHeight w:val="244"/>
        </w:trPr>
        <w:tc>
          <w:tcPr>
            <w:tcW w:w="55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364,134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356,865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4,464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3,453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341.5 %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(231,990)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4,275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1.8 %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(170,937)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(22,625)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(15.3)%</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(5,339)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(176,276)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(153,566)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(22,710)</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(14.8)%</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5540" w:type="dxa"/>
            <w:vAlign w:val="bottom"/>
            <w:gridSpan w:val="2"/>
          </w:tcPr>
          <w:p>
            <w:pPr>
              <w:ind w:left="40"/>
              <w:spacing w:after="0"/>
              <w:rPr>
                <w:sz w:val="20"/>
                <w:szCs w:val="20"/>
                <w:color w:val="auto"/>
              </w:rPr>
            </w:pPr>
            <w:r>
              <w:rPr>
                <w:rFonts w:ascii="Arial" w:cs="Arial" w:eastAsia="Arial" w:hAnsi="Arial"/>
                <w:sz w:val="15"/>
                <w:szCs w:val="15"/>
                <w:color w:val="auto"/>
              </w:rPr>
              <w:t>Basic and diluted loss per share:</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6"/>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5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7"/>
                <w:szCs w:val="27"/>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(169,306)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200" w:hanging="192"/>
        <w:spacing w:after="0" w:line="182" w:lineRule="auto"/>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4"/>
          <w:szCs w:val="14"/>
          <w:color w:val="auto"/>
        </w:rPr>
        <w:t>We reclassified $10.5 million of software and information technology (IT) maintenance expense from occupancy to other expenses for the three months ended October 31, 2017 to conform to the current period presentation.</w:t>
      </w:r>
    </w:p>
    <w:p>
      <w:pPr>
        <w:spacing w:after="0" w:line="1" w:lineRule="exact"/>
        <w:rPr>
          <w:rFonts w:ascii="Arial" w:cs="Arial" w:eastAsia="Arial" w:hAnsi="Arial"/>
          <w:sz w:val="23"/>
          <w:szCs w:val="23"/>
          <w:color w:val="auto"/>
          <w:vertAlign w:val="superscript"/>
        </w:rPr>
      </w:pPr>
    </w:p>
    <w:p>
      <w:pPr>
        <w:ind w:left="200" w:hanging="192"/>
        <w:spacing w:after="0" w:line="199" w:lineRule="auto"/>
        <w:tabs>
          <w:tab w:leader="none" w:pos="20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See "Non-GAAP Financial Information" at the end of this item for a reconciliation of non-GAAP measures.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31, 2018 compared to October 31, 2017</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Revenues increased $ 8.0 million, or 5.7%, from the prior year period. U.S. assisted tax preparation fees increased $5.0 million, or 13.6%, primarily due to higher off-season tax return volume and higher net average charge.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International revenues decreased $2.4 million, or 5.1%, primarily due to unfavorable exchange rates in our Australian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TIS increased $5.0 million due to a new product feature that impacted revenue recognition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314960</wp:posOffset>
            </wp:positionV>
            <wp:extent cx="22288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ectPr>
          <w:pgSz w:w="11900" w:h="16838" w:orient="portrait"/>
          <w:cols w:equalWidth="0" w:num="1">
            <w:col w:w="11420"/>
          </w:cols>
          <w:pgMar w:left="240" w:top="249"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increased $7.3 million, or 2.0%, from the prior year. Other wages increased $3.3 million, or 7.1%, due to higher information technology wages. Occupancy costs increased $10.0 million, or 10.5%, primarily due to lease buyout payments on previously-announced office closures related to consolidation of field offices and higher rental rates. Marketing and advertising decreased $3.0 million, or 25.7%, due to the timing of these expenses. Depreciation and amortization decreased $3.3 million, or 7.4%, primarily due due to lower depreciation on equipment and amortization of internally developed software.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$1.0 million, or 1.5%.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October 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1,368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0.4 %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13,377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10,358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3,019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29.1 %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and IT maintenance expenses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80.1 %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2,743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916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(84.1)%</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4,338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50"/>
        </w:trPr>
        <w:tc>
          <w:tcPr>
            <w:tcW w:w="4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72,478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1,043</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1.5 %</w:t>
            </w:r>
          </w:p>
        </w:tc>
      </w:tr>
      <w:tr>
        <w:trPr>
          <w:trHeight w:val="122"/>
        </w:trPr>
        <w:tc>
          <w:tcPr>
            <w:tcW w:w="4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increase in software and IT maintenance expenses of $8.4 million, or 80.1%, is due to increased investments in information technology. Legal fees and settlements decreased $4.8 million, or 84.1%, due to fewer legal matters in the current year. Employee travel and related expenses increased $3.0 million, or 29.1% primarily due to the timing of our franchise convention in the current year compared to the prior year.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income tax benefit decreased $26.9 million from the prior year period to $61.1 million primarily due to the impacts of the Tax Legislation.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Item 1, note 7 to the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3177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00" w:hanging="290"/>
        <w:spacing w:after="0"/>
        <w:tabs>
          <w:tab w:leader="none" w:pos="40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Six months ended October 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72,756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66,628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6,128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9.2 %</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royalties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15,633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5,775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(22.9)%</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 revenues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84,676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Refund Transfers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1,984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(49.8)%</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Emerald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Revenues from Peace of Mind® Extended Service Plan</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60,895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56,528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4,367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7.7 %</w:t>
            </w: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Revenues from Tax Identity Shield®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9,984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9,473</w:t>
            </w:r>
          </w:p>
        </w:tc>
        <w:tc>
          <w:tcPr>
            <w:tcW w:w="15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Interest and fee income on Emerald Advance</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844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(32.9)%</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17,783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15,798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12.6 %</w:t>
            </w:r>
          </w:p>
        </w:tc>
      </w:tr>
      <w:tr>
        <w:trPr>
          <w:trHeight w:val="250"/>
        </w:trPr>
        <w:tc>
          <w:tcPr>
            <w:tcW w:w="5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294,054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278,656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15,398</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5.5 %</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Compensation and benefits: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Field wages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109,028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105,839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60"/>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Other wages</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97,868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89,920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7,948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8.8 %</w:t>
            </w:r>
          </w:p>
        </w:tc>
      </w:tr>
      <w:tr>
        <w:trPr>
          <w:trHeight w:val="273"/>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Benefits and other compensation</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47,109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47"/>
        </w:trPr>
        <w:tc>
          <w:tcPr>
            <w:tcW w:w="5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254,005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239,987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14,018</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5.8 %</w:t>
            </w:r>
          </w:p>
        </w:tc>
      </w:tr>
      <w:tr>
        <w:trPr>
          <w:trHeight w:val="280"/>
        </w:trPr>
        <w:tc>
          <w:tcPr>
            <w:tcW w:w="554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Occupancy </w:t>
            </w:r>
            <w:r>
              <w:rPr>
                <w:rFonts w:ascii="Arial" w:cs="Arial" w:eastAsia="Arial" w:hAnsi="Arial"/>
                <w:sz w:val="27"/>
                <w:szCs w:val="27"/>
                <w:color w:val="auto"/>
                <w:vertAlign w:val="superscript"/>
              </w:rPr>
              <w:t>(1)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195,606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185,198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10,408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Marketing and advertising</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15,480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(3,186)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(17.1)%</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81,925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60"/>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Bad debt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(4,908)</w:t>
            </w:r>
          </w:p>
        </w:tc>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70"/>
        </w:trPr>
        <w:tc>
          <w:tcPr>
            <w:tcW w:w="55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7"/>
                <w:szCs w:val="27"/>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139,695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136,248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3,447</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r>
      <w:tr>
        <w:trPr>
          <w:trHeight w:val="244"/>
        </w:trPr>
        <w:tc>
          <w:tcPr>
            <w:tcW w:w="55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691,434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679,829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9,006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6,775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303.7 %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(430,755)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(441,484)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10,729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(111,021)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(165,354)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(54,333)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47"/>
        </w:trPr>
        <w:tc>
          <w:tcPr>
            <w:tcW w:w="554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(319,734)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(276,130)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(43,604)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(15.8)%</w:t>
            </w:r>
          </w:p>
        </w:tc>
      </w:tr>
      <w:tr>
        <w:trPr>
          <w:trHeight w:val="273"/>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(9,212)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50"/>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(328,946)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(284,133)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(44,813)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(15.8)%</w:t>
            </w:r>
          </w:p>
        </w:tc>
      </w:tr>
      <w:tr>
        <w:trPr>
          <w:trHeight w:val="122"/>
        </w:trPr>
        <w:tc>
          <w:tcPr>
            <w:tcW w:w="5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6"/>
        </w:trPr>
        <w:tc>
          <w:tcPr>
            <w:tcW w:w="5540" w:type="dxa"/>
            <w:vAlign w:val="bottom"/>
            <w:gridSpan w:val="2"/>
          </w:tcPr>
          <w:p>
            <w:pPr>
              <w:ind w:left="40"/>
              <w:spacing w:after="0"/>
              <w:rPr>
                <w:sz w:val="20"/>
                <w:szCs w:val="20"/>
                <w:color w:val="auto"/>
              </w:rPr>
            </w:pPr>
            <w:r>
              <w:rPr>
                <w:rFonts w:ascii="Arial" w:cs="Arial" w:eastAsia="Arial" w:hAnsi="Arial"/>
                <w:sz w:val="15"/>
                <w:szCs w:val="15"/>
                <w:color w:val="auto"/>
              </w:rPr>
              <w:t>Basic and diluted loss per share:</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66"/>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(33.3)%</w:t>
            </w:r>
          </w:p>
        </w:tc>
      </w:tr>
      <w:tr>
        <w:trPr>
          <w:trHeight w:val="25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5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7"/>
                <w:szCs w:val="27"/>
                <w:color w:val="auto"/>
                <w:vertAlign w:val="superscript"/>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(306,449)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ind w:left="200" w:hanging="192"/>
        <w:spacing w:after="0" w:line="182" w:lineRule="auto"/>
        <w:tabs>
          <w:tab w:leader="none" w:pos="20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We reclassified $18.4 million of software and information technology (IT) maintenance expense from occupancy to other expenses for the six months ended October 31, 2017 to conform to the current period presentation.</w:t>
      </w:r>
    </w:p>
    <w:p>
      <w:pPr>
        <w:spacing w:after="0" w:line="1" w:lineRule="exact"/>
        <w:rPr>
          <w:rFonts w:ascii="Arial" w:cs="Arial" w:eastAsia="Arial" w:hAnsi="Arial"/>
          <w:sz w:val="23"/>
          <w:szCs w:val="23"/>
          <w:color w:val="auto"/>
          <w:vertAlign w:val="superscript"/>
        </w:rPr>
      </w:pPr>
    </w:p>
    <w:p>
      <w:pPr>
        <w:ind w:left="200" w:hanging="192"/>
        <w:spacing w:after="0" w:line="199" w:lineRule="auto"/>
        <w:tabs>
          <w:tab w:leader="none" w:pos="200" w:val="left"/>
        </w:tabs>
        <w:numPr>
          <w:ilvl w:val="0"/>
          <w:numId w:val="20"/>
        </w:numPr>
        <w:rPr>
          <w:rFonts w:ascii="Arial" w:cs="Arial" w:eastAsia="Arial" w:hAnsi="Arial"/>
          <w:sz w:val="18"/>
          <w:szCs w:val="18"/>
          <w:color w:val="auto"/>
          <w:vertAlign w:val="superscript"/>
        </w:rPr>
      </w:pPr>
      <w:r>
        <w:rPr>
          <w:rFonts w:ascii="Arial" w:cs="Arial" w:eastAsia="Arial" w:hAnsi="Arial"/>
          <w:sz w:val="12"/>
          <w:szCs w:val="12"/>
          <w:color w:val="auto"/>
        </w:rPr>
        <w:t>See "Non-GAAP Financial Information" at the end of this item for a reconciliation of non-GAAP measures.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October 31, 2018 compared to October 31, 2017</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Revenues increased $ 15.4 million, or 5.5%, from the prior year period. U.S. assisted tax preparation fees increased $6.1 million, or 9.2%, primarily due to higher off-season tax return volume and higher net average charge.</w:t>
      </w:r>
    </w:p>
    <w:p>
      <w:pPr>
        <w:spacing w:after="0" w:line="88" w:lineRule="exact"/>
        <w:rPr>
          <w:sz w:val="20"/>
          <w:szCs w:val="20"/>
          <w:color w:val="auto"/>
        </w:rPr>
      </w:pPr>
    </w:p>
    <w:p>
      <w:pPr>
        <w:ind w:right="20" w:firstLine="243"/>
        <w:spacing w:after="0" w:line="262" w:lineRule="auto"/>
        <w:rPr>
          <w:sz w:val="20"/>
          <w:szCs w:val="20"/>
          <w:color w:val="auto"/>
        </w:rPr>
      </w:pPr>
      <w:r>
        <w:rPr>
          <w:rFonts w:ascii="Arial" w:cs="Arial" w:eastAsia="Arial" w:hAnsi="Arial"/>
          <w:sz w:val="18"/>
          <w:szCs w:val="18"/>
          <w:color w:val="auto"/>
        </w:rPr>
        <w:t>International revenues decreased $3.7 million, or 4.2%, primarily due to unfavorable exchange rates in our Australian operations and the extended tax season during the prior year in our Canadian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POM increased $4.4 million, or 7.7%, due to changes in the claims pattern used to recognize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314960</wp:posOffset>
            </wp:positionV>
            <wp:extent cx="2228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ectPr>
          <w:pgSz w:w="11900" w:h="16838" w:orient="portrait"/>
          <w:cols w:equalWidth="0" w:num="1">
            <w:col w:w="11420"/>
          </w:cols>
          <w:pgMar w:left="240" w:top="249"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from TIS increased $9.5 million due to a new product feature that impacted revenue recognition timing.</w:t>
      </w:r>
    </w:p>
    <w:p>
      <w:pPr>
        <w:spacing w:after="0" w:line="11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increased $11.6 million, or 1.7%, from the prior year period. Other wages increased $7.9 million, or 8.8%, due to higher information technology wages. Occupancy costs increased $10.4 million, or 5.6%, primarily due to lease buyout payments on previously-announced office closures related to consolidation of field offices and higher rental rates. Depreciation and amortization decreased $6.5 million, or 7.3%, primarily due to lower depreciation on equipment and amortization of internally developed software. Bad debt expenses decreased $4.9 million primarily due to recoveries related to better than expected collections on receivables related to RTs.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$3.4 million, or 2.5%.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Six months ended October 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 Change</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38,632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2,833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22,720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16,435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3,771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22.9 %</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and IT maintenance expenses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30,677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66.7 %</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(28.7)%</w:t>
            </w:r>
          </w:p>
        </w:tc>
      </w:tr>
      <w:tr>
        <w:trPr>
          <w:trHeight w:val="28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3,489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(55.8)%</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9,693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50"/>
        </w:trPr>
        <w:tc>
          <w:tcPr>
            <w:tcW w:w="49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139,695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3,447</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2.5 %</w:t>
            </w:r>
          </w:p>
        </w:tc>
      </w:tr>
      <w:tr>
        <w:trPr>
          <w:trHeight w:val="122"/>
        </w:trPr>
        <w:tc>
          <w:tcPr>
            <w:tcW w:w="4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600" w:type="dxa"/>
            <w:vAlign w:val="bottom"/>
            <w:tcBorders>
              <w:bottom w:val="single" w:sz="8" w:color="auto"/>
            </w:tcBorders>
            <w:shd w:val="clear" w:color="auto" w:fill="CCEEFF"/>
          </w:tcPr>
          <w:p>
            <w:pPr>
              <w:spacing w:after="0"/>
              <w:rPr>
                <w:sz w:val="10"/>
                <w:szCs w:val="10"/>
                <w:color w:val="auto"/>
              </w:rPr>
            </w:pPr>
          </w:p>
        </w:tc>
      </w:tr>
    </w:tbl>
    <w:p>
      <w:pPr>
        <w:spacing w:after="0" w:line="10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increase in software and IT maintenance expenses of $12.3 million, or 66.7%, is due to increased investments in information technology. Legal fees and settlements decreased $4.4 million, or 55.8%, due to fewer legal matters in the current year.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income tax benefit decreased $54.3 million from the prior year period to $111.0 million primarily due to the impacts of the Tax Legislation. See Item 1, note 7 to the consolidated financial statements for additional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Part 1, Item 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 our</w:t>
      </w:r>
      <w:r>
        <w:rPr>
          <w:rFonts w:ascii="Arial" w:cs="Arial" w:eastAsia="Arial" w:hAnsi="Arial"/>
          <w:sz w:val="18"/>
          <w:szCs w:val="18"/>
          <w:b w:val="1"/>
          <w:bCs w:val="1"/>
          <w:color w:val="auto"/>
        </w:rPr>
        <w:t xml:space="preserve"> </w:t>
      </w:r>
      <w:r>
        <w:rPr>
          <w:rFonts w:ascii="Arial" w:cs="Arial" w:eastAsia="Arial" w:hAnsi="Arial"/>
          <w:sz w:val="18"/>
          <w:szCs w:val="18"/>
          <w:color w:val="auto"/>
        </w:rPr>
        <w:t>2018 CLOC, and issuances of debt. We use our sources of liquidity primarily to fund working capital, service and repay debt, pay dividends, repurchase shares of our common stock, and acquire businesses.</w:t>
      </w:r>
    </w:p>
    <w:p>
      <w:pPr>
        <w:spacing w:after="0" w:line="8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Therefore, we require the use of cash to fund losses and working capital needs from May through January, and typically rely on available cash balances from the prior tax season and borrowings to meet our off-season liquidity needs.</w:t>
      </w:r>
    </w:p>
    <w:p>
      <w:pPr>
        <w:spacing w:after="0" w:line="9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October 31, 2018 are sufficient to meet our operating, investing and financing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October 31, 2018 and 2017. See Item 1 for the complete consolidated statements of cash flows for these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Six months ended October 31,</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2017</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w:t>
            </w:r>
          </w:p>
        </w:tc>
        <w:tc>
          <w:tcPr>
            <w:tcW w:w="8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0"/>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Operating activities</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(627,691)</w:t>
            </w:r>
          </w:p>
        </w:tc>
        <w:tc>
          <w:tcPr>
            <w:tcW w:w="100" w:type="dxa"/>
            <w:vAlign w:val="bottom"/>
          </w:tcPr>
          <w:p>
            <w:pPr>
              <w:spacing w:after="0"/>
              <w:rPr>
                <w:sz w:val="22"/>
                <w:szCs w:val="22"/>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(648,457)</w:t>
            </w:r>
          </w:p>
        </w:tc>
      </w:tr>
      <w:tr>
        <w:trPr>
          <w:trHeight w:val="28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8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(83,204)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(79,415)</w:t>
            </w:r>
          </w:p>
        </w:tc>
      </w:tr>
      <w:tr>
        <w:trPr>
          <w:trHeight w:val="260"/>
        </w:trPr>
        <w:tc>
          <w:tcPr>
            <w:tcW w:w="6540" w:type="dxa"/>
            <w:vAlign w:val="bottom"/>
            <w:gridSpan w:val="2"/>
          </w:tcPr>
          <w:p>
            <w:pPr>
              <w:ind w:left="18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(226,268)</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(106,858)</w:t>
            </w:r>
          </w:p>
        </w:tc>
      </w:tr>
      <w:tr>
        <w:trPr>
          <w:trHeight w:val="273"/>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rates on cash</w:t>
            </w:r>
          </w:p>
        </w:tc>
        <w:tc>
          <w:tcPr>
            <w:tcW w:w="8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(3,209)</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r>
      <w:tr>
        <w:trPr>
          <w:trHeight w:val="250"/>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(940,372)</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(835,877)</w:t>
            </w:r>
          </w:p>
        </w:tc>
      </w:tr>
      <w:tr>
        <w:trPr>
          <w:trHeight w:val="122"/>
        </w:trPr>
        <w:tc>
          <w:tcPr>
            <w:tcW w:w="64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decreased, primarily due to changes in tax balances resulting from the Tax Legislation.</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$83.2 million for the six months ended October 31, 2018 compared to $79.4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This change resulted primarily from higher capital expenditures.</w:t>
      </w:r>
    </w:p>
    <w:p>
      <w:pPr>
        <w:spacing w:after="0" w:line="4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$226.3 million for the six months ended October 31,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$106.9 million in the prior year period. This change resulted primarily from share repurchases completed in the current year, as discussed in Item 1, note 3 to the consolidated financial statements, and lower stock option exercises compared to the prior year.</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$103.5 million and $100.1 million for the six months ended October 31, 2018 and 2017,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2015, we announced that our Board of Directors approved a $3.5 billion share repurchase program, effective through June 2019. As a part of the repurchase program, in the current year, we purchased $97.1 million million of our common stock at an average price of $23.27 per share. See Item 1, note 3 to the consolidated financial statements for additional information. Although we may continue to repurchase shares, there is no assurance that we will purchase up the full Board authorization.</w:t>
      </w:r>
    </w:p>
    <w:p>
      <w:pPr>
        <w:spacing w:after="0" w:line="7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$66.4 million and $56.8 million for the six months ended October 31, 2018 and 2017,</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franchisee and competitor businesses totaling $24.5 million and $27.5 million for the six months ended October 31, 2018 and 2017, respectively.</w:t>
      </w:r>
    </w:p>
    <w:p>
      <w:pPr>
        <w:spacing w:after="0" w:line="6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Our 2018 CLOC has capacity up to $2.0 billion, and is scheduled to expire in September 2023.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2018 CLOC may be used for working capital needs or for other general corporate purposes. We were in compliance with our 2018 CLOC covenants and had no outstanding balance as of October 31, 2018. Amounts available to borrow were limited by the debt-to-EBITDA covenant to approximately $1.7 billion as of October 31, 2018. See Item 1, note 6 to the consolidated financial statements for discussion of the Senior Notes and our 2018 CLOC.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300355</wp:posOffset>
            </wp:positionV>
            <wp:extent cx="22288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ectPr>
          <w:pgSz w:w="11900" w:h="16838" w:orient="portrait"/>
          <w:cols w:equalWidth="0" w:num="1">
            <w:col w:w="11420"/>
          </w:cols>
          <w:pgMar w:left="240" w:top="249"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as of October 31, 2018 and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2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October 31, 2018</w:t>
            </w: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April 30, 2018</w:t>
            </w:r>
          </w:p>
        </w:tc>
        <w:tc>
          <w:tcPr>
            <w:tcW w:w="1140" w:type="dxa"/>
            <w:vAlign w:val="bottom"/>
            <w:tcBorders>
              <w:bottom w:val="single" w:sz="8" w:color="auto"/>
            </w:tcBorders>
          </w:tcPr>
          <w:p>
            <w:pPr>
              <w:spacing w:after="0"/>
              <w:rPr>
                <w:sz w:val="19"/>
                <w:szCs w:val="19"/>
                <w:color w:val="auto"/>
              </w:rPr>
            </w:pPr>
          </w:p>
        </w:tc>
      </w:tr>
      <w:tr>
        <w:trPr>
          <w:trHeight w:val="264"/>
        </w:trPr>
        <w:tc>
          <w:tcPr>
            <w:tcW w:w="21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Short-term</w:t>
            </w: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Long-term</w:t>
            </w: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Outlook</w:t>
            </w: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Short-term</w:t>
            </w:r>
          </w:p>
        </w:tc>
        <w:tc>
          <w:tcPr>
            <w:tcW w:w="14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Long-term</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Outlook</w:t>
            </w:r>
          </w:p>
        </w:tc>
      </w:tr>
      <w:tr>
        <w:trPr>
          <w:trHeight w:val="270"/>
        </w:trPr>
        <w:tc>
          <w:tcPr>
            <w:tcW w:w="2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P-3</w:t>
            </w: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Baa3</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Negative</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P-3</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Baa3</w:t>
            </w:r>
          </w:p>
        </w:tc>
        <w:tc>
          <w:tcPr>
            <w:tcW w:w="11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Stable</w:t>
            </w:r>
          </w:p>
        </w:tc>
      </w:tr>
      <w:tr>
        <w:trPr>
          <w:trHeight w:val="264"/>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S&amp;P</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A-2</w:t>
            </w:r>
          </w:p>
        </w:tc>
        <w:tc>
          <w:tcPr>
            <w:tcW w:w="15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BBB</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Stable</w:t>
            </w: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A-2</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BBB</w:t>
            </w: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Stable</w:t>
            </w:r>
          </w:p>
        </w:tc>
      </w:tr>
    </w:tbl>
    <w:p>
      <w:pPr>
        <w:spacing w:after="0" w:line="107" w:lineRule="exact"/>
        <w:rPr>
          <w:sz w:val="20"/>
          <w:szCs w:val="20"/>
          <w:color w:val="auto"/>
        </w:rPr>
      </w:pPr>
    </w:p>
    <w:p>
      <w:pPr>
        <w:jc w:val="both"/>
        <w:ind w:right="20" w:firstLine="230"/>
        <w:spacing w:after="0" w:line="262" w:lineRule="auto"/>
        <w:rPr>
          <w:sz w:val="20"/>
          <w:szCs w:val="20"/>
          <w:color w:val="auto"/>
        </w:rPr>
      </w:pPr>
      <w:r>
        <w:rPr>
          <w:rFonts w:ascii="Arial" w:cs="Arial" w:eastAsia="Arial" w:hAnsi="Arial"/>
          <w:sz w:val="18"/>
          <w:szCs w:val="18"/>
          <w:color w:val="auto"/>
        </w:rPr>
        <w:t>Other than as described above, there have been no material changes in our borrowings from those reported as of April 30, 2018 in our Annual Report on Form 10-K.</w:t>
      </w:r>
    </w:p>
    <w:p>
      <w:pPr>
        <w:spacing w:after="0" w:line="66"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October 31, 2018, we held cash and cash equivalents, excluding restricted amounts, of $600.8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$111.5 million held by our foreign subsidiaries.</w:t>
      </w:r>
    </w:p>
    <w:p>
      <w:pPr>
        <w:spacing w:after="0" w:line="45"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exchange rate risk, we sometimes enter into foreign exchange forward contracts. There were no forward contracts outstanding as of October 31, 2018.</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decrease of $3.2 million during the six months ended October 31, 2018 compared to a decrease of $1.1 million in the prior year.</w:t>
      </w:r>
    </w:p>
    <w:p>
      <w:pPr>
        <w:spacing w:after="0" w:line="6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for our exercise of a purchase option to acquire an office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previously recorded as a capital lease as disclosed in Item 1, note 6, there have been no material changes in our contractual obligations and commercial commitments from those reported as of April 30, 2018 in our Annual Report on Form 10-K.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17, 2017, the Consumer Financial Protection Bureau (CFPB) officially published its final rule changing the regulation of certain consumer credit products, including payday loans, vehicle title loans, and high-cost installment loans (Payday Rule). Certain limited provisions of the Payday Rule became effective on January 16, 2018, but most provisions do not become effective until August 19, 2019. The CFPB has announced that it expects to issue a Notice of Proposed Rulemaking by no later than early 2019 that will address reconsideration of the Payday Rule on the merits as well as address changes to its compliance date. In addition, on November 6, 2018, a Texas federal district court granted a stay of the August 19, 2019 compliance date. Given these developments, we are unsure whether, when, and in what form, the Payday Rule will go into effect. Depending on the outcome of the rulemaking process and litigation, which may include the Payday Rule becoming effective in its current form, the Payday Rule may have a material adverse impact on the EA product, our business, and our consolidated financial position, results of operations, and cash flows. We will continue to analyze the potential impact on the Company as the CFPB’s rulemaking process progresses.</w:t>
      </w:r>
    </w:p>
    <w:p>
      <w:pPr>
        <w:spacing w:after="0" w:line="10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There have been no other material changes in our regulatory environment from what was reported as of April 30, 2018 in our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consider whether significant items that arise in the future should be excluded from our non-GAAP financial measures.</w:t>
      </w:r>
    </w:p>
    <w:p>
      <w:pPr>
        <w:spacing w:after="0" w:line="117" w:lineRule="exact"/>
        <w:rPr>
          <w:sz w:val="20"/>
          <w:szCs w:val="20"/>
          <w:color w:val="auto"/>
        </w:rPr>
      </w:pPr>
    </w:p>
    <w:p>
      <w:pPr>
        <w:jc w:val="both"/>
        <w:ind w:right="20" w:firstLine="230"/>
        <w:spacing w:after="0" w:line="262"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EBITDA margin from continuing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23177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22"/>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free cash flow. We also use EBITDA from continuing operations and pretax income of continuing operations, each subject to permitted adjustments, as performance metrics in incentive compensation calculations for our employees.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EBITDA from continuing operations to net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color w:val="auto"/>
              </w:rPr>
              <w:t>Three months ended October 31,</w:t>
            </w:r>
          </w:p>
        </w:tc>
        <w:tc>
          <w:tcPr>
            <w:tcW w:w="3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color w:val="auto"/>
              </w:rPr>
              <w:t>Six months ended October 31,</w:t>
            </w:r>
          </w:p>
        </w:tc>
      </w:tr>
      <w:tr>
        <w:trPr>
          <w:trHeight w:val="264"/>
        </w:trPr>
        <w:tc>
          <w:tcPr>
            <w:tcW w:w="4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2017</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 as reported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(176,276)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(328,946)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(284,133)</w:t>
            </w: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Discontinued operations, net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5,339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9,212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8,003</w:t>
            </w: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 as reported</w:t>
            </w:r>
          </w:p>
        </w:tc>
        <w:tc>
          <w:tcPr>
            <w:tcW w:w="3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(170,937)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(148,312)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(319,734)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(276,130)</w:t>
            </w:r>
          </w:p>
        </w:tc>
      </w:tr>
      <w:tr>
        <w:trPr>
          <w:trHeight w:val="25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Add back:</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of continuing operations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(61,053)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(111,021)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(165,354)</w:t>
            </w:r>
          </w:p>
        </w:tc>
      </w:tr>
      <w:tr>
        <w:trPr>
          <w:trHeight w:val="26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 expense of continuing operations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21,191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21,265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42,381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42,542</w:t>
            </w:r>
          </w:p>
        </w:tc>
      </w:tr>
      <w:tr>
        <w:trPr>
          <w:trHeight w:val="273"/>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continuing operations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41,493</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44,792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81,925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88,390</w:t>
            </w:r>
          </w:p>
        </w:tc>
      </w:tr>
      <w:tr>
        <w:trPr>
          <w:trHeight w:val="250"/>
        </w:trPr>
        <w:tc>
          <w:tcPr>
            <w:tcW w:w="45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1,631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13,285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(34,422)</w:t>
            </w: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(169,306)</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(306,449)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(310,552)</w:t>
            </w:r>
          </w:p>
        </w:tc>
      </w:tr>
      <w:tr>
        <w:trPr>
          <w:trHeight w:val="122"/>
        </w:trPr>
        <w:tc>
          <w:tcPr>
            <w:tcW w:w="4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10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guidance from the IRS, SEC, or the FASB about the Tax Legislation, and future actions of the Company. Investors should understand that it is not possible to predict or identify all such factors and, consequently, should not consider any such list to be a complete set of all potential risks or uncertainties.</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2018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301625</wp:posOffset>
            </wp:positionV>
            <wp:extent cx="2228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33</w:t>
      </w:r>
    </w:p>
    <w:p>
      <w:pPr>
        <w:sectPr>
          <w:pgSz w:w="11900" w:h="16838" w:orient="portrait"/>
          <w:cols w:equalWidth="0" w:num="1">
            <w:col w:w="11420"/>
          </w:cols>
          <w:pgMar w:left="240" w:top="249"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2018 in our Annual Report on Form 10-K.</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or are reasonably likely to materially affect, our internal control over financial reporting.</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Part I, Item 1, note 10 to the consolidated financial statements.</w:t>
      </w:r>
    </w:p>
    <w:p>
      <w:pPr>
        <w:spacing w:after="0" w:line="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described in Part I, Item 2, Regulatory Environment, there have been no material changes in our risk factors from those reported at April 30, 2018 in our Annual Report on Form 10-K.</w:t>
      </w:r>
    </w:p>
    <w:p>
      <w:pPr>
        <w:spacing w:after="0" w:line="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second quarter of fiscal year 2019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 except per share amounts)</w:t>
            </w:r>
          </w:p>
        </w:tc>
      </w:tr>
      <w:tr>
        <w:trPr>
          <w:trHeight w:val="272"/>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20" w:type="dxa"/>
            <w:vAlign w:val="bottom"/>
          </w:tcPr>
          <w:p>
            <w:pPr>
              <w:jc w:val="right"/>
              <w:ind w:right="21"/>
              <w:spacing w:after="0"/>
              <w:rPr>
                <w:sz w:val="20"/>
                <w:szCs w:val="20"/>
                <w:color w:val="auto"/>
              </w:rPr>
            </w:pPr>
            <w:r>
              <w:rPr>
                <w:rFonts w:ascii="Arial" w:cs="Arial" w:eastAsia="Arial" w:hAnsi="Arial"/>
                <w:sz w:val="16"/>
                <w:szCs w:val="16"/>
                <w:color w:val="auto"/>
              </w:rPr>
              <w:t>Maximum Dollar Value of</w:t>
            </w:r>
          </w:p>
        </w:tc>
      </w:tr>
      <w:tr>
        <w:trPr>
          <w:trHeight w:val="189"/>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Purchased as Part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Pr>
          <w:p>
            <w:pPr>
              <w:jc w:val="right"/>
              <w:ind w:right="81"/>
              <w:spacing w:after="0"/>
              <w:rPr>
                <w:sz w:val="20"/>
                <w:szCs w:val="20"/>
                <w:color w:val="auto"/>
              </w:rPr>
            </w:pPr>
            <w:r>
              <w:rPr>
                <w:rFonts w:ascii="Arial" w:cs="Arial" w:eastAsia="Arial" w:hAnsi="Arial"/>
                <w:sz w:val="16"/>
                <w:szCs w:val="16"/>
                <w:color w:val="auto"/>
              </w:rPr>
              <w:t>Shares that May Yet Be</w:t>
            </w:r>
          </w:p>
        </w:tc>
      </w:tr>
      <w:tr>
        <w:trPr>
          <w:trHeight w:val="187"/>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ind w:right="4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Price Paid</w:t>
            </w:r>
          </w:p>
        </w:tc>
        <w:tc>
          <w:tcPr>
            <w:tcW w:w="2500" w:type="dxa"/>
            <w:vAlign w:val="bottom"/>
          </w:tcPr>
          <w:p>
            <w:pPr>
              <w:jc w:val="right"/>
              <w:ind w:right="60"/>
              <w:spacing w:after="0"/>
              <w:rPr>
                <w:sz w:val="20"/>
                <w:szCs w:val="20"/>
                <w:color w:val="auto"/>
              </w:rPr>
            </w:pPr>
            <w:r>
              <w:rPr>
                <w:rFonts w:ascii="Arial" w:cs="Arial" w:eastAsia="Arial" w:hAnsi="Arial"/>
                <w:sz w:val="16"/>
                <w:szCs w:val="16"/>
                <w:color w:val="auto"/>
              </w:rPr>
              <w:t>Publicly Announced Plans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tcPr>
          <w:p>
            <w:pPr>
              <w:jc w:val="right"/>
              <w:ind w:right="81"/>
              <w:spacing w:after="0"/>
              <w:rPr>
                <w:sz w:val="20"/>
                <w:szCs w:val="20"/>
                <w:color w:val="auto"/>
              </w:rPr>
            </w:pPr>
            <w:r>
              <w:rPr>
                <w:rFonts w:ascii="Arial" w:cs="Arial" w:eastAsia="Arial" w:hAnsi="Arial"/>
                <w:sz w:val="16"/>
                <w:szCs w:val="16"/>
                <w:color w:val="auto"/>
              </w:rPr>
              <w:t>Purchased Under the Plans</w:t>
            </w:r>
          </w:p>
        </w:tc>
      </w:tr>
      <w:tr>
        <w:trPr>
          <w:trHeight w:val="217"/>
        </w:trPr>
        <w:tc>
          <w:tcPr>
            <w:tcW w:w="2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40"/>
              <w:spacing w:after="0" w:line="216" w:lineRule="exact"/>
              <w:rPr>
                <w:sz w:val="20"/>
                <w:szCs w:val="20"/>
                <w:color w:val="auto"/>
              </w:rPr>
            </w:pPr>
            <w:r>
              <w:rPr>
                <w:rFonts w:ascii="Arial" w:cs="Arial" w:eastAsia="Arial" w:hAnsi="Arial"/>
                <w:sz w:val="15"/>
                <w:szCs w:val="15"/>
                <w:color w:val="auto"/>
              </w:rPr>
              <w:t xml:space="preserve">Shares Purchased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per Share</w:t>
            </w:r>
          </w:p>
        </w:tc>
        <w:tc>
          <w:tcPr>
            <w:tcW w:w="100" w:type="dxa"/>
            <w:vAlign w:val="bottom"/>
            <w:tcBorders>
              <w:bottom w:val="single" w:sz="8" w:color="CCEEFF"/>
            </w:tcBorders>
          </w:tcPr>
          <w:p>
            <w:pPr>
              <w:spacing w:after="0"/>
              <w:rPr>
                <w:sz w:val="18"/>
                <w:szCs w:val="18"/>
                <w:color w:val="auto"/>
              </w:rPr>
            </w:pPr>
          </w:p>
        </w:tc>
        <w:tc>
          <w:tcPr>
            <w:tcW w:w="2500" w:type="dxa"/>
            <w:vAlign w:val="bottom"/>
            <w:tcBorders>
              <w:bottom w:val="single" w:sz="8" w:color="auto"/>
            </w:tcBorders>
          </w:tcPr>
          <w:p>
            <w:pPr>
              <w:jc w:val="right"/>
              <w:ind w:right="20"/>
              <w:spacing w:after="0" w:line="21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5"/>
                <w:szCs w:val="25"/>
                <w:color w:val="auto"/>
                <w:vertAlign w:val="superscript"/>
              </w:rPr>
              <w:t>(2)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15"/>
                <w:szCs w:val="15"/>
                <w:color w:val="auto"/>
              </w:rPr>
              <w:t xml:space="preserve">or Programs </w:t>
            </w:r>
            <w:r>
              <w:rPr>
                <w:rFonts w:ascii="Arial" w:cs="Arial" w:eastAsia="Arial" w:hAnsi="Arial"/>
                <w:sz w:val="25"/>
                <w:szCs w:val="25"/>
                <w:color w:val="auto"/>
                <w:vertAlign w:val="superscript"/>
              </w:rPr>
              <w:t>(2)</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96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26.92</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1,086,148</w:t>
            </w:r>
          </w:p>
        </w:tc>
      </w:tr>
      <w:tr>
        <w:trPr>
          <w:trHeight w:val="26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September 1 - September 30</w:t>
            </w:r>
          </w:p>
        </w:tc>
        <w:tc>
          <w:tcPr>
            <w:tcW w:w="1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5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tcPr>
          <w:p>
            <w:pPr>
              <w:jc w:val="right"/>
              <w:ind w:right="21"/>
              <w:spacing w:after="0"/>
              <w:rPr>
                <w:sz w:val="20"/>
                <w:szCs w:val="20"/>
                <w:color w:val="auto"/>
              </w:rPr>
            </w:pPr>
            <w:r>
              <w:rPr>
                <w:rFonts w:ascii="Arial" w:cs="Arial" w:eastAsia="Arial" w:hAnsi="Arial"/>
                <w:sz w:val="16"/>
                <w:szCs w:val="16"/>
                <w:b w:val="1"/>
                <w:bCs w:val="1"/>
                <w:color w:val="auto"/>
              </w:rPr>
              <w:t>1,086,148</w:t>
            </w:r>
          </w:p>
        </w:tc>
      </w:tr>
      <w:tr>
        <w:trPr>
          <w:trHeight w:val="27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5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1,086,148</w:t>
            </w:r>
          </w:p>
        </w:tc>
      </w:tr>
      <w:tr>
        <w:trPr>
          <w:trHeight w:val="250"/>
        </w:trPr>
        <w:tc>
          <w:tcPr>
            <w:tcW w:w="2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26.90</w:t>
            </w:r>
          </w:p>
        </w:tc>
        <w:tc>
          <w:tcPr>
            <w:tcW w:w="100" w:type="dxa"/>
            <w:vAlign w:val="bottom"/>
            <w:tcBorders>
              <w:bottom w:val="single" w:sz="8" w:color="CCEEFF"/>
            </w:tcBorders>
          </w:tcPr>
          <w:p>
            <w:pPr>
              <w:spacing w:after="0"/>
              <w:rPr>
                <w:sz w:val="21"/>
                <w:szCs w:val="21"/>
                <w:color w:val="auto"/>
              </w:rPr>
            </w:pP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tcPr>
          <w:p>
            <w:pPr>
              <w:spacing w:after="0"/>
              <w:rPr>
                <w:sz w:val="21"/>
                <w:szCs w:val="21"/>
                <w:color w:val="auto"/>
              </w:rPr>
            </w:pPr>
          </w:p>
        </w:tc>
      </w:tr>
      <w:tr>
        <w:trPr>
          <w:trHeight w:val="122"/>
        </w:trPr>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60" w:right="20" w:hanging="325"/>
        <w:spacing w:after="0" w:line="190" w:lineRule="auto"/>
        <w:tabs>
          <w:tab w:leader="none" w:pos="36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We purchased approximately 16 thousand shares in connection with funding employee income tax withholding obligations arising upon the lapse of restrictions on restricted shares and restricted share units.</w:t>
      </w:r>
    </w:p>
    <w:p>
      <w:pPr>
        <w:spacing w:after="0" w:line="1" w:lineRule="exact"/>
        <w:rPr>
          <w:rFonts w:ascii="Arial" w:cs="Arial" w:eastAsia="Arial" w:hAnsi="Arial"/>
          <w:sz w:val="24"/>
          <w:szCs w:val="24"/>
          <w:color w:val="auto"/>
          <w:vertAlign w:val="superscript"/>
        </w:rPr>
      </w:pPr>
    </w:p>
    <w:p>
      <w:pPr>
        <w:ind w:left="360" w:hanging="325"/>
        <w:spacing w:after="0" w:line="199" w:lineRule="auto"/>
        <w:tabs>
          <w:tab w:leader="none" w:pos="36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In September 2015, we announced that our Board of Directors approved a $3.5 billion share repurchase program, effective through June 2019.</w:t>
      </w:r>
    </w:p>
    <w:p>
      <w:pPr>
        <w:spacing w:after="0" w:line="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23177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00" w:hanging="290"/>
        <w:spacing w:after="0"/>
        <w:tabs>
          <w:tab w:leader="none" w:pos="40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20"/>
          </w:cols>
          <w:pgMar w:left="240" w:top="249"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279" w:lineRule="exact"/>
        <w:rPr>
          <w:sz w:val="20"/>
          <w:szCs w:val="20"/>
          <w:color w:val="auto"/>
        </w:rPr>
      </w:pPr>
    </w:p>
    <w:p>
      <w:pPr>
        <w:jc w:val="both"/>
        <w:ind w:left="820" w:hanging="809"/>
        <w:spacing w:after="0" w:line="250"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68">
        <w:r>
          <w:rPr>
            <w:rFonts w:ascii="Arial" w:cs="Arial" w:eastAsia="Arial" w:hAnsi="Arial"/>
            <w:sz w:val="18"/>
            <w:szCs w:val="18"/>
            <w:u w:val="single" w:color="auto"/>
            <w:color w:val="0000FF"/>
          </w:rPr>
          <w:t>Third Amended and Restated Credit and Guarantee Agreement dated September 21, 2018, by and among Block Financial LLC,</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H&amp;R Block, Inc., the lenders party thereto from time to time, and JPMorgan Chase Bank, N.A., as administrative agent, filed as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Exhibit 10.1 to the Company's current report on Form 8–K filed on September 24, 2018, file number 1–06089, is incorporated herein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by reference.</w:t>
        </w:r>
      </w:hyperlink>
    </w:p>
    <w:p>
      <w:pPr>
        <w:spacing w:after="0" w:line="2"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39">
        <w:r>
          <w:rPr>
            <w:rFonts w:ascii="Arial" w:cs="Arial" w:eastAsia="Arial" w:hAnsi="Arial"/>
            <w:sz w:val="17"/>
            <w:szCs w:val="17"/>
            <w:u w:val="single" w:color="auto"/>
            <w:color w:val="0000FF"/>
          </w:rPr>
          <w:t>Certification by Chief Executive Officer pursuant to Section 302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40">
        <w:r>
          <w:rPr>
            <w:rFonts w:ascii="Arial" w:cs="Arial" w:eastAsia="Arial" w:hAnsi="Arial"/>
            <w:sz w:val="17"/>
            <w:szCs w:val="17"/>
            <w:u w:val="single" w:color="auto"/>
            <w:color w:val="0000FF"/>
          </w:rPr>
          <w:t>Certification by Chief Financial Officer pursuant to Section 302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41">
        <w:r>
          <w:rPr>
            <w:rFonts w:ascii="Arial" w:cs="Arial" w:eastAsia="Arial" w:hAnsi="Arial"/>
            <w:sz w:val="17"/>
            <w:szCs w:val="17"/>
            <w:u w:val="single" w:color="auto"/>
            <w:color w:val="0000FF"/>
          </w:rPr>
          <w:t>Certification by Chief Executive Officer pursuant to 18 U.S.C. 1350, as adopted by Section 906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42">
        <w:r>
          <w:rPr>
            <w:rFonts w:ascii="Arial" w:cs="Arial" w:eastAsia="Arial" w:hAnsi="Arial"/>
            <w:sz w:val="17"/>
            <w:szCs w:val="17"/>
            <w:u w:val="single" w:color="auto"/>
            <w:color w:val="0000FF"/>
          </w:rPr>
          <w:t>Certification by Chief Financial Officer pursuant to 18 U.S.C. 1350, as adopted by Section 906 of the Sarbanes-Oxley Act of 2002.</w:t>
        </w:r>
      </w:hyperlink>
    </w:p>
    <w:p>
      <w:pPr>
        <w:spacing w:after="0" w:line="9" w:lineRule="exact"/>
        <w:rPr>
          <w:rFonts w:ascii="Arial" w:cs="Arial" w:eastAsia="Arial" w:hAnsi="Arial"/>
          <w:sz w:val="18"/>
          <w:szCs w:val="18"/>
          <w:u w:val="single" w:color="auto"/>
          <w:color w:val="0000FF"/>
        </w:rPr>
      </w:pPr>
    </w:p>
    <w:p>
      <w:pPr>
        <w:spacing w:after="0"/>
        <w:tabs>
          <w:tab w:leader="none" w:pos="80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101.SCH XBRL Taxonomy Extension Schema</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101.CAL XBRL Extension Calculation Linkbase</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101.LAB  XBRL Taxonomy Extension Label Linkbase</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101.PRE XBRL Taxonomy Extension Presentation Linkbase</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101.DEF XBRL Taxonomy Extension Definition Linkbase</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7028815</wp:posOffset>
            </wp:positionH>
            <wp:positionV relativeFrom="paragraph">
              <wp:posOffset>314960</wp:posOffset>
            </wp:positionV>
            <wp:extent cx="2228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90" w:lineRule="exact"/>
        <w:rPr>
          <w:rFonts w:ascii="Arial" w:cs="Arial" w:eastAsia="Arial" w:hAnsi="Arial"/>
          <w:sz w:val="18"/>
          <w:szCs w:val="18"/>
          <w:u w:val="single" w:color="auto"/>
          <w:color w:val="0000FF"/>
        </w:rPr>
      </w:pPr>
    </w:p>
    <w:p>
      <w:pPr>
        <w:ind w:left="83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FY2019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35</w:t>
      </w:r>
    </w:p>
    <w:p>
      <w:pPr>
        <w:sectPr>
          <w:pgSz w:w="11900" w:h="16838" w:orient="portrait"/>
          <w:cols w:equalWidth="0" w:num="1">
            <w:col w:w="11420"/>
          </w:cols>
          <w:pgMar w:left="240" w:top="249"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H&amp;R BLOCK, INC.</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December 7, 2018</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December 7, 2018</w:t>
      </w:r>
    </w:p>
    <w:p>
      <w:pPr>
        <w:spacing w:after="0" w:line="37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2317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31775" cy="13716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400" w:hanging="290"/>
        <w:spacing w:after="0"/>
        <w:tabs>
          <w:tab w:leader="none" w:pos="400" w:val="left"/>
        </w:tabs>
        <w:numPr>
          <w:ilvl w:val="0"/>
          <w:numId w:val="25"/>
        </w:numPr>
        <w:rPr>
          <w:rFonts w:ascii="Arial" w:cs="Arial" w:eastAsia="Arial" w:hAnsi="Arial"/>
          <w:sz w:val="14"/>
          <w:szCs w:val="14"/>
          <w:color w:val="FFFFFF"/>
          <w:highlight w:val="black"/>
        </w:rPr>
      </w:pPr>
      <w:r>
        <w:rPr>
          <w:rFonts w:ascii="Arial" w:cs="Arial" w:eastAsia="Arial" w:hAnsi="Arial"/>
          <w:sz w:val="14"/>
          <w:szCs w:val="14"/>
          <w:color w:val="auto"/>
        </w:rPr>
        <w:t xml:space="preserve">Q2 FY2019 Form 10-Q | </w:t>
      </w:r>
      <w:r>
        <w:rPr>
          <w:rFonts w:ascii="Arial" w:cs="Arial" w:eastAsia="Arial" w:hAnsi="Arial"/>
          <w:sz w:val="14"/>
          <w:szCs w:val="14"/>
          <w:b w:val="1"/>
          <w:bCs w:val="1"/>
          <w:color w:val="auto"/>
        </w:rPr>
        <w:t>H&amp;R Block, Inc.</w:t>
      </w:r>
    </w:p>
    <w:p>
      <w:pPr>
        <w:sectPr>
          <w:pgSz w:w="11900" w:h="16838" w:orient="portrait"/>
          <w:cols w:equalWidth="0" w:num="1">
            <w:col w:w="11400"/>
          </w:cols>
          <w:pgMar w:left="240" w:top="249"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sz w:val="20"/>
          <w:szCs w:val="20"/>
          <w:color w:val="auto"/>
        </w:rPr>
      </w:pPr>
    </w:p>
    <w:p>
      <w:pPr>
        <w:ind w:right="10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160" w:firstLine="8"/>
        <w:spacing w:after="0" w:line="291" w:lineRule="auto"/>
        <w:tabs>
          <w:tab w:leader="none" w:pos="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820" w:firstLine="8"/>
        <w:spacing w:after="0" w:line="26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December 7, 2018</w:t>
      </w:r>
      <w:r>
        <w:rPr>
          <w:sz w:val="20"/>
          <w:szCs w:val="20"/>
          <w:color w:val="auto"/>
        </w:rPr>
        <w:tab/>
      </w:r>
      <w:r>
        <w:rPr>
          <w:rFonts w:ascii="Arial" w:cs="Arial" w:eastAsia="Arial" w:hAnsi="Arial"/>
          <w:sz w:val="17"/>
          <w:szCs w:val="17"/>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Jeffrey J. Jones II</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14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31.2</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right="120" w:firstLine="8"/>
        <w:spacing w:after="0" w:line="250" w:lineRule="auto"/>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sz w:val="20"/>
          <w:szCs w:val="20"/>
          <w:color w:val="auto"/>
        </w:rPr>
      </w:pPr>
    </w:p>
    <w:p>
      <w:pPr>
        <w:ind w:right="100" w:firstLine="8"/>
        <w:spacing w:after="0" w:line="25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380" w:firstLine="8"/>
        <w:spacing w:after="0" w:line="25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340" w:firstLine="8"/>
        <w:spacing w:after="0" w:line="262"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160" w:firstLine="8"/>
        <w:spacing w:after="0" w:line="291" w:lineRule="auto"/>
        <w:tabs>
          <w:tab w:leader="none" w:pos="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sz w:val="20"/>
          <w:szCs w:val="20"/>
          <w:color w:val="auto"/>
        </w:rPr>
      </w:pPr>
    </w:p>
    <w:p>
      <w:pPr>
        <w:ind w:right="820" w:firstLine="8"/>
        <w:spacing w:after="0" w:line="262"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right="420" w:firstLine="8"/>
        <w:spacing w:after="0" w:line="262"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40"/>
        <w:spacing w:after="0"/>
        <w:tabs>
          <w:tab w:leader="none" w:pos="600" w:val="left"/>
          <w:tab w:leader="none" w:pos="6860" w:val="left"/>
        </w:tabs>
        <w:rPr>
          <w:sz w:val="20"/>
          <w:szCs w:val="20"/>
          <w:color w:val="auto"/>
        </w:rPr>
      </w:pPr>
      <w:r>
        <w:rPr>
          <w:rFonts w:ascii="Arial" w:cs="Arial" w:eastAsia="Arial" w:hAnsi="Arial"/>
          <w:sz w:val="18"/>
          <w:szCs w:val="18"/>
          <w:color w:val="auto"/>
        </w:rPr>
        <w:t>Date:</w:t>
        <w:tab/>
        <w:t>December 7, 2018</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Tony G. Bowen</w:t>
      </w:r>
    </w:p>
    <w:p>
      <w:pPr>
        <w:spacing w:after="0" w:line="4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ind w:left="68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420"/>
          </w:cols>
          <w:pgMar w:left="240" w:top="24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right="20"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October 31, 2018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18"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14605</wp:posOffset>
            </wp:positionV>
            <wp:extent cx="21355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Jeffrey J. Jones II</w:t>
      </w:r>
    </w:p>
    <w:p>
      <w:pPr>
        <w:ind w:left="80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December 7, 2018</w:t>
      </w:r>
    </w:p>
    <w:p>
      <w:pPr>
        <w:sectPr>
          <w:pgSz w:w="11900" w:h="16838" w:orient="portrait"/>
          <w:cols w:equalWidth="0" w:num="1">
            <w:col w:w="11420"/>
          </w:cols>
          <w:pgMar w:left="240" w:top="14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October 31, 2018 as filed with the Securities and Exchange Commission on the date hereof (the “Report”), I, Tony G. Bowen, Chief Financial Officer of the Company, certify pursuant to 18 U.S.C. § 1350, as adopted pursuant to § 906 of the Sarbanes-Oxley Act of 2002, that:</w:t>
      </w:r>
    </w:p>
    <w:p>
      <w:pPr>
        <w:spacing w:after="0" w:line="218"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4"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14605</wp:posOffset>
            </wp:positionV>
            <wp:extent cx="21437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Tony G. Bowen</w:t>
      </w:r>
    </w:p>
    <w:p>
      <w:pPr>
        <w:ind w:left="80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December 7, 2018</w:t>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2"/>
      <w:numFmt w:val="bullet"/>
      <w:start w:val="1"/>
    </w:lvl>
  </w:abstractNum>
  <w:abstractNum w:abstractNumId="3">
    <w:nsid w:val="257130A3"/>
    <w:multiLevelType w:val="hybridMultilevel"/>
    <w:lvl w:ilvl="0">
      <w:lvlJc w:val="left"/>
      <w:lvlText w:val="4"/>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6"/>
      <w:numFmt w:val="bullet"/>
      <w:start w:val="1"/>
    </w:lvl>
  </w:abstractNum>
  <w:abstractNum w:abstractNumId="7">
    <w:nsid w:val="333AB105"/>
    <w:multiLevelType w:val="hybridMultilevel"/>
    <w:lvl w:ilvl="0">
      <w:lvlJc w:val="left"/>
      <w:lvlText w:val="8"/>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2"/>
    </w:lvl>
  </w:abstractNum>
  <w:abstractNum w:abstractNumId="12">
    <w:nsid w:val="75A2A8D4"/>
    <w:multiLevelType w:val="hybridMultilevel"/>
    <w:lvl w:ilvl="0">
      <w:lvlJc w:val="left"/>
      <w:lvlText w:val="%1"/>
      <w:numFmt w:val="decimal"/>
      <w:start w:val="14"/>
    </w:lvl>
  </w:abstractNum>
  <w:abstractNum w:abstractNumId="13">
    <w:nsid w:val="8EDBDAB"/>
    <w:multiLevelType w:val="hybridMultilevel"/>
    <w:lvl w:ilvl="0">
      <w:lvlJc w:val="left"/>
      <w:lvlText w:val="%1"/>
      <w:numFmt w:val="decimal"/>
      <w:start w:val="16"/>
    </w:lvl>
  </w:abstractNum>
  <w:abstractNum w:abstractNumId="14">
    <w:nsid w:val="79838CB2"/>
    <w:multiLevelType w:val="hybridMultilevel"/>
    <w:lvl w:ilvl="0">
      <w:lvlJc w:val="left"/>
      <w:lvlText w:val="%1"/>
      <w:numFmt w:val="decimal"/>
      <w:start w:val="18"/>
    </w:lvl>
  </w:abstractNum>
  <w:abstractNum w:abstractNumId="15">
    <w:nsid w:val="4353D0CD"/>
    <w:multiLevelType w:val="hybridMultilevel"/>
    <w:lvl w:ilvl="0">
      <w:lvlJc w:val="left"/>
      <w:lvlText w:val="%1"/>
      <w:numFmt w:val="decimal"/>
      <w:start w:val="22"/>
    </w:lvl>
  </w:abstractNum>
  <w:abstractNum w:abstractNumId="16">
    <w:nsid w:val="B03E0C6"/>
    <w:multiLevelType w:val="hybridMultilevel"/>
    <w:lvl w:ilvl="0">
      <w:lvlJc w:val="left"/>
      <w:lvlText w:val="%1"/>
      <w:numFmt w:val="decimal"/>
      <w:start w:val="26"/>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28"/>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30"/>
    </w:lvl>
  </w:abstractNum>
  <w:abstractNum w:abstractNumId="21">
    <w:nsid w:val="836C40E"/>
    <w:multiLevelType w:val="hybridMultilevel"/>
    <w:lvl w:ilvl="0">
      <w:lvlJc w:val="left"/>
      <w:lvlText w:val="%1"/>
      <w:numFmt w:val="decimal"/>
      <w:start w:val="32"/>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34"/>
    </w:lvl>
  </w:abstractNum>
  <w:abstractNum w:abstractNumId="24">
    <w:nsid w:val="8138641"/>
    <w:multiLevelType w:val="hybridMultilevel"/>
    <w:lvl w:ilvl="0">
      <w:lvlJc w:val="left"/>
      <w:lvlText w:val="%1"/>
      <w:numFmt w:val="decimal"/>
      <w:start w:val="36"/>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68" Type="http://schemas.openxmlformats.org/officeDocument/2006/relationships/hyperlink" Target="http://www.sec.gov/Archives/edgar/data/12659/000160529718000012/hrb8-k92118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2019-12-28T17:28:39Z</dcterms:created>
  <dcterms:modified xsi:type="dcterms:W3CDTF">2019-12-28T17:28:39Z</dcterms:modified>
</cp:coreProperties>
</file>