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5"/>
          <w:szCs w:val="15"/>
          <w:u w:val="single" w:color="auto"/>
          <w:color w:val="0000EE"/>
        </w:rPr>
      </w:pPr>
      <w:hyperlink w:anchor="page1">
        <w:r>
          <w:rPr>
            <w:rFonts w:ascii="Arial" w:cs="Arial" w:eastAsia="Arial" w:hAnsi="Arial"/>
            <w:sz w:val="15"/>
            <w:szCs w:val="15"/>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left="520"/>
        <w:spacing w:after="0"/>
        <w:rPr>
          <w:sz w:val="20"/>
          <w:szCs w:val="20"/>
          <w:color w:val="auto"/>
        </w:rPr>
      </w:pPr>
      <w:r>
        <w:rPr>
          <w:rFonts w:ascii="Arial" w:cs="Arial" w:eastAsia="Arial" w:hAnsi="Arial"/>
          <w:sz w:val="17"/>
          <w:szCs w:val="17"/>
          <w:color w:val="auto"/>
        </w:rPr>
        <w:t>(Mark One)</w:t>
      </w:r>
    </w:p>
    <w:p>
      <w:pPr>
        <w:spacing w:after="0" w:line="123" w:lineRule="exact"/>
        <w:rPr>
          <w:sz w:val="24"/>
          <w:szCs w:val="24"/>
          <w:color w:val="auto"/>
        </w:rPr>
      </w:pPr>
    </w:p>
    <w:p>
      <w:pPr>
        <w:jc w:val="center"/>
        <w:ind w:left="520"/>
        <w:spacing w:after="0" w:line="181" w:lineRule="exact"/>
        <w:rPr>
          <w:sz w:val="20"/>
          <w:szCs w:val="20"/>
          <w:color w:val="auto"/>
        </w:rPr>
      </w:pP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90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UNITED STATES</w:t>
      </w:r>
    </w:p>
    <w:p>
      <w:pPr>
        <w:spacing w:after="0" w:line="31"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FORM 10-Q</w:t>
      </w:r>
    </w:p>
    <w:p>
      <w:pPr>
        <w:spacing w:after="0" w:line="200" w:lineRule="exact"/>
        <w:rPr>
          <w:sz w:val="24"/>
          <w:szCs w:val="24"/>
          <w:color w:val="auto"/>
        </w:rPr>
      </w:pPr>
    </w:p>
    <w:p>
      <w:pPr>
        <w:spacing w:after="0" w:line="241" w:lineRule="exact"/>
        <w:rPr>
          <w:sz w:val="24"/>
          <w:szCs w:val="24"/>
          <w:color w:val="auto"/>
        </w:rPr>
      </w:pPr>
    </w:p>
    <w:p>
      <w:pPr>
        <w:ind w:right="460"/>
        <w:spacing w:after="0" w:line="246" w:lineRule="auto"/>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January 31, 2020</w:t>
      </w:r>
    </w:p>
    <w:p>
      <w:pPr>
        <w:spacing w:after="0" w:line="8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OR</w:t>
      </w:r>
    </w:p>
    <w:p>
      <w:pPr>
        <w:spacing w:after="0" w:line="50" w:lineRule="exact"/>
        <w:rPr>
          <w:sz w:val="24"/>
          <w:szCs w:val="24"/>
          <w:color w:val="auto"/>
        </w:rPr>
      </w:pPr>
    </w:p>
    <w:p>
      <w:pPr>
        <w:ind w:right="460"/>
        <w:spacing w:after="0" w:line="246" w:lineRule="auto"/>
        <w:rPr>
          <w:sz w:val="20"/>
          <w:szCs w:val="20"/>
          <w:color w:val="auto"/>
        </w:rPr>
      </w:pPr>
      <w:r>
        <w:rPr>
          <w:rFonts w:ascii="Arial" w:cs="Arial" w:eastAsia="Arial" w:hAnsi="Arial"/>
          <w:sz w:val="18"/>
          <w:szCs w:val="18"/>
          <w:color w:val="auto"/>
        </w:rPr>
        <w:t>TRANSITION REPORT PURSUANT TO SECTION 13 OR 15(d) OF THE SECURITIES EXCHANGE ACT OF 1934</w:t>
      </w:r>
    </w:p>
    <w:p>
      <w:pPr>
        <w:spacing w:after="0" w:line="13" w:lineRule="exact"/>
        <w:rPr>
          <w:sz w:val="24"/>
          <w:szCs w:val="24"/>
          <w:color w:val="auto"/>
        </w:rPr>
      </w:pPr>
    </w:p>
    <w:p>
      <w:pPr>
        <w:spacing w:after="0"/>
        <w:tabs>
          <w:tab w:leader="none" w:pos="3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44" w:lineRule="exact"/>
        <w:rPr>
          <w:sz w:val="24"/>
          <w:szCs w:val="24"/>
          <w:color w:val="auto"/>
        </w:rPr>
      </w:pPr>
    </w:p>
    <w:p>
      <w:pPr>
        <w:ind w:left="2160"/>
        <w:spacing w:after="0"/>
        <w:rPr>
          <w:sz w:val="20"/>
          <w:szCs w:val="20"/>
          <w:color w:val="auto"/>
        </w:rPr>
      </w:pPr>
      <w:r>
        <w:rPr>
          <w:rFonts w:ascii="Arial" w:cs="Arial" w:eastAsia="Arial" w:hAnsi="Arial"/>
          <w:sz w:val="18"/>
          <w:szCs w:val="18"/>
          <w:b w:val="1"/>
          <w:bCs w:val="1"/>
          <w:color w:val="auto"/>
        </w:rPr>
        <w:t>Commission file number 1-06089</w:t>
      </w:r>
    </w:p>
    <w:p>
      <w:pPr>
        <w:spacing w:after="0" w:line="200" w:lineRule="exact"/>
        <w:rPr>
          <w:sz w:val="24"/>
          <w:szCs w:val="24"/>
          <w:color w:val="auto"/>
        </w:rPr>
      </w:pPr>
    </w:p>
    <w:p>
      <w:pPr>
        <w:spacing w:after="0" w:line="241"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H&amp;R Block, Inc.</w:t>
      </w:r>
    </w:p>
    <w:p>
      <w:pPr>
        <w:spacing w:after="0" w:line="37" w:lineRule="exact"/>
        <w:rPr>
          <w:sz w:val="24"/>
          <w:szCs w:val="24"/>
          <w:color w:val="auto"/>
        </w:rPr>
      </w:pPr>
    </w:p>
    <w:p>
      <w:pPr>
        <w:sectPr>
          <w:pgSz w:w="11900" w:h="16838" w:orient="portrait"/>
          <w:cols w:equalWidth="0" w:num="2">
            <w:col w:w="1420" w:space="640"/>
            <w:col w:w="9180"/>
          </w:cols>
          <w:pgMar w:left="320" w:top="357" w:right="339" w:bottom="1440" w:gutter="0" w:footer="0" w:header="0"/>
          <w:type w:val="continuous"/>
        </w:sectPr>
      </w:pPr>
    </w:p>
    <w:tbl>
      <w:tblPr>
        <w:tblLayout w:type="fixed"/>
        <w:tblInd w:w="1880" w:type="dxa"/>
        <w:tblCellMar>
          <w:top w:w="0" w:type="dxa"/>
          <w:left w:w="0" w:type="dxa"/>
          <w:bottom w:w="0" w:type="dxa"/>
          <w:right w:w="0" w:type="dxa"/>
        </w:tblCellMar>
      </w:tblPr>
      <w:tr>
        <w:trPr>
          <w:trHeight w:val="172"/>
        </w:trPr>
        <w:tc>
          <w:tcPr>
            <w:tcW w:w="2000" w:type="dxa"/>
            <w:vAlign w:val="bottom"/>
          </w:tcPr>
          <w:p>
            <w:pPr>
              <w:spacing w:after="0"/>
              <w:rPr>
                <w:sz w:val="14"/>
                <w:szCs w:val="14"/>
                <w:color w:val="auto"/>
              </w:rPr>
            </w:pPr>
          </w:p>
        </w:tc>
        <w:tc>
          <w:tcPr>
            <w:tcW w:w="5180" w:type="dxa"/>
            <w:vAlign w:val="bottom"/>
          </w:tcPr>
          <w:p>
            <w:pPr>
              <w:ind w:left="100"/>
              <w:spacing w:after="0"/>
              <w:rPr>
                <w:sz w:val="20"/>
                <w:szCs w:val="20"/>
                <w:color w:val="auto"/>
              </w:rPr>
            </w:pPr>
            <w:r>
              <w:rPr>
                <w:rFonts w:ascii="Arial" w:cs="Arial" w:eastAsia="Arial" w:hAnsi="Arial"/>
                <w:sz w:val="14"/>
                <w:szCs w:val="14"/>
                <w:color w:val="auto"/>
              </w:rPr>
              <w:t>(Exact name of registrant as specified in its charter)</w:t>
            </w:r>
          </w:p>
        </w:tc>
      </w:tr>
      <w:tr>
        <w:trPr>
          <w:trHeight w:val="377"/>
        </w:trPr>
        <w:tc>
          <w:tcPr>
            <w:tcW w:w="2000" w:type="dxa"/>
            <w:vAlign w:val="bottom"/>
          </w:tcPr>
          <w:p>
            <w:pPr>
              <w:jc w:val="center"/>
              <w:ind w:right="22"/>
              <w:spacing w:after="0"/>
              <w:rPr>
                <w:sz w:val="20"/>
                <w:szCs w:val="20"/>
                <w:color w:val="auto"/>
              </w:rPr>
            </w:pPr>
            <w:r>
              <w:rPr>
                <w:rFonts w:ascii="Arial" w:cs="Arial" w:eastAsia="Arial" w:hAnsi="Arial"/>
                <w:sz w:val="18"/>
                <w:szCs w:val="18"/>
                <w:b w:val="1"/>
                <w:bCs w:val="1"/>
                <w:color w:val="auto"/>
                <w:w w:val="99"/>
              </w:rPr>
              <w:t>Missouri</w:t>
            </w:r>
          </w:p>
        </w:tc>
        <w:tc>
          <w:tcPr>
            <w:tcW w:w="5180" w:type="dxa"/>
            <w:vAlign w:val="bottom"/>
          </w:tcPr>
          <w:p>
            <w:pPr>
              <w:jc w:val="center"/>
              <w:ind w:left="3984"/>
              <w:spacing w:after="0"/>
              <w:rPr>
                <w:sz w:val="20"/>
                <w:szCs w:val="20"/>
                <w:color w:val="auto"/>
              </w:rPr>
            </w:pPr>
            <w:r>
              <w:rPr>
                <w:rFonts w:ascii="Arial" w:cs="Arial" w:eastAsia="Arial" w:hAnsi="Arial"/>
                <w:sz w:val="18"/>
                <w:szCs w:val="18"/>
                <w:b w:val="1"/>
                <w:bCs w:val="1"/>
                <w:color w:val="auto"/>
                <w:w w:val="99"/>
              </w:rPr>
              <w:t>44-0607856</w:t>
            </w:r>
          </w:p>
        </w:tc>
      </w:tr>
      <w:tr>
        <w:trPr>
          <w:trHeight w:val="244"/>
        </w:trPr>
        <w:tc>
          <w:tcPr>
            <w:tcW w:w="2000" w:type="dxa"/>
            <w:vAlign w:val="bottom"/>
          </w:tcPr>
          <w:p>
            <w:pPr>
              <w:jc w:val="center"/>
              <w:ind w:right="42"/>
              <w:spacing w:after="0"/>
              <w:rPr>
                <w:sz w:val="20"/>
                <w:szCs w:val="20"/>
                <w:color w:val="auto"/>
              </w:rPr>
            </w:pPr>
            <w:r>
              <w:rPr>
                <w:rFonts w:ascii="Arial" w:cs="Arial" w:eastAsia="Arial" w:hAnsi="Arial"/>
                <w:sz w:val="14"/>
                <w:szCs w:val="14"/>
                <w:color w:val="auto"/>
              </w:rPr>
              <w:t>(State or other jurisdiction of</w:t>
            </w:r>
          </w:p>
        </w:tc>
        <w:tc>
          <w:tcPr>
            <w:tcW w:w="5180" w:type="dxa"/>
            <w:vAlign w:val="bottom"/>
          </w:tcPr>
          <w:p>
            <w:pPr>
              <w:jc w:val="center"/>
              <w:ind w:left="3964"/>
              <w:spacing w:after="0"/>
              <w:rPr>
                <w:sz w:val="20"/>
                <w:szCs w:val="20"/>
                <w:color w:val="auto"/>
              </w:rPr>
            </w:pPr>
            <w:r>
              <w:rPr>
                <w:rFonts w:ascii="Arial" w:cs="Arial" w:eastAsia="Arial" w:hAnsi="Arial"/>
                <w:sz w:val="14"/>
                <w:szCs w:val="14"/>
                <w:color w:val="auto"/>
              </w:rPr>
              <w:t>(I.R.S. Employer</w:t>
            </w:r>
          </w:p>
        </w:tc>
      </w:tr>
      <w:tr>
        <w:trPr>
          <w:trHeight w:val="270"/>
        </w:trPr>
        <w:tc>
          <w:tcPr>
            <w:tcW w:w="2000" w:type="dxa"/>
            <w:vAlign w:val="bottom"/>
          </w:tcPr>
          <w:p>
            <w:pPr>
              <w:jc w:val="center"/>
              <w:ind w:right="42"/>
              <w:spacing w:after="0"/>
              <w:rPr>
                <w:sz w:val="20"/>
                <w:szCs w:val="20"/>
                <w:color w:val="auto"/>
              </w:rPr>
            </w:pPr>
            <w:r>
              <w:rPr>
                <w:rFonts w:ascii="Arial" w:cs="Arial" w:eastAsia="Arial" w:hAnsi="Arial"/>
                <w:sz w:val="14"/>
                <w:szCs w:val="14"/>
                <w:color w:val="auto"/>
              </w:rPr>
              <w:t>incorporation or organization)</w:t>
            </w:r>
          </w:p>
        </w:tc>
        <w:tc>
          <w:tcPr>
            <w:tcW w:w="5180" w:type="dxa"/>
            <w:vAlign w:val="bottom"/>
          </w:tcPr>
          <w:p>
            <w:pPr>
              <w:jc w:val="center"/>
              <w:ind w:left="3984"/>
              <w:spacing w:after="0"/>
              <w:rPr>
                <w:sz w:val="20"/>
                <w:szCs w:val="20"/>
                <w:color w:val="auto"/>
              </w:rPr>
            </w:pPr>
            <w:r>
              <w:rPr>
                <w:rFonts w:ascii="Arial" w:cs="Arial" w:eastAsia="Arial" w:hAnsi="Arial"/>
                <w:sz w:val="14"/>
                <w:szCs w:val="14"/>
                <w:color w:val="auto"/>
              </w:rPr>
              <w:t>Identification No.)</w:t>
            </w:r>
          </w:p>
        </w:tc>
      </w:tr>
    </w:tbl>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H&amp;R Block Way, Kansas City, Missouri 64105</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 854-3000</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80" w:lineRule="exact"/>
        <w:rPr>
          <w:sz w:val="24"/>
          <w:szCs w:val="24"/>
          <w:color w:val="auto"/>
        </w:rPr>
      </w:pPr>
    </w:p>
    <w:p>
      <w:pPr>
        <w:ind w:left="1760"/>
        <w:spacing w:after="0"/>
        <w:tabs>
          <w:tab w:leader="none" w:pos="5040" w:val="left"/>
          <w:tab w:leader="none" w:pos="740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4"/>
          <w:szCs w:val="14"/>
          <w:b w:val="1"/>
          <w:bCs w:val="1"/>
          <w:color w:val="auto"/>
        </w:rPr>
        <w:t>Trading Symbol(s)</w:t>
      </w:r>
      <w:r>
        <w:rPr>
          <w:sz w:val="20"/>
          <w:szCs w:val="20"/>
          <w:color w:val="auto"/>
        </w:rPr>
        <w:tab/>
      </w:r>
      <w:r>
        <w:rPr>
          <w:rFonts w:ascii="Arial" w:cs="Arial" w:eastAsia="Arial" w:hAnsi="Arial"/>
          <w:sz w:val="14"/>
          <w:szCs w:val="14"/>
          <w:b w:val="1"/>
          <w:bCs w:val="1"/>
          <w:color w:val="auto"/>
        </w:rPr>
        <w:t>Name of each exchange on which registered</w:t>
      </w:r>
    </w:p>
    <w:p>
      <w:pPr>
        <w:spacing w:after="0" w:line="70" w:lineRule="exact"/>
        <w:rPr>
          <w:sz w:val="24"/>
          <w:szCs w:val="24"/>
          <w:color w:val="auto"/>
        </w:rPr>
      </w:pPr>
    </w:p>
    <w:p>
      <w:pPr>
        <w:ind w:left="1160"/>
        <w:spacing w:after="0"/>
        <w:tabs>
          <w:tab w:leader="none" w:pos="5500" w:val="left"/>
          <w:tab w:leader="none" w:pos="7960" w:val="left"/>
        </w:tabs>
        <w:rPr>
          <w:sz w:val="20"/>
          <w:szCs w:val="20"/>
          <w:color w:val="auto"/>
        </w:rPr>
      </w:pPr>
      <w:r>
        <w:rPr>
          <w:rFonts w:ascii="Arial" w:cs="Arial" w:eastAsia="Arial" w:hAnsi="Arial"/>
          <w:sz w:val="16"/>
          <w:szCs w:val="16"/>
          <w:color w:val="auto"/>
        </w:rPr>
        <w:t>Common Stock, without par value</w:t>
      </w:r>
      <w:r>
        <w:rPr>
          <w:sz w:val="20"/>
          <w:szCs w:val="20"/>
          <w:color w:val="auto"/>
        </w:rPr>
        <w:tab/>
      </w:r>
      <w:r>
        <w:rPr>
          <w:rFonts w:ascii="Arial" w:cs="Arial" w:eastAsia="Arial" w:hAnsi="Arial"/>
          <w:sz w:val="16"/>
          <w:szCs w:val="16"/>
          <w:color w:val="auto"/>
        </w:rPr>
        <w:t>HRB</w:t>
      </w:r>
      <w:r>
        <w:rPr>
          <w:sz w:val="20"/>
          <w:szCs w:val="20"/>
          <w:color w:val="auto"/>
        </w:rPr>
        <w:tab/>
      </w:r>
      <w:r>
        <w:rPr>
          <w:rFonts w:ascii="Arial" w:cs="Arial" w:eastAsia="Arial" w:hAnsi="Arial"/>
          <w:sz w:val="16"/>
          <w:szCs w:val="16"/>
          <w:color w:val="auto"/>
        </w:rPr>
        <w:t>New York Stock Exchange</w:t>
      </w:r>
    </w:p>
    <w:p>
      <w:pPr>
        <w:spacing w:after="0" w:line="140" w:lineRule="exact"/>
        <w:rPr>
          <w:sz w:val="24"/>
          <w:szCs w:val="24"/>
          <w:color w:val="auto"/>
        </w:rPr>
      </w:pPr>
    </w:p>
    <w:p>
      <w:pPr>
        <w:jc w:val="both"/>
        <w:spacing w:after="0" w:line="24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4" w:lineRule="exact"/>
        <w:rPr>
          <w:sz w:val="24"/>
          <w:szCs w:val="24"/>
          <w:color w:val="auto"/>
        </w:rPr>
      </w:pPr>
    </w:p>
    <w:p>
      <w:pPr>
        <w:spacing w:after="0" w:line="196" w:lineRule="exact"/>
        <w:tabs>
          <w:tab w:leader="none" w:pos="1920" w:val="left"/>
          <w:tab w:leader="none" w:pos="3420" w:val="left"/>
          <w:tab w:leader="none" w:pos="5240" w:val="left"/>
          <w:tab w:leader="none" w:pos="728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7"/>
          <w:szCs w:val="17"/>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7"/>
          <w:szCs w:val="17"/>
          <w:color w:val="auto"/>
        </w:rPr>
        <w:t>☐</w:t>
      </w:r>
    </w:p>
    <w:p>
      <w:pPr>
        <w:spacing w:after="0" w:line="312" w:lineRule="exact"/>
        <w:rPr>
          <w:sz w:val="24"/>
          <w:szCs w:val="24"/>
          <w:color w:val="auto"/>
        </w:rPr>
      </w:pPr>
    </w:p>
    <w:p>
      <w:pPr>
        <w:jc w:val="both"/>
        <w:ind w:right="20"/>
        <w:spacing w:after="0" w:line="21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0"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1" w:lineRule="exact"/>
        <w:rPr>
          <w:sz w:val="24"/>
          <w:szCs w:val="24"/>
          <w:color w:val="auto"/>
        </w:rPr>
      </w:pPr>
    </w:p>
    <w:p>
      <w:pPr>
        <w:spacing w:after="0" w:line="196" w:lineRule="exact"/>
        <w:tabs>
          <w:tab w:leader="none" w:pos="64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without par value, at the close of business on February 28, 2020: 192,475,284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7" w:right="33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81"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Form 10-Q for the Period Ended January 31, 2020</w:t>
      </w:r>
    </w:p>
    <w:p>
      <w:pPr>
        <w:spacing w:after="0" w:line="112" w:lineRule="exact"/>
        <w:rPr>
          <w:sz w:val="20"/>
          <w:szCs w:val="20"/>
          <w:color w:val="auto"/>
        </w:rPr>
      </w:pPr>
    </w:p>
    <w:p>
      <w:pPr>
        <w:jc w:val="center"/>
        <w:ind w:right="-599"/>
        <w:spacing w:after="0"/>
        <w:rPr>
          <w:sz w:val="20"/>
          <w:szCs w:val="20"/>
          <w:color w:val="auto"/>
        </w:rPr>
      </w:pPr>
      <w:r>
        <w:rPr>
          <w:rFonts w:ascii="Arial" w:cs="Arial" w:eastAsia="Arial" w:hAnsi="Arial"/>
          <w:sz w:val="22"/>
          <w:szCs w:val="22"/>
          <w:b w:val="1"/>
          <w:bCs w:val="1"/>
          <w:color w:val="auto"/>
        </w:rPr>
        <w:t>Table of Contents</w:t>
      </w:r>
    </w:p>
    <w:p>
      <w:pPr>
        <w:spacing w:after="0" w:line="260" w:lineRule="exact"/>
        <w:rPr>
          <w:sz w:val="20"/>
          <w:szCs w:val="20"/>
          <w:color w:val="auto"/>
        </w:rPr>
      </w:pPr>
    </w:p>
    <w:tbl>
      <w:tblPr>
        <w:tblLayout w:type="fixed"/>
        <w:tblInd w:w="40" w:type="dxa"/>
        <w:tblCellMar>
          <w:top w:w="0" w:type="dxa"/>
          <w:left w:w="0" w:type="dxa"/>
          <w:bottom w:w="0" w:type="dxa"/>
          <w:right w:w="0" w:type="dxa"/>
        </w:tblCellMar>
      </w:tblPr>
      <w:tr>
        <w:trPr>
          <w:trHeight w:val="285"/>
        </w:trPr>
        <w:tc>
          <w:tcPr>
            <w:tcW w:w="1080" w:type="dxa"/>
            <w:vAlign w:val="bottom"/>
          </w:tcPr>
          <w:p>
            <w:pPr>
              <w:spacing w:after="0"/>
              <w:rPr>
                <w:sz w:val="24"/>
                <w:szCs w:val="24"/>
                <w:color w:val="auto"/>
              </w:rPr>
            </w:pPr>
          </w:p>
        </w:tc>
        <w:tc>
          <w:tcPr>
            <w:tcW w:w="9280" w:type="dxa"/>
            <w:vAlign w:val="bottom"/>
          </w:tcPr>
          <w:p>
            <w:pPr>
              <w:ind w:left="4100"/>
              <w:spacing w:after="0"/>
              <w:rPr>
                <w:rFonts w:ascii="Arial" w:cs="Arial" w:eastAsia="Arial" w:hAnsi="Arial"/>
                <w:sz w:val="22"/>
                <w:szCs w:val="22"/>
                <w:b w:val="1"/>
                <w:bCs w:val="1"/>
                <w:color w:val="auto"/>
              </w:rPr>
            </w:pPr>
            <w:hyperlink w:anchor="page3">
              <w:r>
                <w:rPr>
                  <w:rFonts w:ascii="Arial" w:cs="Arial" w:eastAsia="Arial" w:hAnsi="Arial"/>
                  <w:sz w:val="22"/>
                  <w:szCs w:val="22"/>
                  <w:b w:val="1"/>
                  <w:bCs w:val="1"/>
                  <w:color w:val="auto"/>
                </w:rPr>
                <w:t>PART I</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22"/>
                <w:szCs w:val="22"/>
                <w:color w:val="auto"/>
              </w:rPr>
              <w:t>Item 1.</w:t>
            </w:r>
          </w:p>
        </w:tc>
        <w:tc>
          <w:tcPr>
            <w:tcW w:w="9280" w:type="dxa"/>
            <w:vAlign w:val="bottom"/>
          </w:tcPr>
          <w:p>
            <w:pPr>
              <w:ind w:left="260"/>
              <w:spacing w:after="0"/>
              <w:rPr>
                <w:sz w:val="20"/>
                <w:szCs w:val="20"/>
                <w:color w:val="auto"/>
              </w:rPr>
            </w:pPr>
            <w:r>
              <w:rPr>
                <w:rFonts w:ascii="Arial" w:cs="Arial" w:eastAsia="Arial" w:hAnsi="Arial"/>
                <w:sz w:val="22"/>
                <w:szCs w:val="22"/>
                <w:color w:val="auto"/>
              </w:rPr>
              <w:t>Consolidated Statements of Operations and Comprehensive Loss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9280" w:type="dxa"/>
            <w:vAlign w:val="bottom"/>
          </w:tcPr>
          <w:p>
            <w:pPr>
              <w:ind w:left="400"/>
              <w:spacing w:after="0" w:line="246" w:lineRule="exact"/>
              <w:rPr>
                <w:sz w:val="20"/>
                <w:szCs w:val="20"/>
                <w:color w:val="auto"/>
              </w:rPr>
            </w:pPr>
            <w:r>
              <w:rPr>
                <w:rFonts w:ascii="Arial" w:cs="Arial" w:eastAsia="Arial" w:hAnsi="Arial"/>
                <w:sz w:val="22"/>
                <w:szCs w:val="22"/>
                <w:color w:val="auto"/>
              </w:rPr>
              <w:t>Three and nine months ended January 31, 2020 and 2019</w:t>
            </w:r>
          </w:p>
        </w:tc>
        <w:tc>
          <w:tcPr>
            <w:tcW w:w="240" w:type="dxa"/>
            <w:vAlign w:val="bottom"/>
            <w:gridSpan w:val="3"/>
          </w:tcPr>
          <w:p>
            <w:pPr>
              <w:jc w:val="center"/>
              <w:spacing w:after="0" w:line="246" w:lineRule="exact"/>
              <w:rPr>
                <w:rFonts w:ascii="Arial" w:cs="Arial" w:eastAsia="Arial" w:hAnsi="Arial"/>
                <w:sz w:val="22"/>
                <w:szCs w:val="22"/>
                <w:color w:val="0000EE"/>
                <w:w w:val="97"/>
              </w:rPr>
            </w:pPr>
            <w:hyperlink w:anchor="page3">
              <w:r>
                <w:rPr>
                  <w:rFonts w:ascii="Arial" w:cs="Arial" w:eastAsia="Arial" w:hAnsi="Arial"/>
                  <w:sz w:val="22"/>
                  <w:szCs w:val="22"/>
                  <w:color w:val="0000EE"/>
                  <w:w w:val="97"/>
                </w:rPr>
                <w:t>1</w:t>
              </w:r>
            </w:hyperlink>
          </w:p>
        </w:tc>
        <w:tc>
          <w:tcPr>
            <w:tcW w:w="0" w:type="dxa"/>
            <w:vAlign w:val="bottom"/>
          </w:tcPr>
          <w:p>
            <w:pPr>
              <w:spacing w:after="0"/>
              <w:rPr>
                <w:sz w:val="1"/>
                <w:szCs w:val="1"/>
                <w:color w:val="auto"/>
              </w:rPr>
            </w:pPr>
          </w:p>
        </w:tc>
      </w:tr>
      <w:tr>
        <w:trPr>
          <w:trHeight w:val="503"/>
        </w:trPr>
        <w:tc>
          <w:tcPr>
            <w:tcW w:w="1080" w:type="dxa"/>
            <w:vAlign w:val="bottom"/>
          </w:tcPr>
          <w:p>
            <w:pPr>
              <w:spacing w:after="0"/>
              <w:rPr>
                <w:sz w:val="24"/>
                <w:szCs w:val="24"/>
                <w:color w:val="auto"/>
              </w:rPr>
            </w:pPr>
          </w:p>
        </w:tc>
        <w:tc>
          <w:tcPr>
            <w:tcW w:w="9280" w:type="dxa"/>
            <w:vAlign w:val="bottom"/>
          </w:tcPr>
          <w:p>
            <w:pPr>
              <w:ind w:left="260"/>
              <w:spacing w:after="0"/>
              <w:rPr>
                <w:sz w:val="20"/>
                <w:szCs w:val="20"/>
                <w:color w:val="auto"/>
              </w:rPr>
            </w:pPr>
            <w:r>
              <w:rPr>
                <w:rFonts w:ascii="Arial" w:cs="Arial" w:eastAsia="Arial" w:hAnsi="Arial"/>
                <w:sz w:val="22"/>
                <w:szCs w:val="22"/>
                <w:color w:val="auto"/>
              </w:rPr>
              <w:t>Consolidated Balance Sheets</w:t>
            </w:r>
          </w:p>
        </w:tc>
        <w:tc>
          <w:tcPr>
            <w:tcW w:w="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80" w:type="dxa"/>
            <w:vAlign w:val="bottom"/>
          </w:tcPr>
          <w:p>
            <w:pPr>
              <w:spacing w:after="0"/>
              <w:rPr>
                <w:sz w:val="21"/>
                <w:szCs w:val="21"/>
                <w:color w:val="auto"/>
              </w:rPr>
            </w:pPr>
          </w:p>
        </w:tc>
        <w:tc>
          <w:tcPr>
            <w:tcW w:w="9280" w:type="dxa"/>
            <w:vAlign w:val="bottom"/>
          </w:tcPr>
          <w:p>
            <w:pPr>
              <w:ind w:left="400"/>
              <w:spacing w:after="0" w:line="246" w:lineRule="exact"/>
              <w:rPr>
                <w:sz w:val="20"/>
                <w:szCs w:val="20"/>
                <w:color w:val="auto"/>
              </w:rPr>
            </w:pPr>
            <w:r>
              <w:rPr>
                <w:rFonts w:ascii="Arial" w:cs="Arial" w:eastAsia="Arial" w:hAnsi="Arial"/>
                <w:sz w:val="22"/>
                <w:szCs w:val="22"/>
                <w:color w:val="auto"/>
              </w:rPr>
              <w:t>As of January 31, 2020, January 31, 2019 and April 30, 2019</w:t>
            </w:r>
          </w:p>
        </w:tc>
        <w:tc>
          <w:tcPr>
            <w:tcW w:w="240" w:type="dxa"/>
            <w:vAlign w:val="bottom"/>
            <w:gridSpan w:val="3"/>
          </w:tcPr>
          <w:p>
            <w:pPr>
              <w:jc w:val="center"/>
              <w:spacing w:after="0" w:line="246" w:lineRule="exact"/>
              <w:rPr>
                <w:rFonts w:ascii="Arial" w:cs="Arial" w:eastAsia="Arial" w:hAnsi="Arial"/>
                <w:sz w:val="22"/>
                <w:szCs w:val="22"/>
                <w:color w:val="0000EE"/>
                <w:w w:val="97"/>
              </w:rPr>
            </w:pPr>
            <w:hyperlink w:anchor="page4">
              <w:r>
                <w:rPr>
                  <w:rFonts w:ascii="Arial" w:cs="Arial" w:eastAsia="Arial" w:hAnsi="Arial"/>
                  <w:sz w:val="22"/>
                  <w:szCs w:val="22"/>
                  <w:color w:val="0000EE"/>
                  <w:w w:val="97"/>
                </w:rPr>
                <w:t>2</w:t>
              </w:r>
            </w:hyperlink>
          </w:p>
        </w:tc>
        <w:tc>
          <w:tcPr>
            <w:tcW w:w="0" w:type="dxa"/>
            <w:vAlign w:val="bottom"/>
          </w:tcPr>
          <w:p>
            <w:pPr>
              <w:spacing w:after="0"/>
              <w:rPr>
                <w:sz w:val="1"/>
                <w:szCs w:val="1"/>
                <w:color w:val="auto"/>
              </w:rPr>
            </w:pPr>
          </w:p>
        </w:tc>
      </w:tr>
      <w:tr>
        <w:trPr>
          <w:trHeight w:val="503"/>
        </w:trPr>
        <w:tc>
          <w:tcPr>
            <w:tcW w:w="1080" w:type="dxa"/>
            <w:vAlign w:val="bottom"/>
          </w:tcPr>
          <w:p>
            <w:pPr>
              <w:spacing w:after="0"/>
              <w:rPr>
                <w:sz w:val="24"/>
                <w:szCs w:val="24"/>
                <w:color w:val="auto"/>
              </w:rPr>
            </w:pPr>
          </w:p>
        </w:tc>
        <w:tc>
          <w:tcPr>
            <w:tcW w:w="9280" w:type="dxa"/>
            <w:vAlign w:val="bottom"/>
          </w:tcPr>
          <w:p>
            <w:pPr>
              <w:ind w:left="260"/>
              <w:spacing w:after="0"/>
              <w:rPr>
                <w:sz w:val="20"/>
                <w:szCs w:val="20"/>
                <w:color w:val="auto"/>
              </w:rPr>
            </w:pPr>
            <w:r>
              <w:rPr>
                <w:rFonts w:ascii="Arial" w:cs="Arial" w:eastAsia="Arial" w:hAnsi="Arial"/>
                <w:sz w:val="22"/>
                <w:szCs w:val="22"/>
                <w:color w:val="auto"/>
              </w:rPr>
              <w:t>Consolidated Statements of Cash Flows</w:t>
            </w:r>
          </w:p>
        </w:tc>
        <w:tc>
          <w:tcPr>
            <w:tcW w:w="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080" w:type="dxa"/>
            <w:vAlign w:val="bottom"/>
          </w:tcPr>
          <w:p>
            <w:pPr>
              <w:spacing w:after="0"/>
              <w:rPr>
                <w:sz w:val="21"/>
                <w:szCs w:val="21"/>
                <w:color w:val="auto"/>
              </w:rPr>
            </w:pPr>
          </w:p>
        </w:tc>
        <w:tc>
          <w:tcPr>
            <w:tcW w:w="9280" w:type="dxa"/>
            <w:vAlign w:val="bottom"/>
          </w:tcPr>
          <w:p>
            <w:pPr>
              <w:ind w:left="400"/>
              <w:spacing w:after="0" w:line="246" w:lineRule="exact"/>
              <w:rPr>
                <w:sz w:val="20"/>
                <w:szCs w:val="20"/>
                <w:color w:val="auto"/>
              </w:rPr>
            </w:pPr>
            <w:r>
              <w:rPr>
                <w:rFonts w:ascii="Arial" w:cs="Arial" w:eastAsia="Arial" w:hAnsi="Arial"/>
                <w:sz w:val="22"/>
                <w:szCs w:val="22"/>
                <w:color w:val="auto"/>
              </w:rPr>
              <w:t>Nine months ended January 31, 2020 and 2019</w:t>
            </w:r>
          </w:p>
        </w:tc>
        <w:tc>
          <w:tcPr>
            <w:tcW w:w="240" w:type="dxa"/>
            <w:vAlign w:val="bottom"/>
            <w:gridSpan w:val="3"/>
          </w:tcPr>
          <w:p>
            <w:pPr>
              <w:jc w:val="center"/>
              <w:spacing w:after="0" w:line="246" w:lineRule="exact"/>
              <w:rPr>
                <w:rFonts w:ascii="Arial" w:cs="Arial" w:eastAsia="Arial" w:hAnsi="Arial"/>
                <w:sz w:val="22"/>
                <w:szCs w:val="22"/>
                <w:color w:val="0000EE"/>
                <w:w w:val="97"/>
              </w:rPr>
            </w:pPr>
            <w:hyperlink w:anchor="page5">
              <w:r>
                <w:rPr>
                  <w:rFonts w:ascii="Arial" w:cs="Arial" w:eastAsia="Arial" w:hAnsi="Arial"/>
                  <w:sz w:val="22"/>
                  <w:szCs w:val="22"/>
                  <w:color w:val="0000EE"/>
                  <w:w w:val="97"/>
                </w:rPr>
                <w:t>3</w:t>
              </w:r>
            </w:hyperlink>
          </w:p>
        </w:tc>
        <w:tc>
          <w:tcPr>
            <w:tcW w:w="0" w:type="dxa"/>
            <w:vAlign w:val="bottom"/>
          </w:tcPr>
          <w:p>
            <w:pPr>
              <w:spacing w:after="0"/>
              <w:rPr>
                <w:sz w:val="1"/>
                <w:szCs w:val="1"/>
                <w:color w:val="auto"/>
              </w:rPr>
            </w:pPr>
          </w:p>
        </w:tc>
      </w:tr>
      <w:tr>
        <w:trPr>
          <w:trHeight w:val="503"/>
        </w:trPr>
        <w:tc>
          <w:tcPr>
            <w:tcW w:w="1080" w:type="dxa"/>
            <w:vAlign w:val="bottom"/>
          </w:tcPr>
          <w:p>
            <w:pPr>
              <w:spacing w:after="0"/>
              <w:rPr>
                <w:sz w:val="24"/>
                <w:szCs w:val="24"/>
                <w:color w:val="auto"/>
              </w:rPr>
            </w:pPr>
          </w:p>
        </w:tc>
        <w:tc>
          <w:tcPr>
            <w:tcW w:w="9280" w:type="dxa"/>
            <w:vAlign w:val="bottom"/>
          </w:tcPr>
          <w:p>
            <w:pPr>
              <w:ind w:left="260"/>
              <w:spacing w:after="0"/>
              <w:rPr>
                <w:sz w:val="20"/>
                <w:szCs w:val="20"/>
                <w:color w:val="auto"/>
              </w:rPr>
            </w:pPr>
            <w:r>
              <w:rPr>
                <w:rFonts w:ascii="Arial" w:cs="Arial" w:eastAsia="Arial" w:hAnsi="Arial"/>
                <w:sz w:val="22"/>
                <w:szCs w:val="22"/>
                <w:color w:val="auto"/>
              </w:rPr>
              <w:t>Consolidated Statements of Stockholders' Equity</w:t>
            </w:r>
          </w:p>
        </w:tc>
        <w:tc>
          <w:tcPr>
            <w:tcW w:w="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rPr>
                <w:sz w:val="21"/>
                <w:szCs w:val="21"/>
                <w:color w:val="auto"/>
              </w:rPr>
            </w:pPr>
          </w:p>
        </w:tc>
        <w:tc>
          <w:tcPr>
            <w:tcW w:w="9280" w:type="dxa"/>
            <w:vAlign w:val="bottom"/>
          </w:tcPr>
          <w:p>
            <w:pPr>
              <w:ind w:left="400"/>
              <w:spacing w:after="0" w:line="246" w:lineRule="exact"/>
              <w:rPr>
                <w:sz w:val="20"/>
                <w:szCs w:val="20"/>
                <w:color w:val="auto"/>
              </w:rPr>
            </w:pPr>
            <w:r>
              <w:rPr>
                <w:rFonts w:ascii="Arial" w:cs="Arial" w:eastAsia="Arial" w:hAnsi="Arial"/>
                <w:sz w:val="22"/>
                <w:szCs w:val="22"/>
                <w:color w:val="auto"/>
              </w:rPr>
              <w:t>Three and nine months ended January 31, 2020 and the fiscal year ended April 30,</w:t>
            </w:r>
          </w:p>
        </w:tc>
        <w:tc>
          <w:tcPr>
            <w:tcW w:w="240" w:type="dxa"/>
            <w:vAlign w:val="bottom"/>
            <w:gridSpan w:val="3"/>
          </w:tcPr>
          <w:p>
            <w:pPr>
              <w:jc w:val="center"/>
              <w:spacing w:after="0" w:line="246" w:lineRule="exact"/>
              <w:rPr>
                <w:rFonts w:ascii="Arial" w:cs="Arial" w:eastAsia="Arial" w:hAnsi="Arial"/>
                <w:sz w:val="22"/>
                <w:szCs w:val="22"/>
                <w:color w:val="0000EE"/>
                <w:w w:val="97"/>
              </w:rPr>
            </w:pPr>
            <w:hyperlink w:anchor="page6">
              <w:r>
                <w:rPr>
                  <w:rFonts w:ascii="Arial" w:cs="Arial" w:eastAsia="Arial" w:hAnsi="Arial"/>
                  <w:sz w:val="22"/>
                  <w:szCs w:val="22"/>
                  <w:color w:val="0000EE"/>
                  <w:w w:val="97"/>
                </w:rPr>
                <w:t>4</w:t>
              </w:r>
            </w:hyperlink>
          </w:p>
        </w:tc>
        <w:tc>
          <w:tcPr>
            <w:tcW w:w="0" w:type="dxa"/>
            <w:vAlign w:val="bottom"/>
          </w:tcPr>
          <w:p>
            <w:pPr>
              <w:spacing w:after="0"/>
              <w:rPr>
                <w:sz w:val="1"/>
                <w:szCs w:val="1"/>
                <w:color w:val="auto"/>
              </w:rPr>
            </w:pPr>
          </w:p>
        </w:tc>
      </w:tr>
      <w:tr>
        <w:trPr>
          <w:trHeight w:val="273"/>
        </w:trPr>
        <w:tc>
          <w:tcPr>
            <w:tcW w:w="1080" w:type="dxa"/>
            <w:vAlign w:val="bottom"/>
          </w:tcPr>
          <w:p>
            <w:pPr>
              <w:spacing w:after="0"/>
              <w:rPr>
                <w:sz w:val="23"/>
                <w:szCs w:val="23"/>
                <w:color w:val="auto"/>
              </w:rPr>
            </w:pPr>
          </w:p>
        </w:tc>
        <w:tc>
          <w:tcPr>
            <w:tcW w:w="9280" w:type="dxa"/>
            <w:vAlign w:val="bottom"/>
          </w:tcPr>
          <w:p>
            <w:pPr>
              <w:ind w:left="560"/>
              <w:spacing w:after="0"/>
              <w:rPr>
                <w:sz w:val="20"/>
                <w:szCs w:val="20"/>
                <w:color w:val="auto"/>
              </w:rPr>
            </w:pPr>
            <w:r>
              <w:rPr>
                <w:rFonts w:ascii="Arial" w:cs="Arial" w:eastAsia="Arial" w:hAnsi="Arial"/>
                <w:sz w:val="22"/>
                <w:szCs w:val="22"/>
                <w:color w:val="auto"/>
              </w:rPr>
              <w:t>2019</w:t>
            </w:r>
          </w:p>
        </w:tc>
        <w:tc>
          <w:tcPr>
            <w:tcW w:w="60" w:type="dxa"/>
            <w:vAlign w:val="bottom"/>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2"/>
        </w:trPr>
        <w:tc>
          <w:tcPr>
            <w:tcW w:w="1080" w:type="dxa"/>
            <w:vAlign w:val="bottom"/>
          </w:tcPr>
          <w:p>
            <w:pPr>
              <w:spacing w:after="0"/>
              <w:rPr>
                <w:sz w:val="24"/>
                <w:szCs w:val="24"/>
                <w:color w:val="auto"/>
              </w:rPr>
            </w:pPr>
          </w:p>
        </w:tc>
        <w:tc>
          <w:tcPr>
            <w:tcW w:w="9280" w:type="dxa"/>
            <w:vAlign w:val="bottom"/>
          </w:tcPr>
          <w:p>
            <w:pPr>
              <w:ind w:left="260"/>
              <w:spacing w:after="0"/>
              <w:rPr>
                <w:sz w:val="20"/>
                <w:szCs w:val="20"/>
                <w:color w:val="auto"/>
              </w:rPr>
            </w:pPr>
            <w:r>
              <w:rPr>
                <w:rFonts w:ascii="Arial" w:cs="Arial" w:eastAsia="Arial" w:hAnsi="Arial"/>
                <w:sz w:val="22"/>
                <w:szCs w:val="22"/>
                <w:color w:val="auto"/>
              </w:rPr>
              <w:t>Notes to Consolidated Financial Statements</w:t>
            </w:r>
          </w:p>
        </w:tc>
        <w:tc>
          <w:tcPr>
            <w:tcW w:w="240" w:type="dxa"/>
            <w:vAlign w:val="bottom"/>
            <w:gridSpan w:val="3"/>
          </w:tcPr>
          <w:p>
            <w:pPr>
              <w:jc w:val="center"/>
              <w:spacing w:after="0"/>
              <w:rPr>
                <w:rFonts w:ascii="Arial" w:cs="Arial" w:eastAsia="Arial" w:hAnsi="Arial"/>
                <w:sz w:val="22"/>
                <w:szCs w:val="22"/>
                <w:color w:val="0000EE"/>
                <w:w w:val="97"/>
              </w:rPr>
            </w:pPr>
            <w:hyperlink w:anchor="page8">
              <w:r>
                <w:rPr>
                  <w:rFonts w:ascii="Arial" w:cs="Arial" w:eastAsia="Arial" w:hAnsi="Arial"/>
                  <w:sz w:val="22"/>
                  <w:szCs w:val="22"/>
                  <w:color w:val="0000EE"/>
                  <w:w w:val="97"/>
                </w:rPr>
                <w:t>6</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spacing w:after="0"/>
              <w:rPr>
                <w:rFonts w:ascii="Arial" w:cs="Arial" w:eastAsia="Arial" w:hAnsi="Arial"/>
                <w:sz w:val="22"/>
                <w:szCs w:val="22"/>
                <w:color w:val="auto"/>
              </w:rPr>
            </w:pPr>
            <w:hyperlink w:anchor="page39">
              <w:r>
                <w:rPr>
                  <w:rFonts w:ascii="Arial" w:cs="Arial" w:eastAsia="Arial" w:hAnsi="Arial"/>
                  <w:sz w:val="22"/>
                  <w:szCs w:val="22"/>
                  <w:color w:val="auto"/>
                </w:rPr>
                <w:t>Item 2.</w:t>
              </w:r>
            </w:hyperlink>
          </w:p>
        </w:tc>
        <w:tc>
          <w:tcPr>
            <w:tcW w:w="9280" w:type="dxa"/>
            <w:vAlign w:val="bottom"/>
            <w:vMerge w:val="restart"/>
          </w:tcPr>
          <w:p>
            <w:pPr>
              <w:ind w:left="260"/>
              <w:spacing w:after="0"/>
              <w:rPr>
                <w:rFonts w:ascii="Arial" w:cs="Arial" w:eastAsia="Arial" w:hAnsi="Arial"/>
                <w:sz w:val="22"/>
                <w:szCs w:val="22"/>
                <w:color w:val="auto"/>
              </w:rPr>
            </w:pPr>
            <w:hyperlink w:anchor="page31">
              <w:r>
                <w:rPr>
                  <w:rFonts w:ascii="Arial" w:cs="Arial" w:eastAsia="Arial" w:hAnsi="Arial"/>
                  <w:sz w:val="22"/>
                  <w:szCs w:val="22"/>
                  <w:color w:val="auto"/>
                </w:rPr>
                <w:t>Management's Discussion and Analysis of Financial Condition and Results of</w:t>
              </w:r>
            </w:hyperlink>
          </w:p>
        </w:tc>
        <w:tc>
          <w:tcPr>
            <w:tcW w:w="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1080" w:type="dxa"/>
            <w:vAlign w:val="bottom"/>
            <w:vMerge w:val="continue"/>
          </w:tcPr>
          <w:p>
            <w:pPr>
              <w:spacing w:after="0"/>
              <w:rPr>
                <w:sz w:val="24"/>
                <w:szCs w:val="24"/>
                <w:color w:val="auto"/>
              </w:rPr>
            </w:pPr>
          </w:p>
        </w:tc>
        <w:tc>
          <w:tcPr>
            <w:tcW w:w="9280" w:type="dxa"/>
            <w:vAlign w:val="bottom"/>
            <w:vMerge w:val="continue"/>
          </w:tcPr>
          <w:p>
            <w:pPr>
              <w:spacing w:after="0"/>
              <w:rPr>
                <w:sz w:val="24"/>
                <w:szCs w:val="24"/>
                <w:color w:val="auto"/>
              </w:rPr>
            </w:pPr>
          </w:p>
        </w:tc>
        <w:tc>
          <w:tcPr>
            <w:tcW w:w="240" w:type="dxa"/>
            <w:vAlign w:val="bottom"/>
            <w:gridSpan w:val="3"/>
            <w:vMerge w:val="restart"/>
          </w:tcPr>
          <w:p>
            <w:pPr>
              <w:jc w:val="center"/>
              <w:spacing w:after="0"/>
              <w:rPr>
                <w:rFonts w:ascii="Arial" w:cs="Arial" w:eastAsia="Arial" w:hAnsi="Arial"/>
                <w:sz w:val="22"/>
                <w:szCs w:val="22"/>
                <w:color w:val="0000EE"/>
                <w:w w:val="97"/>
              </w:rPr>
            </w:pPr>
            <w:hyperlink w:anchor="page31">
              <w:r>
                <w:rPr>
                  <w:rFonts w:ascii="Arial" w:cs="Arial" w:eastAsia="Arial" w:hAnsi="Arial"/>
                  <w:sz w:val="22"/>
                  <w:szCs w:val="22"/>
                  <w:color w:val="0000EE"/>
                  <w:w w:val="97"/>
                </w:rPr>
                <w:t>29</w:t>
              </w:r>
            </w:hyperlink>
          </w:p>
        </w:tc>
        <w:tc>
          <w:tcPr>
            <w:tcW w:w="0" w:type="dxa"/>
            <w:vAlign w:val="bottom"/>
          </w:tcPr>
          <w:p>
            <w:pPr>
              <w:spacing w:after="0"/>
              <w:rPr>
                <w:sz w:val="1"/>
                <w:szCs w:val="1"/>
                <w:color w:val="auto"/>
              </w:rPr>
            </w:pPr>
          </w:p>
        </w:tc>
      </w:tr>
      <w:tr>
        <w:trPr>
          <w:trHeight w:val="92"/>
        </w:trPr>
        <w:tc>
          <w:tcPr>
            <w:tcW w:w="1080" w:type="dxa"/>
            <w:vAlign w:val="bottom"/>
          </w:tcPr>
          <w:p>
            <w:pPr>
              <w:spacing w:after="0"/>
              <w:rPr>
                <w:sz w:val="7"/>
                <w:szCs w:val="7"/>
                <w:color w:val="auto"/>
              </w:rPr>
            </w:pPr>
          </w:p>
        </w:tc>
        <w:tc>
          <w:tcPr>
            <w:tcW w:w="9280" w:type="dxa"/>
            <w:vAlign w:val="bottom"/>
            <w:vMerge w:val="restart"/>
          </w:tcPr>
          <w:p>
            <w:pPr>
              <w:ind w:left="420"/>
              <w:spacing w:after="0"/>
              <w:rPr>
                <w:rFonts w:ascii="Arial" w:cs="Arial" w:eastAsia="Arial" w:hAnsi="Arial"/>
                <w:sz w:val="22"/>
                <w:szCs w:val="22"/>
                <w:color w:val="auto"/>
              </w:rPr>
            </w:pPr>
            <w:hyperlink w:anchor="page31">
              <w:r>
                <w:rPr>
                  <w:rFonts w:ascii="Arial" w:cs="Arial" w:eastAsia="Arial" w:hAnsi="Arial"/>
                  <w:sz w:val="22"/>
                  <w:szCs w:val="22"/>
                  <w:color w:val="auto"/>
                </w:rPr>
                <w:t>Operations</w:t>
              </w:r>
            </w:hyperlink>
          </w:p>
        </w:tc>
        <w:tc>
          <w:tcPr>
            <w:tcW w:w="240" w:type="dxa"/>
            <w:vAlign w:val="bottom"/>
            <w:tcBorders>
              <w:bottom w:val="single" w:sz="8" w:color="0000EE"/>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92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2"/>
        </w:trPr>
        <w:tc>
          <w:tcPr>
            <w:tcW w:w="1080" w:type="dxa"/>
            <w:vAlign w:val="bottom"/>
          </w:tcPr>
          <w:p>
            <w:pPr>
              <w:spacing w:after="0"/>
              <w:rPr>
                <w:rFonts w:ascii="Arial" w:cs="Arial" w:eastAsia="Arial" w:hAnsi="Arial"/>
                <w:sz w:val="22"/>
                <w:szCs w:val="22"/>
                <w:color w:val="auto"/>
              </w:rPr>
            </w:pPr>
            <w:hyperlink w:anchor="page39">
              <w:r>
                <w:rPr>
                  <w:rFonts w:ascii="Arial" w:cs="Arial" w:eastAsia="Arial" w:hAnsi="Arial"/>
                  <w:sz w:val="22"/>
                  <w:szCs w:val="22"/>
                  <w:color w:val="auto"/>
                </w:rPr>
                <w:t>Item 3.</w:t>
              </w:r>
            </w:hyperlink>
          </w:p>
        </w:tc>
        <w:tc>
          <w:tcPr>
            <w:tcW w:w="9280" w:type="dxa"/>
            <w:vAlign w:val="bottom"/>
          </w:tcPr>
          <w:p>
            <w:pPr>
              <w:ind w:left="260"/>
              <w:spacing w:after="0"/>
              <w:rPr>
                <w:rFonts w:ascii="Arial" w:cs="Arial" w:eastAsia="Arial" w:hAnsi="Arial"/>
                <w:sz w:val="22"/>
                <w:szCs w:val="22"/>
                <w:color w:val="auto"/>
              </w:rPr>
            </w:pPr>
            <w:hyperlink w:anchor="page39">
              <w:r>
                <w:rPr>
                  <w:rFonts w:ascii="Arial" w:cs="Arial" w:eastAsia="Arial" w:hAnsi="Arial"/>
                  <w:sz w:val="22"/>
                  <w:szCs w:val="22"/>
                  <w:color w:val="auto"/>
                </w:rPr>
                <w:t>Quantitative and Qualitative Disclosures About Market Risk</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9">
              <w:r>
                <w:rPr>
                  <w:rFonts w:ascii="Arial" w:cs="Arial" w:eastAsia="Arial" w:hAnsi="Arial"/>
                  <w:sz w:val="22"/>
                  <w:szCs w:val="22"/>
                  <w:color w:val="0000EE"/>
                  <w:w w:val="97"/>
                </w:rPr>
                <w:t>37</w:t>
              </w:r>
            </w:hyperlink>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9280" w:type="dxa"/>
            <w:vAlign w:val="bottom"/>
          </w:tcPr>
          <w:p>
            <w:pPr>
              <w:ind w:left="260"/>
              <w:spacing w:after="0"/>
              <w:rPr>
                <w:rFonts w:ascii="Arial" w:cs="Arial" w:eastAsia="Arial" w:hAnsi="Arial"/>
                <w:sz w:val="22"/>
                <w:szCs w:val="22"/>
                <w:color w:val="auto"/>
              </w:rPr>
            </w:pPr>
            <w:hyperlink w:anchor="page39">
              <w:r>
                <w:rPr>
                  <w:rFonts w:ascii="Arial" w:cs="Arial" w:eastAsia="Arial" w:hAnsi="Arial"/>
                  <w:sz w:val="22"/>
                  <w:szCs w:val="22"/>
                  <w:color w:val="auto"/>
                </w:rPr>
                <w:t>Controls and Procedures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9">
              <w:r>
                <w:rPr>
                  <w:rFonts w:ascii="Arial" w:cs="Arial" w:eastAsia="Arial" w:hAnsi="Arial"/>
                  <w:sz w:val="22"/>
                  <w:szCs w:val="22"/>
                  <w:color w:val="0000EE"/>
                  <w:w w:val="97"/>
                </w:rPr>
                <w:t>37</w:t>
              </w:r>
            </w:hyperlink>
          </w:p>
        </w:tc>
        <w:tc>
          <w:tcPr>
            <w:tcW w:w="0" w:type="dxa"/>
            <w:vAlign w:val="bottom"/>
          </w:tcPr>
          <w:p>
            <w:pPr>
              <w:spacing w:after="0"/>
              <w:rPr>
                <w:sz w:val="1"/>
                <w:szCs w:val="1"/>
                <w:color w:val="auto"/>
              </w:rPr>
            </w:pPr>
          </w:p>
        </w:tc>
      </w:tr>
      <w:tr>
        <w:trPr>
          <w:trHeight w:val="449"/>
        </w:trPr>
        <w:tc>
          <w:tcPr>
            <w:tcW w:w="1080" w:type="dxa"/>
            <w:vAlign w:val="bottom"/>
          </w:tcPr>
          <w:p>
            <w:pPr>
              <w:spacing w:after="0"/>
              <w:rPr>
                <w:sz w:val="24"/>
                <w:szCs w:val="24"/>
                <w:color w:val="auto"/>
              </w:rPr>
            </w:pPr>
          </w:p>
        </w:tc>
        <w:tc>
          <w:tcPr>
            <w:tcW w:w="9280" w:type="dxa"/>
            <w:vAlign w:val="bottom"/>
          </w:tcPr>
          <w:p>
            <w:pPr>
              <w:ind w:left="4080"/>
              <w:spacing w:after="0"/>
              <w:rPr>
                <w:rFonts w:ascii="Arial" w:cs="Arial" w:eastAsia="Arial" w:hAnsi="Arial"/>
                <w:sz w:val="22"/>
                <w:szCs w:val="22"/>
                <w:b w:val="1"/>
                <w:bCs w:val="1"/>
                <w:color w:val="auto"/>
              </w:rPr>
            </w:pPr>
            <w:hyperlink w:anchor="page39">
              <w:r>
                <w:rPr>
                  <w:rFonts w:ascii="Arial" w:cs="Arial" w:eastAsia="Arial" w:hAnsi="Arial"/>
                  <w:sz w:val="22"/>
                  <w:szCs w:val="22"/>
                  <w:b w:val="1"/>
                  <w:bCs w:val="1"/>
                  <w:color w:val="auto"/>
                </w:rPr>
                <w:t>PART II</w:t>
              </w:r>
            </w:hyperlink>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1080" w:type="dxa"/>
            <w:vAlign w:val="bottom"/>
          </w:tcPr>
          <w:p>
            <w:pPr>
              <w:spacing w:after="0" w:line="246" w:lineRule="exact"/>
              <w:rPr>
                <w:sz w:val="20"/>
                <w:szCs w:val="20"/>
                <w:color w:val="auto"/>
              </w:rPr>
            </w:pPr>
            <w:r>
              <w:rPr>
                <w:rFonts w:ascii="Arial" w:cs="Arial" w:eastAsia="Arial" w:hAnsi="Arial"/>
                <w:sz w:val="22"/>
                <w:szCs w:val="22"/>
                <w:color w:val="auto"/>
              </w:rPr>
              <w:t>Item 1.</w:t>
            </w:r>
          </w:p>
        </w:tc>
        <w:tc>
          <w:tcPr>
            <w:tcW w:w="9280" w:type="dxa"/>
            <w:vAlign w:val="bottom"/>
          </w:tcPr>
          <w:p>
            <w:pPr>
              <w:ind w:left="260"/>
              <w:spacing w:after="0" w:line="246" w:lineRule="exact"/>
              <w:rPr>
                <w:sz w:val="20"/>
                <w:szCs w:val="20"/>
                <w:color w:val="auto"/>
              </w:rPr>
            </w:pPr>
            <w:r>
              <w:rPr>
                <w:rFonts w:ascii="Arial" w:cs="Arial" w:eastAsia="Arial" w:hAnsi="Arial"/>
                <w:sz w:val="22"/>
                <w:szCs w:val="22"/>
                <w:color w:val="auto"/>
              </w:rPr>
              <w:t>Legal Proceedings</w:t>
            </w:r>
          </w:p>
        </w:tc>
        <w:tc>
          <w:tcPr>
            <w:tcW w:w="240" w:type="dxa"/>
            <w:vAlign w:val="bottom"/>
            <w:tcBorders>
              <w:bottom w:val="single" w:sz="8" w:color="0000EE"/>
            </w:tcBorders>
            <w:gridSpan w:val="3"/>
          </w:tcPr>
          <w:p>
            <w:pPr>
              <w:jc w:val="center"/>
              <w:spacing w:after="0" w:line="246" w:lineRule="exact"/>
              <w:rPr>
                <w:rFonts w:ascii="Arial" w:cs="Arial" w:eastAsia="Arial" w:hAnsi="Arial"/>
                <w:sz w:val="22"/>
                <w:szCs w:val="22"/>
                <w:color w:val="0000EE"/>
                <w:w w:val="97"/>
              </w:rPr>
            </w:pPr>
            <w:hyperlink w:anchor="page39">
              <w:r>
                <w:rPr>
                  <w:rFonts w:ascii="Arial" w:cs="Arial" w:eastAsia="Arial" w:hAnsi="Arial"/>
                  <w:sz w:val="22"/>
                  <w:szCs w:val="22"/>
                  <w:color w:val="0000EE"/>
                  <w:w w:val="97"/>
                </w:rPr>
                <w:t>37</w:t>
              </w:r>
            </w:hyperlink>
          </w:p>
        </w:tc>
        <w:tc>
          <w:tcPr>
            <w:tcW w:w="0" w:type="dxa"/>
            <w:vAlign w:val="bottom"/>
          </w:tcPr>
          <w:p>
            <w:pPr>
              <w:spacing w:after="0"/>
              <w:rPr>
                <w:sz w:val="1"/>
                <w:szCs w:val="1"/>
                <w:color w:val="auto"/>
              </w:rPr>
            </w:pPr>
          </w:p>
        </w:tc>
      </w:tr>
      <w:tr>
        <w:trPr>
          <w:trHeight w:val="452"/>
        </w:trPr>
        <w:tc>
          <w:tcPr>
            <w:tcW w:w="1080" w:type="dxa"/>
            <w:vAlign w:val="bottom"/>
          </w:tcPr>
          <w:p>
            <w:pPr>
              <w:spacing w:after="0"/>
              <w:rPr>
                <w:sz w:val="20"/>
                <w:szCs w:val="20"/>
                <w:color w:val="auto"/>
              </w:rPr>
            </w:pPr>
            <w:r>
              <w:rPr>
                <w:rFonts w:ascii="Arial" w:cs="Arial" w:eastAsia="Arial" w:hAnsi="Arial"/>
                <w:sz w:val="22"/>
                <w:szCs w:val="22"/>
                <w:color w:val="auto"/>
              </w:rPr>
              <w:t>Item 1A.</w:t>
            </w:r>
          </w:p>
        </w:tc>
        <w:tc>
          <w:tcPr>
            <w:tcW w:w="9280" w:type="dxa"/>
            <w:vAlign w:val="bottom"/>
          </w:tcPr>
          <w:p>
            <w:pPr>
              <w:ind w:left="260"/>
              <w:spacing w:after="0"/>
              <w:rPr>
                <w:sz w:val="20"/>
                <w:szCs w:val="20"/>
                <w:color w:val="auto"/>
              </w:rPr>
            </w:pPr>
            <w:r>
              <w:rPr>
                <w:rFonts w:ascii="Arial" w:cs="Arial" w:eastAsia="Arial" w:hAnsi="Arial"/>
                <w:sz w:val="22"/>
                <w:szCs w:val="22"/>
                <w:color w:val="auto"/>
              </w:rPr>
              <w:t>Risk Factors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39">
              <w:r>
                <w:rPr>
                  <w:rFonts w:ascii="Arial" w:cs="Arial" w:eastAsia="Arial" w:hAnsi="Arial"/>
                  <w:sz w:val="22"/>
                  <w:szCs w:val="22"/>
                  <w:color w:val="0000EE"/>
                  <w:w w:val="97"/>
                </w:rPr>
                <w:t>37</w:t>
              </w:r>
            </w:hyperlink>
          </w:p>
        </w:tc>
        <w:tc>
          <w:tcPr>
            <w:tcW w:w="0" w:type="dxa"/>
            <w:vAlign w:val="bottom"/>
          </w:tcPr>
          <w:p>
            <w:pPr>
              <w:spacing w:after="0"/>
              <w:rPr>
                <w:sz w:val="1"/>
                <w:szCs w:val="1"/>
                <w:color w:val="auto"/>
              </w:rPr>
            </w:pPr>
          </w:p>
        </w:tc>
      </w:tr>
      <w:tr>
        <w:trPr>
          <w:trHeight w:val="453"/>
        </w:trPr>
        <w:tc>
          <w:tcPr>
            <w:tcW w:w="1080" w:type="dxa"/>
            <w:vAlign w:val="bottom"/>
          </w:tcPr>
          <w:p>
            <w:pPr>
              <w:spacing w:after="0"/>
              <w:rPr>
                <w:rFonts w:ascii="Arial" w:cs="Arial" w:eastAsia="Arial" w:hAnsi="Arial"/>
                <w:sz w:val="22"/>
                <w:szCs w:val="22"/>
                <w:color w:val="auto"/>
              </w:rPr>
            </w:pPr>
            <w:hyperlink w:anchor="page39">
              <w:r>
                <w:rPr>
                  <w:rFonts w:ascii="Arial" w:cs="Arial" w:eastAsia="Arial" w:hAnsi="Arial"/>
                  <w:sz w:val="22"/>
                  <w:szCs w:val="22"/>
                  <w:color w:val="auto"/>
                </w:rPr>
                <w:t>Item 2.</w:t>
              </w:r>
            </w:hyperlink>
          </w:p>
        </w:tc>
        <w:tc>
          <w:tcPr>
            <w:tcW w:w="9280" w:type="dxa"/>
            <w:vAlign w:val="bottom"/>
          </w:tcPr>
          <w:p>
            <w:pPr>
              <w:ind w:left="260"/>
              <w:spacing w:after="0"/>
              <w:rPr>
                <w:sz w:val="20"/>
                <w:szCs w:val="20"/>
                <w:color w:val="auto"/>
              </w:rPr>
            </w:pPr>
            <w:r>
              <w:rPr>
                <w:rFonts w:ascii="Arial" w:cs="Arial" w:eastAsia="Arial" w:hAnsi="Arial"/>
                <w:sz w:val="22"/>
                <w:szCs w:val="22"/>
                <w:color w:val="auto"/>
              </w:rPr>
              <w:t>Unregistered Sales of Equity Securities and Use of Proceeds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40">
              <w:r>
                <w:rPr>
                  <w:rFonts w:ascii="Arial" w:cs="Arial" w:eastAsia="Arial" w:hAnsi="Arial"/>
                  <w:sz w:val="22"/>
                  <w:szCs w:val="22"/>
                  <w:color w:val="0000EE"/>
                  <w:w w:val="97"/>
                </w:rPr>
                <w:t>38</w:t>
              </w:r>
            </w:hyperlink>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3.</w:t>
            </w:r>
          </w:p>
        </w:tc>
        <w:tc>
          <w:tcPr>
            <w:tcW w:w="9280" w:type="dxa"/>
            <w:vAlign w:val="bottom"/>
          </w:tcPr>
          <w:p>
            <w:pPr>
              <w:ind w:left="260"/>
              <w:spacing w:after="0"/>
              <w:rPr>
                <w:sz w:val="20"/>
                <w:szCs w:val="20"/>
                <w:color w:val="auto"/>
              </w:rPr>
            </w:pPr>
            <w:r>
              <w:rPr>
                <w:rFonts w:ascii="Arial" w:cs="Arial" w:eastAsia="Arial" w:hAnsi="Arial"/>
                <w:sz w:val="22"/>
                <w:szCs w:val="22"/>
                <w:color w:val="auto"/>
              </w:rPr>
              <w:t>Defaults Upon Senior Securities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40">
              <w:r>
                <w:rPr>
                  <w:rFonts w:ascii="Arial" w:cs="Arial" w:eastAsia="Arial" w:hAnsi="Arial"/>
                  <w:sz w:val="22"/>
                  <w:szCs w:val="22"/>
                  <w:color w:val="0000EE"/>
                  <w:w w:val="97"/>
                </w:rPr>
                <w:t>38</w:t>
              </w:r>
            </w:hyperlink>
          </w:p>
        </w:tc>
        <w:tc>
          <w:tcPr>
            <w:tcW w:w="0" w:type="dxa"/>
            <w:vAlign w:val="bottom"/>
          </w:tcPr>
          <w:p>
            <w:pPr>
              <w:spacing w:after="0"/>
              <w:rPr>
                <w:sz w:val="1"/>
                <w:szCs w:val="1"/>
                <w:color w:val="auto"/>
              </w:rPr>
            </w:pPr>
          </w:p>
        </w:tc>
      </w:tr>
      <w:tr>
        <w:trPr>
          <w:trHeight w:val="453"/>
        </w:trPr>
        <w:tc>
          <w:tcPr>
            <w:tcW w:w="1080" w:type="dxa"/>
            <w:vAlign w:val="bottom"/>
          </w:tcPr>
          <w:p>
            <w:pPr>
              <w:spacing w:after="0"/>
              <w:rPr>
                <w:sz w:val="20"/>
                <w:szCs w:val="20"/>
                <w:color w:val="auto"/>
              </w:rPr>
            </w:pPr>
            <w:r>
              <w:rPr>
                <w:rFonts w:ascii="Arial" w:cs="Arial" w:eastAsia="Arial" w:hAnsi="Arial"/>
                <w:sz w:val="22"/>
                <w:szCs w:val="22"/>
                <w:color w:val="auto"/>
              </w:rPr>
              <w:t>Item 4.</w:t>
            </w:r>
          </w:p>
        </w:tc>
        <w:tc>
          <w:tcPr>
            <w:tcW w:w="9280" w:type="dxa"/>
            <w:vAlign w:val="bottom"/>
          </w:tcPr>
          <w:p>
            <w:pPr>
              <w:ind w:left="260"/>
              <w:spacing w:after="0"/>
              <w:rPr>
                <w:sz w:val="20"/>
                <w:szCs w:val="20"/>
                <w:color w:val="auto"/>
              </w:rPr>
            </w:pPr>
            <w:r>
              <w:rPr>
                <w:rFonts w:ascii="Arial" w:cs="Arial" w:eastAsia="Arial" w:hAnsi="Arial"/>
                <w:sz w:val="22"/>
                <w:szCs w:val="22"/>
                <w:color w:val="auto"/>
              </w:rPr>
              <w:t>Mine Safety Disclosures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40">
              <w:r>
                <w:rPr>
                  <w:rFonts w:ascii="Arial" w:cs="Arial" w:eastAsia="Arial" w:hAnsi="Arial"/>
                  <w:sz w:val="22"/>
                  <w:szCs w:val="22"/>
                  <w:color w:val="0000EE"/>
                  <w:w w:val="97"/>
                </w:rPr>
                <w:t>38</w:t>
              </w:r>
            </w:hyperlink>
          </w:p>
        </w:tc>
        <w:tc>
          <w:tcPr>
            <w:tcW w:w="0" w:type="dxa"/>
            <w:vAlign w:val="bottom"/>
          </w:tcPr>
          <w:p>
            <w:pPr>
              <w:spacing w:after="0"/>
              <w:rPr>
                <w:sz w:val="1"/>
                <w:szCs w:val="1"/>
                <w:color w:val="auto"/>
              </w:rPr>
            </w:pPr>
          </w:p>
        </w:tc>
      </w:tr>
      <w:tr>
        <w:trPr>
          <w:trHeight w:val="453"/>
        </w:trPr>
        <w:tc>
          <w:tcPr>
            <w:tcW w:w="1080" w:type="dxa"/>
            <w:vAlign w:val="bottom"/>
          </w:tcPr>
          <w:p>
            <w:pPr>
              <w:spacing w:after="0"/>
              <w:rPr>
                <w:rFonts w:ascii="Arial" w:cs="Arial" w:eastAsia="Arial" w:hAnsi="Arial"/>
                <w:sz w:val="22"/>
                <w:szCs w:val="22"/>
                <w:color w:val="auto"/>
              </w:rPr>
            </w:pPr>
            <w:hyperlink w:anchor="page39">
              <w:r>
                <w:rPr>
                  <w:rFonts w:ascii="Arial" w:cs="Arial" w:eastAsia="Arial" w:hAnsi="Arial"/>
                  <w:sz w:val="22"/>
                  <w:szCs w:val="22"/>
                  <w:color w:val="auto"/>
                </w:rPr>
                <w:t>Item 5.</w:t>
              </w:r>
            </w:hyperlink>
          </w:p>
        </w:tc>
        <w:tc>
          <w:tcPr>
            <w:tcW w:w="9280" w:type="dxa"/>
            <w:vAlign w:val="bottom"/>
          </w:tcPr>
          <w:p>
            <w:pPr>
              <w:ind w:left="260"/>
              <w:spacing w:after="0"/>
              <w:rPr>
                <w:rFonts w:ascii="Arial" w:cs="Arial" w:eastAsia="Arial" w:hAnsi="Arial"/>
                <w:sz w:val="22"/>
                <w:szCs w:val="22"/>
                <w:color w:val="auto"/>
              </w:rPr>
            </w:pPr>
            <w:hyperlink w:anchor="page40">
              <w:r>
                <w:rPr>
                  <w:rFonts w:ascii="Arial" w:cs="Arial" w:eastAsia="Arial" w:hAnsi="Arial"/>
                  <w:sz w:val="22"/>
                  <w:szCs w:val="22"/>
                  <w:color w:val="auto"/>
                </w:rPr>
                <w:t>Other Information</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40">
              <w:r>
                <w:rPr>
                  <w:rFonts w:ascii="Arial" w:cs="Arial" w:eastAsia="Arial" w:hAnsi="Arial"/>
                  <w:sz w:val="22"/>
                  <w:szCs w:val="22"/>
                  <w:color w:val="0000EE"/>
                  <w:w w:val="97"/>
                </w:rPr>
                <w:t>38</w:t>
              </w:r>
            </w:hyperlink>
          </w:p>
        </w:tc>
        <w:tc>
          <w:tcPr>
            <w:tcW w:w="0" w:type="dxa"/>
            <w:vAlign w:val="bottom"/>
          </w:tcPr>
          <w:p>
            <w:pPr>
              <w:spacing w:after="0"/>
              <w:rPr>
                <w:sz w:val="1"/>
                <w:szCs w:val="1"/>
                <w:color w:val="auto"/>
              </w:rPr>
            </w:pPr>
          </w:p>
        </w:tc>
      </w:tr>
      <w:tr>
        <w:trPr>
          <w:trHeight w:val="453"/>
        </w:trPr>
        <w:tc>
          <w:tcPr>
            <w:tcW w:w="1080" w:type="dxa"/>
            <w:vAlign w:val="bottom"/>
          </w:tcPr>
          <w:p>
            <w:pPr>
              <w:spacing w:after="0"/>
              <w:rPr>
                <w:rFonts w:ascii="Arial" w:cs="Arial" w:eastAsia="Arial" w:hAnsi="Arial"/>
                <w:sz w:val="22"/>
                <w:szCs w:val="22"/>
                <w:color w:val="auto"/>
              </w:rPr>
            </w:pPr>
            <w:hyperlink w:anchor="page3">
              <w:r>
                <w:rPr>
                  <w:rFonts w:ascii="Arial" w:cs="Arial" w:eastAsia="Arial" w:hAnsi="Arial"/>
                  <w:sz w:val="22"/>
                  <w:szCs w:val="22"/>
                  <w:color w:val="auto"/>
                </w:rPr>
                <w:t>Item 6.</w:t>
              </w:r>
            </w:hyperlink>
          </w:p>
        </w:tc>
        <w:tc>
          <w:tcPr>
            <w:tcW w:w="9280" w:type="dxa"/>
            <w:vAlign w:val="bottom"/>
          </w:tcPr>
          <w:p>
            <w:pPr>
              <w:ind w:left="260"/>
              <w:spacing w:after="0"/>
              <w:rPr>
                <w:sz w:val="20"/>
                <w:szCs w:val="20"/>
                <w:color w:val="auto"/>
              </w:rPr>
            </w:pPr>
            <w:r>
              <w:rPr>
                <w:rFonts w:ascii="Arial" w:cs="Arial" w:eastAsia="Arial" w:hAnsi="Arial"/>
                <w:sz w:val="22"/>
                <w:szCs w:val="22"/>
                <w:color w:val="auto"/>
              </w:rPr>
              <w:t>Exhibits</w:t>
            </w:r>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40">
              <w:r>
                <w:rPr>
                  <w:rFonts w:ascii="Arial" w:cs="Arial" w:eastAsia="Arial" w:hAnsi="Arial"/>
                  <w:sz w:val="22"/>
                  <w:szCs w:val="22"/>
                  <w:color w:val="0000EE"/>
                  <w:w w:val="97"/>
                </w:rPr>
                <w:t>38</w:t>
              </w:r>
            </w:hyperlink>
          </w:p>
        </w:tc>
        <w:tc>
          <w:tcPr>
            <w:tcW w:w="0" w:type="dxa"/>
            <w:vAlign w:val="bottom"/>
          </w:tcPr>
          <w:p>
            <w:pPr>
              <w:spacing w:after="0"/>
              <w:rPr>
                <w:sz w:val="1"/>
                <w:szCs w:val="1"/>
                <w:color w:val="auto"/>
              </w:rPr>
            </w:pPr>
          </w:p>
        </w:tc>
      </w:tr>
      <w:tr>
        <w:trPr>
          <w:trHeight w:val="453"/>
        </w:trPr>
        <w:tc>
          <w:tcPr>
            <w:tcW w:w="1080" w:type="dxa"/>
            <w:vAlign w:val="bottom"/>
          </w:tcPr>
          <w:p>
            <w:pPr>
              <w:spacing w:after="0"/>
              <w:rPr>
                <w:sz w:val="24"/>
                <w:szCs w:val="24"/>
                <w:color w:val="auto"/>
              </w:rPr>
            </w:pPr>
          </w:p>
        </w:tc>
        <w:tc>
          <w:tcPr>
            <w:tcW w:w="9280" w:type="dxa"/>
            <w:vAlign w:val="bottom"/>
          </w:tcPr>
          <w:p>
            <w:pPr>
              <w:ind w:left="260"/>
              <w:spacing w:after="0"/>
              <w:rPr>
                <w:rFonts w:ascii="Arial" w:cs="Arial" w:eastAsia="Arial" w:hAnsi="Arial"/>
                <w:sz w:val="22"/>
                <w:szCs w:val="22"/>
                <w:color w:val="auto"/>
              </w:rPr>
            </w:pPr>
            <w:hyperlink w:anchor="page41">
              <w:r>
                <w:rPr>
                  <w:rFonts w:ascii="Arial" w:cs="Arial" w:eastAsia="Arial" w:hAnsi="Arial"/>
                  <w:sz w:val="22"/>
                  <w:szCs w:val="22"/>
                  <w:color w:val="auto"/>
                </w:rPr>
                <w:t>Signatures</w:t>
              </w:r>
            </w:hyperlink>
          </w:p>
        </w:tc>
        <w:tc>
          <w:tcPr>
            <w:tcW w:w="240" w:type="dxa"/>
            <w:vAlign w:val="bottom"/>
            <w:tcBorders>
              <w:bottom w:val="single" w:sz="8" w:color="0000EE"/>
            </w:tcBorders>
            <w:gridSpan w:val="3"/>
          </w:tcPr>
          <w:p>
            <w:pPr>
              <w:jc w:val="center"/>
              <w:spacing w:after="0"/>
              <w:rPr>
                <w:rFonts w:ascii="Arial" w:cs="Arial" w:eastAsia="Arial" w:hAnsi="Arial"/>
                <w:sz w:val="22"/>
                <w:szCs w:val="22"/>
                <w:color w:val="0000EE"/>
                <w:w w:val="97"/>
              </w:rPr>
            </w:pPr>
            <w:hyperlink w:anchor="page41">
              <w:r>
                <w:rPr>
                  <w:rFonts w:ascii="Arial" w:cs="Arial" w:eastAsia="Arial" w:hAnsi="Arial"/>
                  <w:sz w:val="22"/>
                  <w:szCs w:val="22"/>
                  <w:color w:val="0000EE"/>
                  <w:w w:val="97"/>
                </w:rPr>
                <w:t>39</w:t>
              </w:r>
            </w:hyperlink>
          </w:p>
        </w:tc>
        <w:tc>
          <w:tcPr>
            <w:tcW w:w="0" w:type="dxa"/>
            <w:vAlign w:val="bottom"/>
          </w:tcPr>
          <w:p>
            <w:pPr>
              <w:spacing w:after="0"/>
              <w:rPr>
                <w:sz w:val="1"/>
                <w:szCs w:val="1"/>
                <w:color w:val="auto"/>
              </w:rPr>
            </w:pPr>
          </w:p>
        </w:tc>
      </w:tr>
    </w:tbl>
    <w:p>
      <w:pPr>
        <w:sectPr>
          <w:pgSz w:w="11900" w:h="16838" w:orient="portrait"/>
          <w:cols w:equalWidth="0" w:num="1">
            <w:col w:w="10640"/>
          </w:cols>
          <w:pgMar w:left="320" w:top="249" w:right="9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300"/>
        </w:trPr>
        <w:tc>
          <w:tcPr>
            <w:tcW w:w="6320" w:type="dxa"/>
            <w:vAlign w:val="bottom"/>
            <w:gridSpan w:val="5"/>
          </w:tcPr>
          <w:p>
            <w:pPr>
              <w:ind w:left="40"/>
              <w:spacing w:after="0"/>
              <w:rPr>
                <w:sz w:val="20"/>
                <w:szCs w:val="20"/>
                <w:color w:val="auto"/>
              </w:rPr>
            </w:pPr>
            <w:r>
              <w:rPr>
                <w:rFonts w:ascii="Arial" w:cs="Arial" w:eastAsia="Arial" w:hAnsi="Arial"/>
                <w:sz w:val="25"/>
                <w:szCs w:val="25"/>
                <w:b w:val="1"/>
                <w:bCs w:val="1"/>
                <w:color w:val="auto"/>
              </w:rPr>
              <w:t>CONSOLIDATED STATEMENTS OF OPERATIONS</w:t>
            </w: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4"/>
          </w:tcPr>
          <w:p>
            <w:pPr>
              <w:jc w:val="right"/>
              <w:ind w:right="64"/>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62"/>
        </w:trPr>
        <w:tc>
          <w:tcPr>
            <w:tcW w:w="4620" w:type="dxa"/>
            <w:vAlign w:val="bottom"/>
            <w:gridSpan w:val="2"/>
          </w:tcPr>
          <w:p>
            <w:pPr>
              <w:ind w:left="40"/>
              <w:spacing w:after="0" w:line="162" w:lineRule="exact"/>
              <w:rPr>
                <w:sz w:val="20"/>
                <w:szCs w:val="20"/>
                <w:color w:val="auto"/>
              </w:rPr>
            </w:pPr>
            <w:r>
              <w:rPr>
                <w:rFonts w:ascii="Arial" w:cs="Arial" w:eastAsia="Arial" w:hAnsi="Arial"/>
                <w:sz w:val="18"/>
                <w:szCs w:val="18"/>
                <w:b w:val="1"/>
                <w:bCs w:val="1"/>
                <w:color w:val="auto"/>
              </w:rPr>
              <w:t>AND COMPREHENSIVE LOSS</w:t>
            </w: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vMerge w:val="restart"/>
          </w:tcPr>
          <w:p>
            <w:pPr>
              <w:jc w:val="right"/>
              <w:ind w:right="24"/>
              <w:spacing w:after="0"/>
              <w:rPr>
                <w:sz w:val="20"/>
                <w:szCs w:val="20"/>
                <w:color w:val="auto"/>
              </w:rPr>
            </w:pPr>
            <w:r>
              <w:rPr>
                <w:rFonts w:ascii="Arial" w:cs="Arial" w:eastAsia="Arial" w:hAnsi="Arial"/>
                <w:sz w:val="14"/>
                <w:szCs w:val="14"/>
                <w:color w:val="auto"/>
              </w:rPr>
              <w:t>per share amounts)</w:t>
            </w:r>
          </w:p>
        </w:tc>
        <w:tc>
          <w:tcPr>
            <w:tcW w:w="0" w:type="dxa"/>
            <w:vAlign w:val="bottom"/>
          </w:tcPr>
          <w:p>
            <w:pPr>
              <w:spacing w:after="0"/>
              <w:rPr>
                <w:sz w:val="1"/>
                <w:szCs w:val="1"/>
                <w:color w:val="auto"/>
              </w:rPr>
            </w:pPr>
          </w:p>
        </w:tc>
      </w:tr>
      <w:tr>
        <w:trPr>
          <w:trHeight w:val="42"/>
        </w:trPr>
        <w:tc>
          <w:tcPr>
            <w:tcW w:w="4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4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100" w:type="dxa"/>
            <w:vAlign w:val="bottom"/>
            <w:tcBorders>
              <w:bottom w:val="single" w:sz="8" w:color="auto"/>
            </w:tcBorders>
            <w:gridSpan w:val="5"/>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100" w:type="dxa"/>
            <w:vAlign w:val="bottom"/>
            <w:gridSpan w:val="5"/>
          </w:tcPr>
          <w:p>
            <w:pPr>
              <w:ind w:left="180"/>
              <w:spacing w:after="0"/>
              <w:rPr>
                <w:sz w:val="20"/>
                <w:szCs w:val="20"/>
                <w:color w:val="auto"/>
              </w:rPr>
            </w:pPr>
            <w:r>
              <w:rPr>
                <w:rFonts w:ascii="Arial" w:cs="Arial" w:eastAsia="Arial" w:hAnsi="Arial"/>
                <w:sz w:val="16"/>
                <w:szCs w:val="16"/>
                <w:color w:val="auto"/>
              </w:rPr>
              <w:t>Three months ended January 31,</w:t>
            </w:r>
          </w:p>
        </w:tc>
        <w:tc>
          <w:tcPr>
            <w:tcW w:w="300" w:type="dxa"/>
            <w:vAlign w:val="bottom"/>
          </w:tcPr>
          <w:p>
            <w:pPr>
              <w:spacing w:after="0"/>
              <w:rPr>
                <w:sz w:val="22"/>
                <w:szCs w:val="22"/>
                <w:color w:val="auto"/>
              </w:rPr>
            </w:pPr>
          </w:p>
        </w:tc>
        <w:tc>
          <w:tcPr>
            <w:tcW w:w="2940" w:type="dxa"/>
            <w:vAlign w:val="bottom"/>
            <w:gridSpan w:val="4"/>
          </w:tcPr>
          <w:p>
            <w:pPr>
              <w:jc w:val="right"/>
              <w:ind w:right="384"/>
              <w:spacing w:after="0"/>
              <w:rPr>
                <w:sz w:val="20"/>
                <w:szCs w:val="20"/>
                <w:color w:val="auto"/>
              </w:rPr>
            </w:pPr>
            <w:r>
              <w:rPr>
                <w:rFonts w:ascii="Arial" w:cs="Arial" w:eastAsia="Arial" w:hAnsi="Arial"/>
                <w:sz w:val="16"/>
                <w:szCs w:val="16"/>
                <w:color w:val="auto"/>
              </w:rPr>
              <w:t>Nine months ended January 31,</w:t>
            </w:r>
          </w:p>
        </w:tc>
        <w:tc>
          <w:tcPr>
            <w:tcW w:w="0" w:type="dxa"/>
            <w:vAlign w:val="bottom"/>
          </w:tcPr>
          <w:p>
            <w:pPr>
              <w:spacing w:after="0"/>
              <w:rPr>
                <w:sz w:val="1"/>
                <w:szCs w:val="1"/>
                <w:color w:val="auto"/>
              </w:rPr>
            </w:pPr>
          </w:p>
        </w:tc>
      </w:tr>
      <w:tr>
        <w:trPr>
          <w:trHeight w:val="264"/>
        </w:trPr>
        <w:tc>
          <w:tcPr>
            <w:tcW w:w="4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121"/>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REVENUES: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20" w:type="dxa"/>
            <w:vAlign w:val="bottom"/>
            <w:gridSpan w:val="2"/>
          </w:tcPr>
          <w:p>
            <w:pPr>
              <w:ind w:left="180"/>
              <w:spacing w:after="0"/>
              <w:rPr>
                <w:sz w:val="20"/>
                <w:szCs w:val="20"/>
                <w:color w:val="auto"/>
              </w:rPr>
            </w:pPr>
            <w:r>
              <w:rPr>
                <w:rFonts w:ascii="Arial" w:cs="Arial" w:eastAsia="Arial" w:hAnsi="Arial"/>
                <w:sz w:val="15"/>
                <w:szCs w:val="15"/>
                <w:color w:val="auto"/>
              </w:rPr>
              <w:t>Service revenues</w:t>
            </w:r>
          </w:p>
        </w:tc>
        <w:tc>
          <w:tcPr>
            <w:tcW w:w="2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ind w:right="23"/>
              <w:spacing w:after="0"/>
              <w:rPr>
                <w:sz w:val="20"/>
                <w:szCs w:val="20"/>
                <w:color w:val="auto"/>
              </w:rPr>
            </w:pPr>
            <w:r>
              <w:rPr>
                <w:rFonts w:ascii="Arial" w:cs="Arial" w:eastAsia="Arial" w:hAnsi="Arial"/>
                <w:sz w:val="15"/>
                <w:szCs w:val="15"/>
                <w:b w:val="1"/>
                <w:bCs w:val="1"/>
                <w:color w:val="auto"/>
              </w:rPr>
              <w:t>419,955</w:t>
            </w:r>
          </w:p>
        </w:tc>
        <w:tc>
          <w:tcPr>
            <w:tcW w:w="100" w:type="dxa"/>
            <w:vAlign w:val="bottom"/>
          </w:tcPr>
          <w:p>
            <w:pPr>
              <w:spacing w:after="0"/>
              <w:rPr>
                <w:sz w:val="23"/>
                <w:szCs w:val="23"/>
                <w:color w:val="auto"/>
              </w:rPr>
            </w:pPr>
          </w:p>
        </w:tc>
        <w:tc>
          <w:tcPr>
            <w:tcW w:w="48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373,659</w:t>
            </w:r>
          </w:p>
        </w:tc>
        <w:tc>
          <w:tcPr>
            <w:tcW w:w="100" w:type="dxa"/>
            <w:vAlign w:val="bottom"/>
          </w:tcPr>
          <w:p>
            <w:pPr>
              <w:spacing w:after="0"/>
              <w:rPr>
                <w:sz w:val="23"/>
                <w:szCs w:val="23"/>
                <w:color w:val="auto"/>
              </w:rPr>
            </w:pPr>
          </w:p>
        </w:tc>
        <w:tc>
          <w:tcPr>
            <w:tcW w:w="3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ind w:right="23"/>
              <w:spacing w:after="0"/>
              <w:rPr>
                <w:sz w:val="20"/>
                <w:szCs w:val="20"/>
                <w:color w:val="auto"/>
              </w:rPr>
            </w:pPr>
            <w:r>
              <w:rPr>
                <w:rFonts w:ascii="Arial" w:cs="Arial" w:eastAsia="Arial" w:hAnsi="Arial"/>
                <w:sz w:val="15"/>
                <w:szCs w:val="15"/>
                <w:b w:val="1"/>
                <w:bCs w:val="1"/>
                <w:color w:val="auto"/>
              </w:rPr>
              <w:t>691,762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ind w:right="24"/>
              <w:spacing w:after="0"/>
              <w:rPr>
                <w:sz w:val="20"/>
                <w:szCs w:val="20"/>
                <w:color w:val="auto"/>
              </w:rPr>
            </w:pPr>
            <w:r>
              <w:rPr>
                <w:rFonts w:ascii="Arial" w:cs="Arial" w:eastAsia="Arial" w:hAnsi="Arial"/>
                <w:sz w:val="15"/>
                <w:szCs w:val="15"/>
                <w:color w:val="auto"/>
              </w:rPr>
              <w:t>627,786</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Royalty, product and other revenues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99,250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94,725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138,606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134,652</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519,205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468,384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830,368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762,438</w:t>
            </w:r>
          </w:p>
        </w:tc>
        <w:tc>
          <w:tcPr>
            <w:tcW w:w="0" w:type="dxa"/>
            <w:vAlign w:val="bottom"/>
          </w:tcPr>
          <w:p>
            <w:pPr>
              <w:spacing w:after="0"/>
              <w:rPr>
                <w:sz w:val="1"/>
                <w:szCs w:val="1"/>
                <w:color w:val="auto"/>
              </w:rPr>
            </w:pPr>
          </w:p>
        </w:tc>
      </w:tr>
      <w:tr>
        <w:trPr>
          <w:trHeight w:val="268"/>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OPERATING EXPENSES: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20" w:type="dxa"/>
            <w:vAlign w:val="bottom"/>
            <w:gridSpan w:val="2"/>
          </w:tcPr>
          <w:p>
            <w:pPr>
              <w:ind w:left="180"/>
              <w:spacing w:after="0"/>
              <w:rPr>
                <w:sz w:val="20"/>
                <w:szCs w:val="20"/>
                <w:color w:val="auto"/>
              </w:rPr>
            </w:pPr>
            <w:r>
              <w:rPr>
                <w:rFonts w:ascii="Arial" w:cs="Arial" w:eastAsia="Arial" w:hAnsi="Arial"/>
                <w:sz w:val="15"/>
                <w:szCs w:val="15"/>
                <w:color w:val="auto"/>
              </w:rPr>
              <w:t>Costs of revenues</w:t>
            </w:r>
          </w:p>
        </w:tc>
        <w:tc>
          <w:tcPr>
            <w:tcW w:w="280" w:type="dxa"/>
            <w:vAlign w:val="bottom"/>
          </w:tcPr>
          <w:p>
            <w:pPr>
              <w:spacing w:after="0"/>
              <w:rPr>
                <w:sz w:val="23"/>
                <w:szCs w:val="23"/>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b w:val="1"/>
                <w:bCs w:val="1"/>
                <w:color w:val="auto"/>
              </w:rPr>
              <w:t>462,521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421,026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b w:val="1"/>
                <w:bCs w:val="1"/>
                <w:color w:val="auto"/>
              </w:rPr>
              <w:t>945,119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24"/>
              <w:spacing w:after="0"/>
              <w:rPr>
                <w:sz w:val="20"/>
                <w:szCs w:val="20"/>
                <w:color w:val="auto"/>
              </w:rPr>
            </w:pPr>
            <w:r>
              <w:rPr>
                <w:rFonts w:ascii="Arial" w:cs="Arial" w:eastAsia="Arial" w:hAnsi="Arial"/>
                <w:sz w:val="15"/>
                <w:szCs w:val="15"/>
                <w:color w:val="auto"/>
              </w:rPr>
              <w:t>893,401</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Selling, general and administrative</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209,288</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185,458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475,758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404,517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Total operating expenses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671,809</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606,484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1,420,877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1,297,918</w:t>
            </w:r>
          </w:p>
        </w:tc>
        <w:tc>
          <w:tcPr>
            <w:tcW w:w="0" w:type="dxa"/>
            <w:vAlign w:val="bottom"/>
          </w:tcPr>
          <w:p>
            <w:pPr>
              <w:spacing w:after="0"/>
              <w:rPr>
                <w:sz w:val="1"/>
                <w:szCs w:val="1"/>
                <w:color w:val="auto"/>
              </w:rPr>
            </w:pPr>
          </w:p>
        </w:tc>
      </w:tr>
      <w:tr>
        <w:trPr>
          <w:trHeight w:val="268"/>
        </w:trPr>
        <w:tc>
          <w:tcPr>
            <w:tcW w:w="4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20" w:type="dxa"/>
            <w:vAlign w:val="bottom"/>
            <w:gridSpan w:val="2"/>
          </w:tcPr>
          <w:p>
            <w:pPr>
              <w:ind w:left="40"/>
              <w:spacing w:after="0"/>
              <w:rPr>
                <w:sz w:val="20"/>
                <w:szCs w:val="20"/>
                <w:color w:val="auto"/>
              </w:rPr>
            </w:pPr>
            <w:r>
              <w:rPr>
                <w:rFonts w:ascii="Arial" w:cs="Arial" w:eastAsia="Arial" w:hAnsi="Arial"/>
                <w:sz w:val="15"/>
                <w:szCs w:val="15"/>
                <w:color w:val="auto"/>
              </w:rPr>
              <w:t>Other income (expense), net</w:t>
            </w:r>
          </w:p>
        </w:tc>
        <w:tc>
          <w:tcPr>
            <w:tcW w:w="280" w:type="dxa"/>
            <w:vAlign w:val="bottom"/>
          </w:tcPr>
          <w:p>
            <w:pPr>
              <w:spacing w:after="0"/>
              <w:rPr>
                <w:sz w:val="23"/>
                <w:szCs w:val="23"/>
                <w:color w:val="auto"/>
              </w:rPr>
            </w:pPr>
          </w:p>
        </w:tc>
        <w:tc>
          <w:tcPr>
            <w:tcW w:w="1320" w:type="dxa"/>
            <w:vAlign w:val="bottom"/>
          </w:tcPr>
          <w:p>
            <w:pPr>
              <w:jc w:val="right"/>
              <w:ind w:right="23"/>
              <w:spacing w:after="0"/>
              <w:rPr>
                <w:sz w:val="20"/>
                <w:szCs w:val="20"/>
                <w:color w:val="auto"/>
              </w:rPr>
            </w:pPr>
            <w:r>
              <w:rPr>
                <w:rFonts w:ascii="Arial" w:cs="Arial" w:eastAsia="Arial" w:hAnsi="Arial"/>
                <w:sz w:val="15"/>
                <w:szCs w:val="15"/>
                <w:b w:val="1"/>
                <w:bCs w:val="1"/>
                <w:color w:val="auto"/>
              </w:rPr>
              <w:t>1,879</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jc w:val="right"/>
              <w:ind w:right="43"/>
              <w:spacing w:after="0"/>
              <w:rPr>
                <w:sz w:val="20"/>
                <w:szCs w:val="20"/>
                <w:color w:val="auto"/>
              </w:rPr>
            </w:pPr>
            <w:r>
              <w:rPr>
                <w:rFonts w:ascii="Arial" w:cs="Arial" w:eastAsia="Arial" w:hAnsi="Arial"/>
                <w:sz w:val="15"/>
                <w:szCs w:val="15"/>
                <w:color w:val="auto"/>
              </w:rPr>
              <w:t>2,269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jc w:val="right"/>
              <w:ind w:right="23"/>
              <w:spacing w:after="0"/>
              <w:rPr>
                <w:sz w:val="20"/>
                <w:szCs w:val="20"/>
                <w:color w:val="auto"/>
              </w:rPr>
            </w:pPr>
            <w:r>
              <w:rPr>
                <w:rFonts w:ascii="Arial" w:cs="Arial" w:eastAsia="Arial" w:hAnsi="Arial"/>
                <w:sz w:val="15"/>
                <w:szCs w:val="15"/>
                <w:b w:val="1"/>
                <w:bCs w:val="1"/>
                <w:color w:val="auto"/>
              </w:rPr>
              <w:t>13,741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ind w:right="24"/>
              <w:spacing w:after="0"/>
              <w:rPr>
                <w:sz w:val="20"/>
                <w:szCs w:val="20"/>
                <w:color w:val="auto"/>
              </w:rPr>
            </w:pPr>
            <w:r>
              <w:rPr>
                <w:rFonts w:ascii="Arial" w:cs="Arial" w:eastAsia="Arial" w:hAnsi="Arial"/>
                <w:sz w:val="15"/>
                <w:szCs w:val="15"/>
                <w:color w:val="auto"/>
              </w:rPr>
              <w:t>11,275</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 on borrowings</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(26,305)</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(22,833)</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(68,682)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(65,214)</w:t>
            </w:r>
          </w:p>
        </w:tc>
        <w:tc>
          <w:tcPr>
            <w:tcW w:w="0" w:type="dxa"/>
            <w:vAlign w:val="bottom"/>
          </w:tcPr>
          <w:p>
            <w:pPr>
              <w:spacing w:after="0"/>
              <w:rPr>
                <w:sz w:val="1"/>
                <w:szCs w:val="1"/>
                <w:color w:val="auto"/>
              </w:rPr>
            </w:pPr>
          </w:p>
        </w:tc>
      </w:tr>
      <w:tr>
        <w:trPr>
          <w:trHeight w:val="250"/>
        </w:trPr>
        <w:tc>
          <w:tcPr>
            <w:tcW w:w="4620" w:type="dxa"/>
            <w:vAlign w:val="bottom"/>
            <w:gridSpan w:val="2"/>
          </w:tcPr>
          <w:p>
            <w:pPr>
              <w:ind w:left="40"/>
              <w:spacing w:after="0"/>
              <w:rPr>
                <w:sz w:val="20"/>
                <w:szCs w:val="20"/>
                <w:color w:val="auto"/>
              </w:rPr>
            </w:pPr>
            <w:r>
              <w:rPr>
                <w:rFonts w:ascii="Arial" w:cs="Arial" w:eastAsia="Arial" w:hAnsi="Arial"/>
                <w:sz w:val="15"/>
                <w:szCs w:val="15"/>
                <w:color w:val="auto"/>
              </w:rPr>
              <w:t>Loss from continuing operations before income tax benefit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(177,030)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(158,664)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(645,450)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(589,419)</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Income tax benefit</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(49,004)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(38,885)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(188,146)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(149,906)</w:t>
            </w:r>
          </w:p>
        </w:tc>
        <w:tc>
          <w:tcPr>
            <w:tcW w:w="0" w:type="dxa"/>
            <w:vAlign w:val="bottom"/>
          </w:tcPr>
          <w:p>
            <w:pPr>
              <w:spacing w:after="0"/>
              <w:rPr>
                <w:sz w:val="1"/>
                <w:szCs w:val="1"/>
                <w:color w:val="auto"/>
              </w:rPr>
            </w:pPr>
          </w:p>
        </w:tc>
      </w:tr>
      <w:tr>
        <w:trPr>
          <w:trHeight w:val="250"/>
        </w:trPr>
        <w:tc>
          <w:tcPr>
            <w:tcW w:w="4620" w:type="dxa"/>
            <w:vAlign w:val="bottom"/>
            <w:gridSpan w:val="2"/>
          </w:tcPr>
          <w:p>
            <w:pPr>
              <w:ind w:left="40"/>
              <w:spacing w:after="0"/>
              <w:rPr>
                <w:sz w:val="20"/>
                <w:szCs w:val="20"/>
                <w:color w:val="auto"/>
              </w:rPr>
            </w:pPr>
            <w:r>
              <w:rPr>
                <w:rFonts w:ascii="Arial" w:cs="Arial" w:eastAsia="Arial" w:hAnsi="Arial"/>
                <w:sz w:val="15"/>
                <w:szCs w:val="15"/>
                <w:color w:val="auto"/>
              </w:rPr>
              <w:t>Net loss from continuing operations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(128,026)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(119,779)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(457,304)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5"/>
                <w:szCs w:val="15"/>
                <w:color w:val="auto"/>
              </w:rPr>
              <w:t>(439,513)</w:t>
            </w:r>
          </w:p>
        </w:tc>
        <w:tc>
          <w:tcPr>
            <w:tcW w:w="0" w:type="dxa"/>
            <w:vAlign w:val="bottom"/>
          </w:tcPr>
          <w:p>
            <w:pPr>
              <w:spacing w:after="0"/>
              <w:rPr>
                <w:sz w:val="1"/>
                <w:szCs w:val="1"/>
                <w:color w:val="auto"/>
              </w:rPr>
            </w:pPr>
          </w:p>
        </w:tc>
      </w:tr>
      <w:tr>
        <w:trPr>
          <w:trHeight w:val="19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loss from discontinued operations, net of tax benefits of $488</w:t>
            </w:r>
          </w:p>
        </w:tc>
        <w:tc>
          <w:tcPr>
            <w:tcW w:w="28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(1,657)</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(10,625)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6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and $1,962, $3,173 and $4,731</w:t>
            </w:r>
          </w:p>
        </w:tc>
        <w:tc>
          <w:tcPr>
            <w:tcW w:w="2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(15,887)</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b w:val="1"/>
                <w:bCs w:val="1"/>
                <w:color w:val="auto"/>
              </w:rPr>
              <w:t>NET LOSS</w:t>
            </w:r>
          </w:p>
        </w:tc>
        <w:tc>
          <w:tcPr>
            <w:tcW w:w="28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(129,683)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2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(126,454)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(467,929)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(455,400)</w:t>
            </w:r>
          </w:p>
        </w:tc>
        <w:tc>
          <w:tcPr>
            <w:tcW w:w="0" w:type="dxa"/>
            <w:vAlign w:val="bottom"/>
          </w:tcPr>
          <w:p>
            <w:pPr>
              <w:spacing w:after="0"/>
              <w:rPr>
                <w:sz w:val="1"/>
                <w:szCs w:val="1"/>
                <w:color w:val="auto"/>
              </w:rPr>
            </w:pPr>
          </w:p>
        </w:tc>
      </w:tr>
      <w:tr>
        <w:trPr>
          <w:trHeight w:val="268"/>
        </w:trPr>
        <w:tc>
          <w:tcPr>
            <w:tcW w:w="4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20" w:type="dxa"/>
            <w:vAlign w:val="bottom"/>
            <w:gridSpan w:val="2"/>
          </w:tcPr>
          <w:p>
            <w:pPr>
              <w:ind w:left="40"/>
              <w:spacing w:after="0"/>
              <w:rPr>
                <w:sz w:val="20"/>
                <w:szCs w:val="20"/>
                <w:color w:val="auto"/>
              </w:rPr>
            </w:pPr>
            <w:r>
              <w:rPr>
                <w:rFonts w:ascii="Arial" w:cs="Arial" w:eastAsia="Arial" w:hAnsi="Arial"/>
                <w:sz w:val="15"/>
                <w:szCs w:val="15"/>
                <w:b w:val="1"/>
                <w:bCs w:val="1"/>
                <w:color w:val="auto"/>
              </w:rPr>
              <w:t>BASIC AND DILUTED LOSS PER SHARE:</w:t>
            </w:r>
          </w:p>
        </w:tc>
        <w:tc>
          <w:tcPr>
            <w:tcW w:w="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(0.66)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(0.58)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0" w:type="dxa"/>
            <w:vAlign w:val="bottom"/>
          </w:tcPr>
          <w:p>
            <w:pPr>
              <w:spacing w:after="0"/>
              <w:rPr>
                <w:sz w:val="1"/>
                <w:szCs w:val="1"/>
                <w:color w:val="auto"/>
              </w:rPr>
            </w:pPr>
          </w:p>
        </w:tc>
      </w:tr>
      <w:tr>
        <w:trPr>
          <w:trHeight w:val="266"/>
        </w:trPr>
        <w:tc>
          <w:tcPr>
            <w:tcW w:w="4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2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(0.01)</w:t>
            </w:r>
          </w:p>
        </w:tc>
        <w:tc>
          <w:tcPr>
            <w:tcW w:w="10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(0.04)</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(0.05)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(0.08)</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(0.67)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(0.62)</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(2.36)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w:t>
            </w: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DIVIDENDS DECLARED PER SHARE</w:t>
            </w:r>
          </w:p>
        </w:tc>
        <w:tc>
          <w:tcPr>
            <w:tcW w:w="28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0.26</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6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0.78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0.75</w:t>
            </w:r>
          </w:p>
        </w:tc>
        <w:tc>
          <w:tcPr>
            <w:tcW w:w="0" w:type="dxa"/>
            <w:vAlign w:val="bottom"/>
          </w:tcPr>
          <w:p>
            <w:pPr>
              <w:spacing w:after="0"/>
              <w:rPr>
                <w:sz w:val="1"/>
                <w:szCs w:val="1"/>
                <w:color w:val="auto"/>
              </w:rPr>
            </w:pPr>
          </w:p>
        </w:tc>
      </w:tr>
      <w:tr>
        <w:trPr>
          <w:trHeight w:val="122"/>
        </w:trPr>
        <w:tc>
          <w:tcPr>
            <w:tcW w:w="4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COMPREHENSIVE LOSS:</w:t>
            </w:r>
          </w:p>
        </w:tc>
        <w:tc>
          <w:tcPr>
            <w:tcW w:w="2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620" w:type="dxa"/>
            <w:vAlign w:val="bottom"/>
            <w:gridSpan w:val="2"/>
          </w:tcPr>
          <w:p>
            <w:pPr>
              <w:ind w:left="180"/>
              <w:spacing w:after="0"/>
              <w:rPr>
                <w:sz w:val="20"/>
                <w:szCs w:val="20"/>
                <w:color w:val="auto"/>
              </w:rPr>
            </w:pPr>
            <w:r>
              <w:rPr>
                <w:rFonts w:ascii="Arial" w:cs="Arial" w:eastAsia="Arial" w:hAnsi="Arial"/>
                <w:sz w:val="15"/>
                <w:szCs w:val="15"/>
                <w:color w:val="auto"/>
              </w:rPr>
              <w:t>Net loss</w:t>
            </w:r>
          </w:p>
        </w:tc>
        <w:tc>
          <w:tcPr>
            <w:tcW w:w="280" w:type="dxa"/>
            <w:vAlign w:val="bottom"/>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(129,683)</w:t>
            </w:r>
          </w:p>
        </w:tc>
        <w:tc>
          <w:tcPr>
            <w:tcW w:w="100" w:type="dxa"/>
            <w:vAlign w:val="bottom"/>
          </w:tcPr>
          <w:p>
            <w:pPr>
              <w:spacing w:after="0"/>
              <w:rPr>
                <w:sz w:val="23"/>
                <w:szCs w:val="23"/>
                <w:color w:val="auto"/>
              </w:rPr>
            </w:pPr>
          </w:p>
        </w:tc>
        <w:tc>
          <w:tcPr>
            <w:tcW w:w="480" w:type="dxa"/>
            <w:vAlign w:val="bottom"/>
          </w:tcPr>
          <w:p>
            <w:pPr>
              <w:jc w:val="right"/>
              <w:ind w:right="284"/>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(126,454)</w:t>
            </w:r>
          </w:p>
        </w:tc>
        <w:tc>
          <w:tcPr>
            <w:tcW w:w="100" w:type="dxa"/>
            <w:vAlign w:val="bottom"/>
          </w:tcPr>
          <w:p>
            <w:pPr>
              <w:spacing w:after="0"/>
              <w:rPr>
                <w:sz w:val="23"/>
                <w:szCs w:val="23"/>
                <w:color w:val="auto"/>
              </w:rPr>
            </w:pPr>
          </w:p>
        </w:tc>
        <w:tc>
          <w:tcPr>
            <w:tcW w:w="300" w:type="dxa"/>
            <w:vAlign w:val="bottom"/>
          </w:tcPr>
          <w:p>
            <w:pPr>
              <w:jc w:val="right"/>
              <w:ind w:right="104"/>
              <w:spacing w:after="0"/>
              <w:rPr>
                <w:sz w:val="20"/>
                <w:szCs w:val="20"/>
                <w:color w:val="auto"/>
              </w:rPr>
            </w:pPr>
            <w:r>
              <w:rPr>
                <w:rFonts w:ascii="Arial" w:cs="Arial" w:eastAsia="Arial" w:hAnsi="Arial"/>
                <w:sz w:val="15"/>
                <w:szCs w:val="15"/>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5"/>
                <w:szCs w:val="15"/>
                <w:b w:val="1"/>
                <w:bCs w:val="1"/>
                <w:color w:val="auto"/>
              </w:rPr>
              <w:t>(467,929)</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Pr>
          <w:p>
            <w:pPr>
              <w:jc w:val="right"/>
              <w:spacing w:after="0"/>
              <w:rPr>
                <w:sz w:val="20"/>
                <w:szCs w:val="20"/>
                <w:color w:val="auto"/>
              </w:rPr>
            </w:pPr>
            <w:r>
              <w:rPr>
                <w:rFonts w:ascii="Arial" w:cs="Arial" w:eastAsia="Arial" w:hAnsi="Arial"/>
                <w:sz w:val="15"/>
                <w:szCs w:val="15"/>
                <w:color w:val="auto"/>
              </w:rPr>
              <w:t>(455,400)</w:t>
            </w:r>
          </w:p>
        </w:tc>
        <w:tc>
          <w:tcPr>
            <w:tcW w:w="0" w:type="dxa"/>
            <w:vAlign w:val="bottom"/>
          </w:tcPr>
          <w:p>
            <w:pPr>
              <w:spacing w:after="0"/>
              <w:rPr>
                <w:sz w:val="1"/>
                <w:szCs w:val="1"/>
                <w:color w:val="auto"/>
              </w:rPr>
            </w:pPr>
          </w:p>
        </w:tc>
      </w:tr>
      <w:tr>
        <w:trPr>
          <w:trHeight w:val="27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Change in foreign currency translation adjustments and other</w:t>
            </w:r>
          </w:p>
        </w:tc>
        <w:tc>
          <w:tcPr>
            <w:tcW w:w="2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(3,574)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1,238</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(4,975)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(3,339)</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Other comprehensive income (loss)</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(3,574)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1,238</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(3,339)</w:t>
            </w:r>
          </w:p>
        </w:tc>
        <w:tc>
          <w:tcPr>
            <w:tcW w:w="0" w:type="dxa"/>
            <w:vAlign w:val="bottom"/>
          </w:tcPr>
          <w:p>
            <w:pPr>
              <w:spacing w:after="0"/>
              <w:rPr>
                <w:sz w:val="1"/>
                <w:szCs w:val="1"/>
                <w:color w:val="auto"/>
              </w:rPr>
            </w:pPr>
          </w:p>
        </w:tc>
      </w:tr>
      <w:tr>
        <w:trPr>
          <w:trHeight w:val="25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Comprehensive loss</w:t>
            </w:r>
          </w:p>
        </w:tc>
        <w:tc>
          <w:tcPr>
            <w:tcW w:w="28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(133,257)</w:t>
            </w: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(125,216)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(472,904)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(458,739)</w:t>
            </w:r>
          </w:p>
        </w:tc>
        <w:tc>
          <w:tcPr>
            <w:tcW w:w="0" w:type="dxa"/>
            <w:vAlign w:val="bottom"/>
          </w:tcPr>
          <w:p>
            <w:pPr>
              <w:spacing w:after="0"/>
              <w:rPr>
                <w:sz w:val="1"/>
                <w:szCs w:val="1"/>
                <w:color w:val="auto"/>
              </w:rPr>
            </w:pPr>
          </w:p>
        </w:tc>
      </w:tr>
      <w:tr>
        <w:trPr>
          <w:trHeight w:val="119"/>
        </w:trPr>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288925</wp:posOffset>
            </wp:positionV>
            <wp:extent cx="22288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sz w:val="20"/>
          <w:szCs w:val="20"/>
          <w:color w:val="auto"/>
        </w:rPr>
        <w:tab/>
      </w:r>
      <w:r>
        <w:rPr>
          <w:rFonts w:ascii="Arial" w:cs="Arial" w:eastAsia="Arial" w:hAnsi="Arial"/>
          <w:sz w:val="14"/>
          <w:szCs w:val="14"/>
          <w:color w:val="FFFFFF"/>
          <w:highlight w:val="black"/>
        </w:rPr>
        <w:t>1</w:t>
      </w:r>
    </w:p>
    <w:p>
      <w:pPr>
        <w:sectPr>
          <w:pgSz w:w="11900" w:h="16838" w:orient="portrait"/>
          <w:cols w:equalWidth="0" w:num="1">
            <w:col w:w="11240"/>
          </w:cols>
          <w:pgMar w:left="320" w:top="249" w:right="3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gridSpan w:val="2"/>
            <w:vMerge w:val="restart"/>
          </w:tcPr>
          <w:p>
            <w:pPr>
              <w:ind w:left="40"/>
              <w:spacing w:after="0"/>
              <w:rPr>
                <w:sz w:val="20"/>
                <w:szCs w:val="20"/>
                <w:color w:val="auto"/>
              </w:rPr>
            </w:pPr>
            <w:r>
              <w:rPr>
                <w:rFonts w:ascii="Arial" w:cs="Arial" w:eastAsia="Arial" w:hAnsi="Arial"/>
                <w:sz w:val="25"/>
                <w:szCs w:val="25"/>
                <w:b w:val="1"/>
                <w:bCs w:val="1"/>
                <w:color w:val="auto"/>
              </w:rPr>
              <w:t>CONSOLIDATED BALANCE SHEETS</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60" w:type="dxa"/>
            <w:vAlign w:val="bottom"/>
            <w:gridSpan w:val="4"/>
          </w:tcPr>
          <w:p>
            <w:pPr>
              <w:jc w:val="right"/>
              <w:ind w:right="63"/>
              <w:spacing w:after="0"/>
              <w:rPr>
                <w:sz w:val="20"/>
                <w:szCs w:val="20"/>
                <w:color w:val="auto"/>
              </w:rPr>
            </w:pPr>
            <w:r>
              <w:rPr>
                <w:rFonts w:ascii="Arial" w:cs="Arial" w:eastAsia="Arial" w:hAnsi="Arial"/>
                <w:sz w:val="14"/>
                <w:szCs w:val="14"/>
                <w:color w:val="auto"/>
              </w:rPr>
              <w:t>(unaudited, in 000s, except</w:t>
            </w:r>
          </w:p>
        </w:tc>
        <w:tc>
          <w:tcPr>
            <w:tcW w:w="0" w:type="dxa"/>
            <w:vAlign w:val="bottom"/>
          </w:tcPr>
          <w:p>
            <w:pPr>
              <w:spacing w:after="0"/>
              <w:rPr>
                <w:sz w:val="1"/>
                <w:szCs w:val="1"/>
                <w:color w:val="auto"/>
              </w:rPr>
            </w:pPr>
          </w:p>
        </w:tc>
      </w:tr>
      <w:tr>
        <w:trPr>
          <w:trHeight w:val="178"/>
        </w:trPr>
        <w:tc>
          <w:tcPr>
            <w:tcW w:w="586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23"/>
              <w:spacing w:after="0"/>
              <w:rPr>
                <w:sz w:val="20"/>
                <w:szCs w:val="20"/>
                <w:color w:val="auto"/>
              </w:rPr>
            </w:pPr>
            <w:r>
              <w:rPr>
                <w:rFonts w:ascii="Arial" w:cs="Arial" w:eastAsia="Arial" w:hAnsi="Arial"/>
                <w:sz w:val="14"/>
                <w:szCs w:val="14"/>
                <w:color w:val="auto"/>
              </w:rPr>
              <w:t>share and per share amounts)</w:t>
            </w:r>
          </w:p>
        </w:tc>
        <w:tc>
          <w:tcPr>
            <w:tcW w:w="0" w:type="dxa"/>
            <w:vAlign w:val="bottom"/>
          </w:tcPr>
          <w:p>
            <w:pPr>
              <w:spacing w:after="0"/>
              <w:rPr>
                <w:sz w:val="1"/>
                <w:szCs w:val="1"/>
                <w:color w:val="auto"/>
              </w:rPr>
            </w:pPr>
          </w:p>
        </w:tc>
      </w:tr>
      <w:tr>
        <w:trPr>
          <w:trHeight w:val="263"/>
        </w:trPr>
        <w:tc>
          <w:tcPr>
            <w:tcW w:w="5860" w:type="dxa"/>
            <w:vAlign w:val="bottom"/>
            <w:gridSpan w:val="2"/>
          </w:tcPr>
          <w:p>
            <w:pPr>
              <w:ind w:left="40"/>
              <w:spacing w:after="0"/>
              <w:rPr>
                <w:sz w:val="20"/>
                <w:szCs w:val="20"/>
                <w:color w:val="auto"/>
              </w:rPr>
            </w:pPr>
            <w:r>
              <w:rPr>
                <w:rFonts w:ascii="Arial" w:cs="Arial" w:eastAsia="Arial" w:hAnsi="Arial"/>
                <w:sz w:val="16"/>
                <w:szCs w:val="16"/>
                <w:color w:val="auto"/>
              </w:rPr>
              <w:t>As of</w:t>
            </w:r>
          </w:p>
        </w:tc>
        <w:tc>
          <w:tcPr>
            <w:tcW w:w="240" w:type="dxa"/>
            <w:vAlign w:val="bottom"/>
          </w:tcPr>
          <w:p>
            <w:pPr>
              <w:spacing w:after="0"/>
              <w:rPr>
                <w:sz w:val="22"/>
                <w:szCs w:val="22"/>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January 31, 2020</w:t>
            </w:r>
          </w:p>
        </w:tc>
        <w:tc>
          <w:tcPr>
            <w:tcW w:w="220" w:type="dxa"/>
            <w:vAlign w:val="bottom"/>
          </w:tcPr>
          <w:p>
            <w:pPr>
              <w:spacing w:after="0"/>
              <w:rPr>
                <w:sz w:val="22"/>
                <w:szCs w:val="22"/>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color w:val="auto"/>
              </w:rPr>
              <w:t>January 31, 2019</w:t>
            </w:r>
          </w:p>
        </w:tc>
        <w:tc>
          <w:tcPr>
            <w:tcW w:w="340" w:type="dxa"/>
            <w:vAlign w:val="bottom"/>
          </w:tcPr>
          <w:p>
            <w:pPr>
              <w:spacing w:after="0"/>
              <w:rPr>
                <w:sz w:val="22"/>
                <w:szCs w:val="22"/>
                <w:color w:val="auto"/>
              </w:rPr>
            </w:pP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April 30, 2019</w:t>
            </w:r>
          </w:p>
        </w:tc>
        <w:tc>
          <w:tcPr>
            <w:tcW w:w="0" w:type="dxa"/>
            <w:vAlign w:val="bottom"/>
          </w:tcPr>
          <w:p>
            <w:pPr>
              <w:spacing w:after="0"/>
              <w:rPr>
                <w:sz w:val="1"/>
                <w:szCs w:val="1"/>
                <w:color w:val="auto"/>
              </w:rPr>
            </w:pPr>
          </w:p>
        </w:tc>
      </w:tr>
      <w:tr>
        <w:trPr>
          <w:trHeight w:val="270"/>
        </w:trPr>
        <w:tc>
          <w:tcPr>
            <w:tcW w:w="5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2"/>
          </w:tcPr>
          <w:p>
            <w:pPr>
              <w:ind w:left="2580"/>
              <w:spacing w:after="0"/>
              <w:rPr>
                <w:sz w:val="20"/>
                <w:szCs w:val="20"/>
                <w:color w:val="auto"/>
              </w:rPr>
            </w:pPr>
            <w:r>
              <w:rPr>
                <w:rFonts w:ascii="Arial" w:cs="Arial" w:eastAsia="Arial" w:hAnsi="Arial"/>
                <w:sz w:val="15"/>
                <w:szCs w:val="15"/>
                <w:b w:val="1"/>
                <w:bCs w:val="1"/>
                <w:color w:val="auto"/>
              </w:rPr>
              <w:t>ASSETS</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192,340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203,226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1,572,150</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Cash and cash equivalents - restricted</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169,447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101,903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135,577</w:t>
            </w:r>
          </w:p>
        </w:tc>
        <w:tc>
          <w:tcPr>
            <w:tcW w:w="0" w:type="dxa"/>
            <w:vAlign w:val="bottom"/>
          </w:tcPr>
          <w:p>
            <w:pPr>
              <w:spacing w:after="0"/>
              <w:rPr>
                <w:sz w:val="1"/>
                <w:szCs w:val="1"/>
                <w:color w:val="auto"/>
              </w:rPr>
            </w:pPr>
          </w:p>
        </w:tc>
      </w:tr>
      <w:tr>
        <w:trPr>
          <w:trHeight w:val="19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Receivables, less allowance for doubtful accounts of $45,254, $44,033 and</w:t>
            </w:r>
          </w:p>
        </w:tc>
        <w:tc>
          <w:tcPr>
            <w:tcW w:w="2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819,946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740" w:type="dxa"/>
            <w:vAlign w:val="bottom"/>
            <w:shd w:val="clear" w:color="auto" w:fill="CCEEFF"/>
          </w:tcPr>
          <w:p>
            <w:pPr>
              <w:ind w:left="340"/>
              <w:spacing w:after="0"/>
              <w:rPr>
                <w:sz w:val="20"/>
                <w:szCs w:val="20"/>
                <w:color w:val="auto"/>
              </w:rPr>
            </w:pPr>
            <w:r>
              <w:rPr>
                <w:rFonts w:ascii="Arial" w:cs="Arial" w:eastAsia="Arial" w:hAnsi="Arial"/>
                <w:sz w:val="15"/>
                <w:szCs w:val="15"/>
                <w:color w:val="auto"/>
              </w:rPr>
              <w:t>$67,228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758,217</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138,965</w:t>
            </w:r>
          </w:p>
        </w:tc>
        <w:tc>
          <w:tcPr>
            <w:tcW w:w="0" w:type="dxa"/>
            <w:vAlign w:val="bottom"/>
          </w:tcPr>
          <w:p>
            <w:pPr>
              <w:spacing w:after="0"/>
              <w:rPr>
                <w:sz w:val="1"/>
                <w:szCs w:val="1"/>
                <w:color w:val="auto"/>
              </w:rPr>
            </w:pPr>
          </w:p>
        </w:tc>
      </w:tr>
      <w:tr>
        <w:trPr>
          <w:trHeight w:val="266"/>
        </w:trPr>
        <w:tc>
          <w:tcPr>
            <w:tcW w:w="5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Prepaid expenses and other current assets</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120,229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171,306</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146,667</w:t>
            </w:r>
          </w:p>
        </w:tc>
        <w:tc>
          <w:tcPr>
            <w:tcW w:w="0" w:type="dxa"/>
            <w:vAlign w:val="bottom"/>
          </w:tcPr>
          <w:p>
            <w:pPr>
              <w:spacing w:after="0"/>
              <w:rPr>
                <w:sz w:val="1"/>
                <w:szCs w:val="1"/>
                <w:color w:val="auto"/>
              </w:rPr>
            </w:pPr>
          </w:p>
        </w:tc>
      </w:tr>
      <w:tr>
        <w:trPr>
          <w:trHeight w:val="254"/>
        </w:trPr>
        <w:tc>
          <w:tcPr>
            <w:tcW w:w="58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 current assets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1,301,962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1,234,652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1,993,359</w:t>
            </w:r>
          </w:p>
        </w:tc>
        <w:tc>
          <w:tcPr>
            <w:tcW w:w="0" w:type="dxa"/>
            <w:vAlign w:val="bottom"/>
          </w:tcPr>
          <w:p>
            <w:pPr>
              <w:spacing w:after="0"/>
              <w:rPr>
                <w:sz w:val="1"/>
                <w:szCs w:val="1"/>
                <w:color w:val="auto"/>
              </w:rPr>
            </w:pPr>
          </w:p>
        </w:tc>
      </w:tr>
      <w:tr>
        <w:trPr>
          <w:trHeight w:val="18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Property and equipment, at cost, less accumulated depreciation and amortization</w:t>
            </w:r>
          </w:p>
        </w:tc>
        <w:tc>
          <w:tcPr>
            <w:tcW w:w="240" w:type="dxa"/>
            <w:vAlign w:val="bottom"/>
          </w:tcPr>
          <w:p>
            <w:pPr>
              <w:spacing w:after="0"/>
              <w:rPr>
                <w:sz w:val="16"/>
                <w:szCs w:val="16"/>
                <w:color w:val="auto"/>
              </w:rPr>
            </w:pPr>
          </w:p>
        </w:tc>
        <w:tc>
          <w:tcPr>
            <w:tcW w:w="154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197,569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860" w:type="dxa"/>
            <w:vAlign w:val="bottom"/>
            <w:gridSpan w:val="2"/>
          </w:tcPr>
          <w:p>
            <w:pPr>
              <w:ind w:left="340"/>
              <w:spacing w:after="0"/>
              <w:rPr>
                <w:sz w:val="20"/>
                <w:szCs w:val="20"/>
                <w:color w:val="auto"/>
              </w:rPr>
            </w:pPr>
            <w:r>
              <w:rPr>
                <w:rFonts w:ascii="Arial" w:cs="Arial" w:eastAsia="Arial" w:hAnsi="Arial"/>
                <w:sz w:val="15"/>
                <w:szCs w:val="15"/>
                <w:color w:val="auto"/>
              </w:rPr>
              <w:t>of $803,272, $800,834 and $745,761</w:t>
            </w:r>
          </w:p>
        </w:tc>
        <w:tc>
          <w:tcPr>
            <w:tcW w:w="24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220,505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212,092</w:t>
            </w: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Operating lease right of use asset</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463,777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Intangible assets, net</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433,074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356,952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342,493</w:t>
            </w: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Goodwill</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838,830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520,005</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519,937</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Deferred tax assets and income taxes receivable</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134,901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141,366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141,979</w:t>
            </w:r>
          </w:p>
        </w:tc>
        <w:tc>
          <w:tcPr>
            <w:tcW w:w="0" w:type="dxa"/>
            <w:vAlign w:val="bottom"/>
          </w:tcPr>
          <w:p>
            <w:pPr>
              <w:spacing w:after="0"/>
              <w:rPr>
                <w:sz w:val="1"/>
                <w:szCs w:val="1"/>
                <w:color w:val="auto"/>
              </w:rPr>
            </w:pPr>
          </w:p>
        </w:tc>
      </w:tr>
      <w:tr>
        <w:trPr>
          <w:trHeight w:val="27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Other noncurrent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82,317</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95,326</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90,085</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3,452,430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2,568,806</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3,299,945</w:t>
            </w:r>
          </w:p>
        </w:tc>
        <w:tc>
          <w:tcPr>
            <w:tcW w:w="0" w:type="dxa"/>
            <w:vAlign w:val="bottom"/>
          </w:tcPr>
          <w:p>
            <w:pPr>
              <w:spacing w:after="0"/>
              <w:rPr>
                <w:sz w:val="1"/>
                <w:szCs w:val="1"/>
                <w:color w:val="auto"/>
              </w:rPr>
            </w:pPr>
          </w:p>
        </w:tc>
      </w:tr>
      <w:tr>
        <w:trPr>
          <w:trHeight w:val="268"/>
        </w:trPr>
        <w:tc>
          <w:tcPr>
            <w:tcW w:w="5860" w:type="dxa"/>
            <w:vAlign w:val="bottom"/>
            <w:gridSpan w:val="2"/>
            <w:shd w:val="clear" w:color="auto" w:fill="CCEEFF"/>
          </w:tcPr>
          <w:p>
            <w:pPr>
              <w:ind w:left="1260"/>
              <w:spacing w:after="0"/>
              <w:rPr>
                <w:sz w:val="20"/>
                <w:szCs w:val="20"/>
                <w:color w:val="auto"/>
              </w:rPr>
            </w:pPr>
            <w:r>
              <w:rPr>
                <w:rFonts w:ascii="Arial" w:cs="Arial" w:eastAsia="Arial" w:hAnsi="Arial"/>
                <w:sz w:val="15"/>
                <w:szCs w:val="15"/>
                <w:b w:val="1"/>
                <w:bCs w:val="1"/>
                <w:color w:val="auto"/>
              </w:rPr>
              <w:t>LIABILITIES AND STOCKHOLDERS' EQUITY</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5860" w:type="dxa"/>
            <w:vAlign w:val="bottom"/>
            <w:gridSpan w:val="2"/>
          </w:tcPr>
          <w:p>
            <w:pPr>
              <w:ind w:left="40"/>
              <w:spacing w:after="0"/>
              <w:rPr>
                <w:sz w:val="20"/>
                <w:szCs w:val="20"/>
                <w:color w:val="auto"/>
              </w:rPr>
            </w:pPr>
            <w:r>
              <w:rPr>
                <w:rFonts w:ascii="Arial" w:cs="Arial" w:eastAsia="Arial" w:hAnsi="Arial"/>
                <w:sz w:val="15"/>
                <w:szCs w:val="15"/>
                <w:b w:val="1"/>
                <w:bCs w:val="1"/>
                <w:color w:val="auto"/>
              </w:rPr>
              <w:t>LIABILITIES:</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Accounts payable and accrued expenses</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156,766</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202,101</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249,525</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Accrued salaries, wages and payroll taxes</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117,459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140,902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196,527</w:t>
            </w: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Accrued income taxes and reserves for uncertain tax positions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36,242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49,009</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271,973</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Current portion of long-term debt</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649,022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Operating lease liabilities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187,890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66"/>
        </w:trPr>
        <w:tc>
          <w:tcPr>
            <w:tcW w:w="5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Deferred revenue and other current liabilities</w:t>
            </w:r>
          </w:p>
        </w:tc>
        <w:tc>
          <w:tcPr>
            <w:tcW w:w="2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190,242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195,634</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204,976</w:t>
            </w:r>
          </w:p>
        </w:tc>
        <w:tc>
          <w:tcPr>
            <w:tcW w:w="0" w:type="dxa"/>
            <w:vAlign w:val="bottom"/>
          </w:tcPr>
          <w:p>
            <w:pPr>
              <w:spacing w:after="0"/>
              <w:rPr>
                <w:sz w:val="1"/>
                <w:szCs w:val="1"/>
                <w:color w:val="auto"/>
              </w:rPr>
            </w:pPr>
          </w:p>
        </w:tc>
      </w:tr>
      <w:tr>
        <w:trPr>
          <w:trHeight w:val="254"/>
        </w:trPr>
        <w:tc>
          <w:tcPr>
            <w:tcW w:w="5860" w:type="dxa"/>
            <w:vAlign w:val="bottom"/>
            <w:gridSpan w:val="2"/>
            <w:shd w:val="clear" w:color="auto" w:fill="CCEEFF"/>
          </w:tcPr>
          <w:p>
            <w:pPr>
              <w:ind w:left="380"/>
              <w:spacing w:after="0"/>
              <w:rPr>
                <w:sz w:val="20"/>
                <w:szCs w:val="20"/>
                <w:color w:val="auto"/>
              </w:rPr>
            </w:pPr>
            <w:r>
              <w:rPr>
                <w:rFonts w:ascii="Arial" w:cs="Arial" w:eastAsia="Arial" w:hAnsi="Arial"/>
                <w:sz w:val="15"/>
                <w:szCs w:val="15"/>
                <w:color w:val="auto"/>
              </w:rPr>
              <w:t>Total current liabilities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1,337,621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587,646</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923,001</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Long-term debt and line of credit borrowings</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1,880,589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1,876,989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1,492,629</w:t>
            </w: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Deferred tax liabilities and reserves for uncertain tax positions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172,954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214,217</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197,906</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Operating lease liabilities</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289,299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Deferred revenue and other noncurrent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90,346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103,545</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144,882</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3,770,809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2,782,397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2,758,418</w:t>
            </w:r>
          </w:p>
        </w:tc>
        <w:tc>
          <w:tcPr>
            <w:tcW w:w="0" w:type="dxa"/>
            <w:vAlign w:val="bottom"/>
          </w:tcPr>
          <w:p>
            <w:pPr>
              <w:spacing w:after="0"/>
              <w:rPr>
                <w:sz w:val="1"/>
                <w:szCs w:val="1"/>
                <w:color w:val="auto"/>
              </w:rPr>
            </w:pPr>
          </w:p>
        </w:tc>
      </w:tr>
      <w:tr>
        <w:trPr>
          <w:trHeight w:val="254"/>
        </w:trPr>
        <w:tc>
          <w:tcPr>
            <w:tcW w:w="5860" w:type="dxa"/>
            <w:vAlign w:val="bottom"/>
            <w:gridSpan w:val="2"/>
            <w:shd w:val="clear" w:color="auto" w:fill="CCEEFF"/>
          </w:tcPr>
          <w:p>
            <w:pPr>
              <w:ind w:left="40"/>
              <w:spacing w:after="0"/>
              <w:rPr>
                <w:sz w:val="20"/>
                <w:szCs w:val="20"/>
                <w:color w:val="auto"/>
              </w:rPr>
            </w:pPr>
            <w:r>
              <w:rPr>
                <w:rFonts w:ascii="Arial" w:cs="Arial" w:eastAsia="Arial" w:hAnsi="Arial"/>
                <w:sz w:val="15"/>
                <w:szCs w:val="15"/>
                <w:b w:val="1"/>
                <w:bCs w:val="1"/>
                <w:color w:val="auto"/>
              </w:rPr>
              <w:t>COMMITMENTS AND CONTINGENCIES</w:t>
            </w:r>
          </w:p>
        </w:tc>
        <w:tc>
          <w:tcPr>
            <w:tcW w:w="24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5860" w:type="dxa"/>
            <w:vAlign w:val="bottom"/>
            <w:gridSpan w:val="2"/>
          </w:tcPr>
          <w:p>
            <w:pPr>
              <w:ind w:left="40"/>
              <w:spacing w:after="0"/>
              <w:rPr>
                <w:sz w:val="20"/>
                <w:szCs w:val="20"/>
                <w:color w:val="auto"/>
              </w:rPr>
            </w:pPr>
            <w:r>
              <w:rPr>
                <w:rFonts w:ascii="Arial" w:cs="Arial" w:eastAsia="Arial" w:hAnsi="Arial"/>
                <w:sz w:val="15"/>
                <w:szCs w:val="15"/>
                <w:b w:val="1"/>
                <w:bCs w:val="1"/>
                <w:color w:val="auto"/>
              </w:rPr>
              <w:t>STOCKHOLDERS' EQUITY:</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Common stock, no par, stated value $.01 per share, 800,000,000 shares</w:t>
            </w:r>
          </w:p>
        </w:tc>
        <w:tc>
          <w:tcPr>
            <w:tcW w:w="24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2,282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6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rPr>
              <w:t>authorized, shares issued of 228,206,684, 241,501,278 and 238,336,760</w:t>
            </w:r>
          </w:p>
        </w:tc>
        <w:tc>
          <w:tcPr>
            <w:tcW w:w="240" w:type="dxa"/>
            <w:vAlign w:val="bottom"/>
            <w:shd w:val="clear" w:color="auto" w:fill="CCEEFF"/>
          </w:tcPr>
          <w:p>
            <w:pPr>
              <w:spacing w:after="0"/>
              <w:rPr>
                <w:sz w:val="16"/>
                <w:szCs w:val="16"/>
                <w:color w:val="auto"/>
              </w:rPr>
            </w:pPr>
          </w:p>
        </w:tc>
        <w:tc>
          <w:tcPr>
            <w:tcW w:w="15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2,415</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2,383</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Additional paid-in capital</w:t>
            </w:r>
          </w:p>
        </w:tc>
        <w:tc>
          <w:tcPr>
            <w:tcW w:w="240" w:type="dxa"/>
            <w:vAlign w:val="bottom"/>
          </w:tcPr>
          <w:p>
            <w:pPr>
              <w:spacing w:after="0"/>
              <w:rPr>
                <w:sz w:val="23"/>
                <w:szCs w:val="23"/>
                <w:color w:val="auto"/>
              </w:rPr>
            </w:pPr>
          </w:p>
        </w:tc>
        <w:tc>
          <w:tcPr>
            <w:tcW w:w="1540" w:type="dxa"/>
            <w:vAlign w:val="bottom"/>
          </w:tcPr>
          <w:p>
            <w:pPr>
              <w:jc w:val="right"/>
              <w:ind w:right="23"/>
              <w:spacing w:after="0"/>
              <w:rPr>
                <w:sz w:val="20"/>
                <w:szCs w:val="20"/>
                <w:color w:val="auto"/>
              </w:rPr>
            </w:pPr>
            <w:r>
              <w:rPr>
                <w:rFonts w:ascii="Arial" w:cs="Arial" w:eastAsia="Arial" w:hAnsi="Arial"/>
                <w:sz w:val="15"/>
                <w:szCs w:val="15"/>
                <w:b w:val="1"/>
                <w:bCs w:val="1"/>
                <w:color w:val="auto"/>
              </w:rPr>
              <w:t>769,990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ind w:right="24"/>
              <w:spacing w:after="0"/>
              <w:rPr>
                <w:sz w:val="20"/>
                <w:szCs w:val="20"/>
                <w:color w:val="auto"/>
              </w:rPr>
            </w:pPr>
            <w:r>
              <w:rPr>
                <w:rFonts w:ascii="Arial" w:cs="Arial" w:eastAsia="Arial" w:hAnsi="Arial"/>
                <w:sz w:val="15"/>
                <w:szCs w:val="15"/>
                <w:color w:val="auto"/>
              </w:rPr>
              <w:t>764,982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767,636</w:t>
            </w:r>
          </w:p>
        </w:tc>
        <w:tc>
          <w:tcPr>
            <w:tcW w:w="0" w:type="dxa"/>
            <w:vAlign w:val="bottom"/>
          </w:tcPr>
          <w:p>
            <w:pPr>
              <w:spacing w:after="0"/>
              <w:rPr>
                <w:sz w:val="1"/>
                <w:szCs w:val="1"/>
                <w:color w:val="auto"/>
              </w:rPr>
            </w:pPr>
          </w:p>
        </w:tc>
      </w:tr>
      <w:tr>
        <w:trPr>
          <w:trHeight w:val="274"/>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Accumulated other comprehensive loss</w:t>
            </w:r>
          </w:p>
        </w:tc>
        <w:tc>
          <w:tcPr>
            <w:tcW w:w="2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(25,391)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(17,642)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(20,416)</w:t>
            </w:r>
          </w:p>
        </w:tc>
        <w:tc>
          <w:tcPr>
            <w:tcW w:w="0" w:type="dxa"/>
            <w:vAlign w:val="bottom"/>
          </w:tcPr>
          <w:p>
            <w:pPr>
              <w:spacing w:after="0"/>
              <w:rPr>
                <w:sz w:val="1"/>
                <w:szCs w:val="1"/>
                <w:color w:val="auto"/>
              </w:rPr>
            </w:pPr>
          </w:p>
        </w:tc>
      </w:tr>
      <w:tr>
        <w:trPr>
          <w:trHeight w:val="266"/>
        </w:trPr>
        <w:tc>
          <w:tcPr>
            <w:tcW w:w="5860" w:type="dxa"/>
            <w:vAlign w:val="bottom"/>
            <w:gridSpan w:val="2"/>
          </w:tcPr>
          <w:p>
            <w:pPr>
              <w:ind w:left="180"/>
              <w:spacing w:after="0"/>
              <w:rPr>
                <w:sz w:val="20"/>
                <w:szCs w:val="20"/>
                <w:color w:val="auto"/>
              </w:rPr>
            </w:pPr>
            <w:r>
              <w:rPr>
                <w:rFonts w:ascii="Arial" w:cs="Arial" w:eastAsia="Arial" w:hAnsi="Arial"/>
                <w:sz w:val="15"/>
                <w:szCs w:val="15"/>
                <w:color w:val="auto"/>
              </w:rPr>
              <w:t>Retained earnings (deficit)</w:t>
            </w:r>
          </w:p>
        </w:tc>
        <w:tc>
          <w:tcPr>
            <w:tcW w:w="2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5"/>
                <w:szCs w:val="15"/>
                <w:b w:val="1"/>
                <w:bCs w:val="1"/>
                <w:color w:val="auto"/>
              </w:rPr>
              <w:t>(367,218)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(254,277)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40" w:type="dxa"/>
            <w:vAlign w:val="bottom"/>
          </w:tcPr>
          <w:p>
            <w:pPr>
              <w:jc w:val="right"/>
              <w:ind w:right="23"/>
              <w:spacing w:after="0"/>
              <w:rPr>
                <w:sz w:val="20"/>
                <w:szCs w:val="20"/>
                <w:color w:val="auto"/>
              </w:rPr>
            </w:pPr>
            <w:r>
              <w:rPr>
                <w:rFonts w:ascii="Arial" w:cs="Arial" w:eastAsia="Arial" w:hAnsi="Arial"/>
                <w:sz w:val="15"/>
                <w:szCs w:val="15"/>
                <w:color w:val="auto"/>
              </w:rPr>
              <w:t>499,386</w:t>
            </w:r>
          </w:p>
        </w:tc>
        <w:tc>
          <w:tcPr>
            <w:tcW w:w="0" w:type="dxa"/>
            <w:vAlign w:val="bottom"/>
          </w:tcPr>
          <w:p>
            <w:pPr>
              <w:spacing w:after="0"/>
              <w:rPr>
                <w:sz w:val="1"/>
                <w:szCs w:val="1"/>
                <w:color w:val="auto"/>
              </w:rPr>
            </w:pPr>
          </w:p>
        </w:tc>
      </w:tr>
      <w:tr>
        <w:trPr>
          <w:trHeight w:val="27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Less treasury shares, at cost, of 35,732,666, 36,460,305 and 36,377,441</w:t>
            </w:r>
          </w:p>
        </w:tc>
        <w:tc>
          <w:tcPr>
            <w:tcW w:w="24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(698,042)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(709,069)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(707,462)</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gridSpan w:val="2"/>
          </w:tcPr>
          <w:p>
            <w:pPr>
              <w:ind w:left="380"/>
              <w:spacing w:after="0"/>
              <w:rPr>
                <w:sz w:val="20"/>
                <w:szCs w:val="20"/>
                <w:color w:val="auto"/>
              </w:rPr>
            </w:pPr>
            <w:r>
              <w:rPr>
                <w:rFonts w:ascii="Arial" w:cs="Arial" w:eastAsia="Arial" w:hAnsi="Arial"/>
                <w:sz w:val="15"/>
                <w:szCs w:val="15"/>
                <w:color w:val="auto"/>
              </w:rPr>
              <w:t>Total stockholders' equity (deficiency)</w:t>
            </w:r>
          </w:p>
        </w:tc>
        <w:tc>
          <w:tcPr>
            <w:tcW w:w="2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(318,379)</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(213,591)</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541,527</w:t>
            </w:r>
          </w:p>
        </w:tc>
        <w:tc>
          <w:tcPr>
            <w:tcW w:w="0" w:type="dxa"/>
            <w:vAlign w:val="bottom"/>
          </w:tcPr>
          <w:p>
            <w:pPr>
              <w:spacing w:after="0"/>
              <w:rPr>
                <w:sz w:val="1"/>
                <w:szCs w:val="1"/>
                <w:color w:val="auto"/>
              </w:rPr>
            </w:pPr>
          </w:p>
        </w:tc>
      </w:tr>
      <w:tr>
        <w:trPr>
          <w:trHeight w:val="250"/>
        </w:trPr>
        <w:tc>
          <w:tcPr>
            <w:tcW w:w="5860" w:type="dxa"/>
            <w:vAlign w:val="bottom"/>
            <w:gridSpan w:val="2"/>
            <w:shd w:val="clear" w:color="auto" w:fill="CCEEFF"/>
          </w:tcPr>
          <w:p>
            <w:pPr>
              <w:ind w:left="600"/>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95"/>
              </w:rPr>
              <w:t>$</w:t>
            </w:r>
          </w:p>
        </w:tc>
        <w:tc>
          <w:tcPr>
            <w:tcW w:w="15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3,452,430</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rPr>
              <w:t>2,568,806</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3,299,945</w:t>
            </w:r>
          </w:p>
        </w:tc>
        <w:tc>
          <w:tcPr>
            <w:tcW w:w="0" w:type="dxa"/>
            <w:vAlign w:val="bottom"/>
          </w:tcPr>
          <w:p>
            <w:pPr>
              <w:spacing w:after="0"/>
              <w:rPr>
                <w:sz w:val="1"/>
                <w:szCs w:val="1"/>
                <w:color w:val="auto"/>
              </w:rPr>
            </w:pPr>
          </w:p>
        </w:tc>
      </w:tr>
      <w:tr>
        <w:trPr>
          <w:trHeight w:val="119"/>
        </w:trPr>
        <w:tc>
          <w:tcPr>
            <w:tcW w:w="57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23114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00" w:hanging="250"/>
        <w:spacing w:after="0"/>
        <w:tabs>
          <w:tab w:leader="none" w:pos="400" w:val="left"/>
        </w:tabs>
        <w:numPr>
          <w:ilvl w:val="0"/>
          <w:numId w:val="1"/>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7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CONSOLIDATED STATEMENTS OF CASH FLOWS</w:t>
            </w: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(unaudited, in 000s)</w:t>
            </w:r>
          </w:p>
        </w:tc>
      </w:tr>
      <w:tr>
        <w:trPr>
          <w:trHeight w:val="263"/>
        </w:trPr>
        <w:tc>
          <w:tcPr>
            <w:tcW w:w="76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Net loss</w:t>
            </w: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(467,929)</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(455,400)</w:t>
            </w:r>
          </w:p>
        </w:tc>
      </w:tr>
      <w:tr>
        <w:trPr>
          <w:trHeight w:val="260"/>
        </w:trPr>
        <w:tc>
          <w:tcPr>
            <w:tcW w:w="77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4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60"/>
        </w:trPr>
        <w:tc>
          <w:tcPr>
            <w:tcW w:w="7760" w:type="dxa"/>
            <w:vAlign w:val="bottom"/>
            <w:gridSpan w:val="2"/>
          </w:tcPr>
          <w:p>
            <w:pPr>
              <w:ind w:left="380"/>
              <w:spacing w:after="0"/>
              <w:rPr>
                <w:sz w:val="20"/>
                <w:szCs w:val="20"/>
                <w:color w:val="auto"/>
              </w:rPr>
            </w:pPr>
            <w:r>
              <w:rPr>
                <w:rFonts w:ascii="Arial" w:cs="Arial" w:eastAsia="Arial" w:hAnsi="Arial"/>
                <w:sz w:val="16"/>
                <w:szCs w:val="16"/>
                <w:color w:val="auto"/>
              </w:rPr>
              <w:t>Depreciation and amortization</w:t>
            </w:r>
          </w:p>
        </w:tc>
        <w:tc>
          <w:tcPr>
            <w:tcW w:w="4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125,409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126,013</w:t>
            </w:r>
          </w:p>
        </w:tc>
      </w:tr>
      <w:tr>
        <w:trPr>
          <w:trHeight w:val="280"/>
        </w:trPr>
        <w:tc>
          <w:tcPr>
            <w:tcW w:w="7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Provision for bad debt</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37,517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35,009</w:t>
            </w:r>
          </w:p>
        </w:tc>
      </w:tr>
      <w:tr>
        <w:trPr>
          <w:trHeight w:val="260"/>
        </w:trPr>
        <w:tc>
          <w:tcPr>
            <w:tcW w:w="7760" w:type="dxa"/>
            <w:vAlign w:val="bottom"/>
            <w:gridSpan w:val="2"/>
          </w:tcPr>
          <w:p>
            <w:pPr>
              <w:ind w:left="380"/>
              <w:spacing w:after="0"/>
              <w:rPr>
                <w:sz w:val="20"/>
                <w:szCs w:val="20"/>
                <w:color w:val="auto"/>
              </w:rPr>
            </w:pPr>
            <w:r>
              <w:rPr>
                <w:rFonts w:ascii="Arial" w:cs="Arial" w:eastAsia="Arial" w:hAnsi="Arial"/>
                <w:sz w:val="16"/>
                <w:szCs w:val="16"/>
                <w:color w:val="auto"/>
              </w:rPr>
              <w:t>Deferred taxes</w:t>
            </w:r>
          </w:p>
        </w:tc>
        <w:tc>
          <w:tcPr>
            <w:tcW w:w="4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10,795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20,557</w:t>
            </w:r>
          </w:p>
        </w:tc>
      </w:tr>
      <w:tr>
        <w:trPr>
          <w:trHeight w:val="280"/>
        </w:trPr>
        <w:tc>
          <w:tcPr>
            <w:tcW w:w="776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Stock-based compensation</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22,699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18,009</w:t>
            </w:r>
          </w:p>
        </w:tc>
      </w:tr>
      <w:tr>
        <w:trPr>
          <w:trHeight w:val="260"/>
        </w:trPr>
        <w:tc>
          <w:tcPr>
            <w:tcW w:w="7760" w:type="dxa"/>
            <w:vAlign w:val="bottom"/>
            <w:gridSpan w:val="2"/>
          </w:tcPr>
          <w:p>
            <w:pPr>
              <w:ind w:left="380"/>
              <w:spacing w:after="0"/>
              <w:rPr>
                <w:sz w:val="20"/>
                <w:szCs w:val="20"/>
                <w:color w:val="auto"/>
              </w:rPr>
            </w:pPr>
            <w:r>
              <w:rPr>
                <w:rFonts w:ascii="Arial" w:cs="Arial" w:eastAsia="Arial" w:hAnsi="Arial"/>
                <w:sz w:val="16"/>
                <w:szCs w:val="16"/>
                <w:color w:val="auto"/>
              </w:rPr>
              <w:t>Changes in assets and liabilities, net of acquisitions:</w:t>
            </w: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Receivables</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(684,323)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(641,157)</w:t>
            </w:r>
          </w:p>
        </w:tc>
      </w:tr>
      <w:tr>
        <w:trPr>
          <w:trHeight w:val="260"/>
        </w:trPr>
        <w:tc>
          <w:tcPr>
            <w:tcW w:w="7760" w:type="dxa"/>
            <w:vAlign w:val="bottom"/>
            <w:gridSpan w:val="2"/>
          </w:tcPr>
          <w:p>
            <w:pPr>
              <w:ind w:left="500"/>
              <w:spacing w:after="0"/>
              <w:rPr>
                <w:sz w:val="20"/>
                <w:szCs w:val="20"/>
                <w:color w:val="auto"/>
              </w:rPr>
            </w:pPr>
            <w:r>
              <w:rPr>
                <w:rFonts w:ascii="Arial" w:cs="Arial" w:eastAsia="Arial" w:hAnsi="Arial"/>
                <w:sz w:val="16"/>
                <w:szCs w:val="16"/>
                <w:color w:val="auto"/>
              </w:rPr>
              <w:t>Prepaid expenses, other current and noncurrent assets</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(1,990)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(56,160)</w:t>
            </w:r>
          </w:p>
        </w:tc>
      </w:tr>
      <w:tr>
        <w:trPr>
          <w:trHeight w:val="280"/>
        </w:trPr>
        <w:tc>
          <w:tcPr>
            <w:tcW w:w="7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Accounts payable, accrued expenses, salaries, wages and payroll taxes</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(166,204)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(47,975)</w:t>
            </w:r>
          </w:p>
        </w:tc>
      </w:tr>
      <w:tr>
        <w:trPr>
          <w:trHeight w:val="260"/>
        </w:trPr>
        <w:tc>
          <w:tcPr>
            <w:tcW w:w="7760" w:type="dxa"/>
            <w:vAlign w:val="bottom"/>
            <w:gridSpan w:val="2"/>
          </w:tcPr>
          <w:p>
            <w:pPr>
              <w:ind w:left="500"/>
              <w:spacing w:after="0"/>
              <w:rPr>
                <w:sz w:val="20"/>
                <w:szCs w:val="20"/>
                <w:color w:val="auto"/>
              </w:rPr>
            </w:pPr>
            <w:r>
              <w:rPr>
                <w:rFonts w:ascii="Arial" w:cs="Arial" w:eastAsia="Arial" w:hAnsi="Arial"/>
                <w:sz w:val="16"/>
                <w:szCs w:val="16"/>
                <w:color w:val="auto"/>
              </w:rPr>
              <w:t>Deferred revenue, other current and noncurrent liabilities</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(55,064)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(66,804)</w:t>
            </w:r>
          </w:p>
        </w:tc>
      </w:tr>
      <w:tr>
        <w:trPr>
          <w:trHeight w:val="280"/>
        </w:trPr>
        <w:tc>
          <w:tcPr>
            <w:tcW w:w="776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Income tax receivables, accrued income taxes and income tax reserves</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(282,488)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(277,240)</w:t>
            </w:r>
          </w:p>
        </w:tc>
      </w:tr>
      <w:tr>
        <w:trPr>
          <w:trHeight w:val="263"/>
        </w:trPr>
        <w:tc>
          <w:tcPr>
            <w:tcW w:w="776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(6,213)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w:t>
            </w:r>
          </w:p>
        </w:tc>
      </w:tr>
      <w:tr>
        <w:trPr>
          <w:trHeight w:val="250"/>
        </w:trPr>
        <w:tc>
          <w:tcPr>
            <w:tcW w:w="77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Net cash used in operating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(1,467,791)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(1,347,456)</w:t>
            </w:r>
          </w:p>
        </w:tc>
      </w:tr>
      <w:tr>
        <w:trPr>
          <w:trHeight w:val="122"/>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Capital expenditures</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(66,510)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(79,982)</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made for business acquisitions, net of cash acquired</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(450,282)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(42,428)</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Franchise loans funded</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(32,890)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(16,875)</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from franchisees</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14,604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15,149</w:t>
            </w:r>
          </w:p>
        </w:tc>
      </w:tr>
      <w:tr>
        <w:trPr>
          <w:trHeight w:val="264"/>
        </w:trPr>
        <w:tc>
          <w:tcPr>
            <w:tcW w:w="7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45,376</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4,877</w:t>
            </w:r>
          </w:p>
        </w:tc>
      </w:tr>
      <w:tr>
        <w:trPr>
          <w:trHeight w:val="250"/>
        </w:trPr>
        <w:tc>
          <w:tcPr>
            <w:tcW w:w="77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(489,702)</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(119,259)</w:t>
            </w:r>
          </w:p>
        </w:tc>
      </w:tr>
      <w:tr>
        <w:trPr>
          <w:trHeight w:val="122"/>
        </w:trPr>
        <w:tc>
          <w:tcPr>
            <w:tcW w:w="7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Repayments of line of credit borrowings</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(285,000)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(230,000)</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Proceeds from line of credit borrowings</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1,320,000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615,000</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Dividends paid</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(154,827)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(154,866)</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Repurchase of common stock, including shares surrendered</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(256,199)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(102,152)</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4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2,074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2,527</w:t>
            </w:r>
          </w:p>
        </w:tc>
      </w:tr>
      <w:tr>
        <w:trPr>
          <w:trHeight w:val="273"/>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(14,136)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(20,126)</w:t>
            </w:r>
          </w:p>
        </w:tc>
      </w:tr>
      <w:tr>
        <w:trPr>
          <w:trHeight w:val="250"/>
        </w:trPr>
        <w:tc>
          <w:tcPr>
            <w:tcW w:w="776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Net cash provided by financing activities</w:t>
            </w:r>
          </w:p>
        </w:tc>
        <w:tc>
          <w:tcPr>
            <w:tcW w:w="4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611,912</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110,383</w:t>
            </w:r>
          </w:p>
        </w:tc>
      </w:tr>
      <w:tr>
        <w:trPr>
          <w:trHeight w:val="122"/>
        </w:trPr>
        <w:tc>
          <w:tcPr>
            <w:tcW w:w="7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Effects of exchange rate changes on cash</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(2,217)</w:t>
            </w:r>
          </w:p>
        </w:tc>
      </w:tr>
      <w:tr>
        <w:trPr>
          <w:trHeight w:val="131"/>
        </w:trPr>
        <w:tc>
          <w:tcPr>
            <w:tcW w:w="7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Net decrease in cash and cash equivalents, including restricted balances</w:t>
            </w:r>
          </w:p>
        </w:tc>
        <w:tc>
          <w:tcPr>
            <w:tcW w:w="4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(1,345,940)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(1,358,549)</w:t>
            </w:r>
          </w:p>
        </w:tc>
      </w:tr>
      <w:tr>
        <w:trPr>
          <w:trHeight w:val="273"/>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 beginning of period</w:t>
            </w:r>
          </w:p>
        </w:tc>
        <w:tc>
          <w:tcPr>
            <w:tcW w:w="4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1,707,727</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1,663,678</w:t>
            </w:r>
          </w:p>
        </w:tc>
      </w:tr>
      <w:tr>
        <w:trPr>
          <w:trHeight w:val="25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cash equivalents and restricted cash, end of period</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361,787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305,129</w:t>
            </w:r>
          </w:p>
        </w:tc>
      </w:tr>
      <w:tr>
        <w:trPr>
          <w:trHeight w:val="122"/>
        </w:trPr>
        <w:tc>
          <w:tcPr>
            <w:tcW w:w="7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r>
      <w:tr>
        <w:trPr>
          <w:trHeight w:val="260"/>
        </w:trPr>
        <w:tc>
          <w:tcPr>
            <w:tcW w:w="7760" w:type="dxa"/>
            <w:vAlign w:val="bottom"/>
            <w:gridSpan w:val="2"/>
          </w:tcPr>
          <w:p>
            <w:pPr>
              <w:ind w:left="40"/>
              <w:spacing w:after="0"/>
              <w:rPr>
                <w:sz w:val="20"/>
                <w:szCs w:val="20"/>
                <w:color w:val="auto"/>
              </w:rPr>
            </w:pPr>
            <w:r>
              <w:rPr>
                <w:rFonts w:ascii="Arial" w:cs="Arial" w:eastAsia="Arial" w:hAnsi="Arial"/>
                <w:sz w:val="16"/>
                <w:szCs w:val="16"/>
                <w:b w:val="1"/>
                <w:bCs w:val="1"/>
                <w:color w:val="auto"/>
              </w:rPr>
              <w:t>SUPPLEMENTARY CASH FLOW DATA:</w:t>
            </w:r>
          </w:p>
        </w:tc>
        <w:tc>
          <w:tcPr>
            <w:tcW w:w="4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 of refunds received</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84,872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103,789</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Interest paid on borrowings</w:t>
            </w:r>
          </w:p>
        </w:tc>
        <w:tc>
          <w:tcPr>
            <w:tcW w:w="46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65,972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55,581</w:t>
            </w:r>
          </w:p>
        </w:tc>
      </w:tr>
      <w:tr>
        <w:trPr>
          <w:trHeight w:val="280"/>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Accrued additions to property and equipment</w:t>
            </w:r>
          </w:p>
        </w:tc>
        <w:tc>
          <w:tcPr>
            <w:tcW w:w="4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1,662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2,241</w:t>
            </w:r>
          </w:p>
        </w:tc>
      </w:tr>
      <w:tr>
        <w:trPr>
          <w:trHeight w:val="260"/>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Accrued purchase of common stock</w:t>
            </w:r>
          </w:p>
        </w:tc>
        <w:tc>
          <w:tcPr>
            <w:tcW w:w="46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2"/>
                <w:szCs w:val="22"/>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12,301</w:t>
            </w:r>
          </w:p>
        </w:tc>
      </w:tr>
      <w:tr>
        <w:trPr>
          <w:trHeight w:val="131"/>
        </w:trPr>
        <w:tc>
          <w:tcPr>
            <w:tcW w:w="76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480" w:type="dxa"/>
            <w:vAlign w:val="bottom"/>
            <w:tcBorders>
              <w:bottom w:val="single" w:sz="8" w:color="auto"/>
            </w:tcBorders>
            <w:shd w:val="clear" w:color="auto" w:fill="CCEEFF"/>
          </w:tcPr>
          <w:p>
            <w:pPr>
              <w:spacing w:after="0"/>
              <w:rPr>
                <w:sz w:val="11"/>
                <w:szCs w:val="11"/>
                <w:color w:val="auto"/>
              </w:rPr>
            </w:pPr>
          </w:p>
        </w:tc>
      </w:tr>
    </w:tbl>
    <w:p>
      <w:pPr>
        <w:spacing w:after="0" w:line="1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288925</wp:posOffset>
            </wp:positionV>
            <wp:extent cx="2228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69"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sz w:val="20"/>
          <w:szCs w:val="20"/>
          <w:color w:val="auto"/>
        </w:rPr>
        <w:tab/>
      </w:r>
      <w:r>
        <w:rPr>
          <w:rFonts w:ascii="Arial" w:cs="Arial" w:eastAsia="Arial" w:hAnsi="Arial"/>
          <w:sz w:val="14"/>
          <w:szCs w:val="14"/>
          <w:color w:val="FFFFFF"/>
          <w:highlight w:val="black"/>
        </w:rPr>
        <w:t>3</w:t>
      </w:r>
    </w:p>
    <w:p>
      <w:pPr>
        <w:sectPr>
          <w:pgSz w:w="11900" w:h="16838" w:orient="portrait"/>
          <w:cols w:equalWidth="0" w:num="1">
            <w:col w:w="11240"/>
          </w:cols>
          <w:pgMar w:left="320" w:top="249" w:right="3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280" w:type="dxa"/>
            <w:vAlign w:val="bottom"/>
            <w:tcBorders>
              <w:bottom w:val="single" w:sz="8" w:color="auto"/>
            </w:tcBorders>
            <w:gridSpan w:val="13"/>
          </w:tcPr>
          <w:p>
            <w:pPr>
              <w:ind w:left="40"/>
              <w:spacing w:after="0"/>
              <w:rPr>
                <w:sz w:val="20"/>
                <w:szCs w:val="20"/>
                <w:color w:val="auto"/>
              </w:rPr>
            </w:pPr>
            <w:r>
              <w:rPr>
                <w:rFonts w:ascii="Arial" w:cs="Arial" w:eastAsia="Arial" w:hAnsi="Arial"/>
                <w:sz w:val="22"/>
                <w:szCs w:val="22"/>
                <w:b w:val="1"/>
                <w:bCs w:val="1"/>
                <w:color w:val="auto"/>
              </w:rPr>
              <w:t>CONSOLIDATED STATEMENTS OF STOCKHOLDERS' EQUITY</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3"/>
                <w:szCs w:val="13"/>
                <w:color w:val="auto"/>
              </w:rPr>
              <w:t>(amounts in 000s, except per share amounts)</w:t>
            </w: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5"/>
            <w:vMerge w:val="restart"/>
          </w:tcPr>
          <w:p>
            <w:pPr>
              <w:ind w:left="48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Accumulated</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5"/>
            <w:vMerge w:val="restart"/>
          </w:tcPr>
          <w:p>
            <w:pPr>
              <w:ind w:left="480"/>
              <w:spacing w:after="0"/>
              <w:rPr>
                <w:sz w:val="20"/>
                <w:szCs w:val="20"/>
                <w:color w:val="auto"/>
              </w:rPr>
            </w:pPr>
            <w:r>
              <w:rPr>
                <w:rFonts w:ascii="Arial" w:cs="Arial" w:eastAsia="Arial" w:hAnsi="Arial"/>
                <w:sz w:val="14"/>
                <w:szCs w:val="14"/>
                <w:color w:val="auto"/>
              </w:rPr>
              <w:t>Treasury Stock</w:t>
            </w:r>
          </w:p>
        </w:tc>
        <w:tc>
          <w:tcPr>
            <w:tcW w:w="1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1160" w:type="dxa"/>
            <w:vAlign w:val="bottom"/>
            <w:gridSpan w:val="2"/>
          </w:tcPr>
          <w:p>
            <w:pPr>
              <w:ind w:left="540"/>
              <w:spacing w:after="0" w:line="144"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820" w:type="dxa"/>
            <w:vAlign w:val="bottom"/>
            <w:gridSpan w:val="2"/>
          </w:tcPr>
          <w:p>
            <w:pPr>
              <w:jc w:val="right"/>
              <w:ind w:right="200"/>
              <w:spacing w:after="0" w:line="144" w:lineRule="exact"/>
              <w:rPr>
                <w:sz w:val="20"/>
                <w:szCs w:val="20"/>
                <w:color w:val="auto"/>
              </w:rPr>
            </w:pPr>
            <w:r>
              <w:rPr>
                <w:rFonts w:ascii="Arial" w:cs="Arial" w:eastAsia="Arial" w:hAnsi="Arial"/>
                <w:sz w:val="14"/>
                <w:szCs w:val="14"/>
                <w:color w:val="auto"/>
              </w:rPr>
              <w:t>Retained</w:t>
            </w:r>
          </w:p>
        </w:tc>
        <w:tc>
          <w:tcPr>
            <w:tcW w:w="2000" w:type="dxa"/>
            <w:vAlign w:val="bottom"/>
            <w:gridSpan w:val="5"/>
            <w:vMerge w:val="continue"/>
          </w:tcPr>
          <w:p>
            <w:pPr>
              <w:spacing w:after="0"/>
              <w:rPr>
                <w:sz w:val="12"/>
                <w:szCs w:val="12"/>
                <w:color w:val="auto"/>
              </w:rPr>
            </w:pPr>
          </w:p>
        </w:tc>
        <w:tc>
          <w:tcPr>
            <w:tcW w:w="98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0"/>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Paid-in</w:t>
            </w: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rPr>
              <w:t>Comprehensive</w:t>
            </w:r>
          </w:p>
        </w:tc>
        <w:tc>
          <w:tcPr>
            <w:tcW w:w="160" w:type="dxa"/>
            <w:vAlign w:val="bottom"/>
          </w:tcPr>
          <w:p>
            <w:pPr>
              <w:spacing w:after="0"/>
              <w:rPr>
                <w:sz w:val="13"/>
                <w:szCs w:val="1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Earnings</w:t>
            </w: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8"/>
        </w:trPr>
        <w:tc>
          <w:tcPr>
            <w:tcW w:w="282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Shares</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Capital</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Income (Loss)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(Deficit)</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(Deficiency)</w:t>
            </w:r>
          </w:p>
        </w:tc>
        <w:tc>
          <w:tcPr>
            <w:tcW w:w="0" w:type="dxa"/>
            <w:vAlign w:val="bottom"/>
          </w:tcPr>
          <w:p>
            <w:pPr>
              <w:spacing w:after="0"/>
              <w:rPr>
                <w:sz w:val="1"/>
                <w:szCs w:val="1"/>
                <w:color w:val="auto"/>
              </w:rPr>
            </w:pPr>
          </w:p>
        </w:tc>
      </w:tr>
      <w:tr>
        <w:trPr>
          <w:trHeight w:val="25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May 1, 2019</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238,337</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767,636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(20,416)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499,386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(36,377)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(707,462)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541,527</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(150,247)</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(150,247)</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(2,320)</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6,557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6,557</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(13,789)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17,631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1,056</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(314)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(9,185)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(9,185)</w:t>
            </w:r>
          </w:p>
        </w:tc>
        <w:tc>
          <w:tcPr>
            <w:tcW w:w="0" w:type="dxa"/>
            <w:vAlign w:val="bottom"/>
          </w:tcPr>
          <w:p>
            <w:pPr>
              <w:spacing w:after="0"/>
              <w:rPr>
                <w:sz w:val="1"/>
                <w:szCs w:val="1"/>
                <w:color w:val="auto"/>
              </w:rPr>
            </w:pPr>
          </w:p>
        </w:tc>
      </w:tr>
      <w:tr>
        <w:trPr>
          <w:trHeight w:val="20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and retirement of 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(43,101)</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(44,072)</w:t>
            </w:r>
          </w:p>
        </w:tc>
        <w:tc>
          <w:tcPr>
            <w:tcW w:w="0" w:type="dxa"/>
            <w:vAlign w:val="bottom"/>
          </w:tcPr>
          <w:p>
            <w:pPr>
              <w:spacing w:after="0"/>
              <w:rPr>
                <w:sz w:val="1"/>
                <w:szCs w:val="1"/>
                <w:color w:val="auto"/>
              </w:rPr>
            </w:pPr>
          </w:p>
        </w:tc>
      </w:tr>
      <w:tr>
        <w:trPr>
          <w:trHeight w:val="184"/>
        </w:trPr>
        <w:tc>
          <w:tcPr>
            <w:tcW w:w="2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shares</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$0.26 per share</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(52,512)</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(52,512)</w:t>
            </w:r>
          </w:p>
        </w:tc>
        <w:tc>
          <w:tcPr>
            <w:tcW w:w="0" w:type="dxa"/>
            <w:vAlign w:val="bottom"/>
          </w:tcPr>
          <w:p>
            <w:pPr>
              <w:spacing w:after="0"/>
              <w:rPr>
                <w:sz w:val="1"/>
                <w:szCs w:val="1"/>
                <w:color w:val="auto"/>
              </w:rPr>
            </w:pPr>
          </w:p>
        </w:tc>
      </w:tr>
      <w:tr>
        <w:trPr>
          <w:trHeight w:val="256"/>
        </w:trPr>
        <w:tc>
          <w:tcPr>
            <w:tcW w:w="29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July 31, 2019</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236,744</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2,367</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759,449</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(22,736)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250,740</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(699,016)</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290,804</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(187,999)</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(187,999)</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919</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9,331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9,331</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(139)</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(173)</w:t>
            </w:r>
          </w:p>
        </w:tc>
        <w:tc>
          <w:tcPr>
            <w:tcW w:w="0" w:type="dxa"/>
            <w:vAlign w:val="bottom"/>
          </w:tcPr>
          <w:p>
            <w:pPr>
              <w:spacing w:after="0"/>
              <w:rPr>
                <w:sz w:val="1"/>
                <w:szCs w:val="1"/>
                <w:color w:val="auto"/>
              </w:rPr>
            </w:pPr>
          </w:p>
        </w:tc>
      </w:tr>
      <w:tr>
        <w:trPr>
          <w:trHeight w:val="20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and retirement of 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(5,720)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(133,449)</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(136,939)</w:t>
            </w:r>
          </w:p>
        </w:tc>
        <w:tc>
          <w:tcPr>
            <w:tcW w:w="0" w:type="dxa"/>
            <w:vAlign w:val="bottom"/>
          </w:tcPr>
          <w:p>
            <w:pPr>
              <w:spacing w:after="0"/>
              <w:rPr>
                <w:sz w:val="1"/>
                <w:szCs w:val="1"/>
                <w:color w:val="auto"/>
              </w:rPr>
            </w:pPr>
          </w:p>
        </w:tc>
      </w:tr>
      <w:tr>
        <w:trPr>
          <w:trHeight w:val="184"/>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$0.26 per share</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(51,551)</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(51,551)</w:t>
            </w:r>
          </w:p>
        </w:tc>
        <w:tc>
          <w:tcPr>
            <w:tcW w:w="0" w:type="dxa"/>
            <w:vAlign w:val="bottom"/>
          </w:tcPr>
          <w:p>
            <w:pPr>
              <w:spacing w:after="0"/>
              <w:rPr>
                <w:sz w:val="1"/>
                <w:szCs w:val="1"/>
                <w:color w:val="auto"/>
              </w:rPr>
            </w:pPr>
          </w:p>
        </w:tc>
      </w:tr>
      <w:tr>
        <w:trPr>
          <w:trHeight w:val="256"/>
        </w:trPr>
        <w:tc>
          <w:tcPr>
            <w:tcW w:w="29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October 31, 2019</w:t>
            </w:r>
          </w:p>
        </w:tc>
        <w:tc>
          <w:tcPr>
            <w:tcW w:w="9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231,024</w:t>
            </w:r>
          </w:p>
        </w:tc>
        <w:tc>
          <w:tcPr>
            <w:tcW w:w="14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765,220</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(21,817)</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(122,535)</w:t>
            </w:r>
          </w:p>
        </w:tc>
        <w:tc>
          <w:tcPr>
            <w:tcW w:w="10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(35,778)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(698,925)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(75,747)</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(129,683)</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(129,683)</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(3,574)</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6,529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6,529</w:t>
            </w:r>
          </w:p>
        </w:tc>
        <w:tc>
          <w:tcPr>
            <w:tcW w:w="0" w:type="dxa"/>
            <w:vAlign w:val="bottom"/>
          </w:tcPr>
          <w:p>
            <w:pPr>
              <w:spacing w:after="0"/>
              <w:rPr>
                <w:sz w:val="1"/>
                <w:szCs w:val="1"/>
                <w:color w:val="auto"/>
              </w:rPr>
            </w:pPr>
          </w:p>
        </w:tc>
      </w:tr>
      <w:tr>
        <w:trPr>
          <w:trHeight w:val="27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690</w:t>
            </w: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and retirement of common</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(2,817)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(64,056)</w:t>
            </w:r>
          </w:p>
        </w:tc>
        <w:tc>
          <w:tcPr>
            <w:tcW w:w="10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(65,774)</w:t>
            </w:r>
          </w:p>
        </w:tc>
        <w:tc>
          <w:tcPr>
            <w:tcW w:w="0" w:type="dxa"/>
            <w:vAlign w:val="bottom"/>
          </w:tcPr>
          <w:p>
            <w:pPr>
              <w:spacing w:after="0"/>
              <w:rPr>
                <w:sz w:val="1"/>
                <w:szCs w:val="1"/>
                <w:color w:val="auto"/>
              </w:rPr>
            </w:pPr>
          </w:p>
        </w:tc>
      </w:tr>
      <w:tr>
        <w:trPr>
          <w:trHeight w:val="184"/>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9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$0.26 per share</w:t>
            </w: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(50,764)</w:t>
            </w:r>
          </w:p>
        </w:tc>
        <w:tc>
          <w:tcPr>
            <w:tcW w:w="100" w:type="dxa"/>
            <w:vAlign w:val="bottom"/>
          </w:tcPr>
          <w:p>
            <w:pPr>
              <w:spacing w:after="0"/>
              <w:rPr>
                <w:sz w:val="22"/>
                <w:szCs w:val="2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(50,764)</w:t>
            </w:r>
          </w:p>
        </w:tc>
        <w:tc>
          <w:tcPr>
            <w:tcW w:w="0" w:type="dxa"/>
            <w:vAlign w:val="bottom"/>
          </w:tcPr>
          <w:p>
            <w:pPr>
              <w:spacing w:after="0"/>
              <w:rPr>
                <w:sz w:val="1"/>
                <w:szCs w:val="1"/>
                <w:color w:val="auto"/>
              </w:rPr>
            </w:pPr>
          </w:p>
        </w:tc>
      </w:tr>
      <w:tr>
        <w:trPr>
          <w:trHeight w:val="250"/>
        </w:trPr>
        <w:tc>
          <w:tcPr>
            <w:tcW w:w="29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January 31, 2020</w:t>
            </w:r>
          </w:p>
        </w:tc>
        <w:tc>
          <w:tcPr>
            <w:tcW w:w="9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228,207</w:t>
            </w: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2,282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769,990</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(25,391)</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(367,218)</w:t>
            </w:r>
          </w:p>
        </w:tc>
        <w:tc>
          <w:tcPr>
            <w:tcW w:w="100" w:type="dxa"/>
            <w:vAlign w:val="bottom"/>
            <w:tcBorders>
              <w:top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(35,733)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(698,042)</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(318,379)</w:t>
            </w:r>
          </w:p>
        </w:tc>
        <w:tc>
          <w:tcPr>
            <w:tcW w:w="0" w:type="dxa"/>
            <w:vAlign w:val="bottom"/>
          </w:tcPr>
          <w:p>
            <w:pPr>
              <w:spacing w:after="0"/>
              <w:rPr>
                <w:sz w:val="1"/>
                <w:szCs w:val="1"/>
                <w:color w:val="auto"/>
              </w:rPr>
            </w:pPr>
          </w:p>
        </w:tc>
      </w:tr>
      <w:tr>
        <w:trPr>
          <w:trHeight w:val="121"/>
        </w:trPr>
        <w:tc>
          <w:tcPr>
            <w:tcW w:w="28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See accompanying notes to consolidated financial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17145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w:t>
      </w:r>
    </w:p>
    <w:p>
      <w:pPr>
        <w:spacing w:after="0" w:line="19" w:lineRule="exact"/>
        <w:rPr>
          <w:sz w:val="20"/>
          <w:szCs w:val="20"/>
          <w:color w:val="auto"/>
        </w:rPr>
      </w:pPr>
    </w:p>
    <w:p>
      <w:pPr>
        <w:ind w:left="300" w:hanging="197"/>
        <w:spacing w:after="0"/>
        <w:tabs>
          <w:tab w:leader="none" w:pos="300" w:val="left"/>
        </w:tabs>
        <w:numPr>
          <w:ilvl w:val="0"/>
          <w:numId w:val="2"/>
        </w:numPr>
        <w:rPr>
          <w:rFonts w:ascii="Arial" w:cs="Arial" w:eastAsia="Arial" w:hAnsi="Arial"/>
          <w:sz w:val="14"/>
          <w:szCs w:val="14"/>
          <w:color w:val="FFFFFF"/>
          <w:highlight w:val="black"/>
        </w:rPr>
      </w:pPr>
      <w:r>
        <w:rPr>
          <w:rFonts w:ascii="Arial" w:cs="Arial" w:eastAsia="Arial" w:hAnsi="Arial"/>
          <w:sz w:val="14"/>
          <w:szCs w:val="14"/>
          <w:b w:val="1"/>
          <w:bCs w:val="1"/>
          <w:color w:val="auto"/>
        </w:rPr>
        <w:t>Block, Inc.</w:t>
      </w:r>
    </w:p>
    <w:p>
      <w:pPr>
        <w:sectPr>
          <w:pgSz w:w="11900" w:h="16838" w:orient="portrait"/>
          <w:cols w:equalWidth="0" w:num="1">
            <w:col w:w="11240"/>
          </w:cols>
          <w:pgMar w:left="320" w:top="249"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7280" w:type="dxa"/>
            <w:vAlign w:val="bottom"/>
            <w:tcBorders>
              <w:bottom w:val="single" w:sz="8" w:color="auto"/>
            </w:tcBorders>
            <w:gridSpan w:val="13"/>
          </w:tcPr>
          <w:p>
            <w:pPr>
              <w:ind w:left="40"/>
              <w:spacing w:after="0"/>
              <w:rPr>
                <w:sz w:val="20"/>
                <w:szCs w:val="20"/>
                <w:color w:val="auto"/>
              </w:rPr>
            </w:pPr>
            <w:r>
              <w:rPr>
                <w:rFonts w:ascii="Arial" w:cs="Arial" w:eastAsia="Arial" w:hAnsi="Arial"/>
                <w:sz w:val="22"/>
                <w:szCs w:val="22"/>
                <w:b w:val="1"/>
                <w:bCs w:val="1"/>
                <w:color w:val="auto"/>
              </w:rPr>
              <w:t>CONSOLIDATED STATEMENTS OF STOCKHOLDERS' EQUITY</w:t>
            </w: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7"/>
          </w:tcPr>
          <w:p>
            <w:pPr>
              <w:jc w:val="right"/>
              <w:ind w:right="28"/>
              <w:spacing w:after="0"/>
              <w:rPr>
                <w:sz w:val="20"/>
                <w:szCs w:val="20"/>
                <w:color w:val="auto"/>
              </w:rPr>
            </w:pPr>
            <w:r>
              <w:rPr>
                <w:rFonts w:ascii="Arial" w:cs="Arial" w:eastAsia="Arial" w:hAnsi="Arial"/>
                <w:sz w:val="13"/>
                <w:szCs w:val="13"/>
                <w:color w:val="auto"/>
              </w:rPr>
              <w:t>(amounts in 000s, except per share amounts)</w:t>
            </w:r>
          </w:p>
        </w:tc>
        <w:tc>
          <w:tcPr>
            <w:tcW w:w="0" w:type="dxa"/>
            <w:vAlign w:val="bottom"/>
          </w:tcPr>
          <w:p>
            <w:pPr>
              <w:spacing w:after="0"/>
              <w:rPr>
                <w:sz w:val="1"/>
                <w:szCs w:val="1"/>
                <w:color w:val="auto"/>
              </w:rPr>
            </w:pPr>
          </w:p>
        </w:tc>
      </w:tr>
      <w:tr>
        <w:trPr>
          <w:trHeight w:val="194"/>
        </w:trPr>
        <w:tc>
          <w:tcPr>
            <w:tcW w:w="2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vMerge w:val="restart"/>
          </w:tcPr>
          <w:p>
            <w:pPr>
              <w:ind w:left="46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Accumulated</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gridSpan w:val="5"/>
            <w:vMerge w:val="restart"/>
          </w:tcPr>
          <w:p>
            <w:pPr>
              <w:ind w:left="460"/>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4" w:lineRule="exact"/>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2"/>
                <w:szCs w:val="12"/>
                <w:color w:val="auto"/>
              </w:rPr>
            </w:pPr>
          </w:p>
        </w:tc>
        <w:tc>
          <w:tcPr>
            <w:tcW w:w="114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Other</w:t>
            </w:r>
          </w:p>
        </w:tc>
        <w:tc>
          <w:tcPr>
            <w:tcW w:w="140" w:type="dxa"/>
            <w:vAlign w:val="bottom"/>
          </w:tcPr>
          <w:p>
            <w:pPr>
              <w:spacing w:after="0"/>
              <w:rPr>
                <w:sz w:val="12"/>
                <w:szCs w:val="12"/>
                <w:color w:val="auto"/>
              </w:rPr>
            </w:pPr>
          </w:p>
        </w:tc>
        <w:tc>
          <w:tcPr>
            <w:tcW w:w="840" w:type="dxa"/>
            <w:vAlign w:val="bottom"/>
            <w:gridSpan w:val="2"/>
          </w:tcPr>
          <w:p>
            <w:pPr>
              <w:jc w:val="right"/>
              <w:ind w:right="220"/>
              <w:spacing w:after="0" w:line="144" w:lineRule="exact"/>
              <w:rPr>
                <w:sz w:val="20"/>
                <w:szCs w:val="20"/>
                <w:color w:val="auto"/>
              </w:rPr>
            </w:pPr>
            <w:r>
              <w:rPr>
                <w:rFonts w:ascii="Arial" w:cs="Arial" w:eastAsia="Arial" w:hAnsi="Arial"/>
                <w:sz w:val="14"/>
                <w:szCs w:val="14"/>
                <w:color w:val="auto"/>
              </w:rPr>
              <w:t>Retained</w:t>
            </w:r>
          </w:p>
        </w:tc>
        <w:tc>
          <w:tcPr>
            <w:tcW w:w="1980" w:type="dxa"/>
            <w:vAlign w:val="bottom"/>
            <w:gridSpan w:val="5"/>
            <w:vMerge w:val="continue"/>
          </w:tcPr>
          <w:p>
            <w:pPr>
              <w:spacing w:after="0"/>
              <w:rPr>
                <w:sz w:val="12"/>
                <w:szCs w:val="12"/>
                <w:color w:val="auto"/>
              </w:rPr>
            </w:pPr>
          </w:p>
        </w:tc>
        <w:tc>
          <w:tcPr>
            <w:tcW w:w="1000" w:type="dxa"/>
            <w:vAlign w:val="bottom"/>
            <w:gridSpan w:val="2"/>
          </w:tcPr>
          <w:p>
            <w:pPr>
              <w:ind w:left="20"/>
              <w:spacing w:after="0" w:line="144"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0"/>
        </w:trPr>
        <w:tc>
          <w:tcPr>
            <w:tcW w:w="2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Paid-in</w:t>
            </w:r>
          </w:p>
        </w:tc>
        <w:tc>
          <w:tcPr>
            <w:tcW w:w="1260" w:type="dxa"/>
            <w:vAlign w:val="bottom"/>
            <w:gridSpan w:val="3"/>
          </w:tcPr>
          <w:p>
            <w:pPr>
              <w:ind w:left="40"/>
              <w:spacing w:after="0"/>
              <w:rPr>
                <w:sz w:val="20"/>
                <w:szCs w:val="20"/>
                <w:color w:val="auto"/>
              </w:rPr>
            </w:pPr>
            <w:r>
              <w:rPr>
                <w:rFonts w:ascii="Arial" w:cs="Arial" w:eastAsia="Arial" w:hAnsi="Arial"/>
                <w:sz w:val="14"/>
                <w:szCs w:val="14"/>
                <w:color w:val="auto"/>
              </w:rPr>
              <w:t>Comprehensive</w:t>
            </w:r>
          </w:p>
        </w:tc>
        <w:tc>
          <w:tcPr>
            <w:tcW w:w="140" w:type="dxa"/>
            <w:vAlign w:val="bottom"/>
          </w:tcPr>
          <w:p>
            <w:pPr>
              <w:spacing w:after="0"/>
              <w:rPr>
                <w:sz w:val="13"/>
                <w:szCs w:val="1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Earnings</w:t>
            </w:r>
          </w:p>
        </w:tc>
        <w:tc>
          <w:tcPr>
            <w:tcW w:w="8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78"/>
        </w:trPr>
        <w:tc>
          <w:tcPr>
            <w:tcW w:w="29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Income (Loss)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(Deficit)</w:t>
            </w:r>
          </w:p>
        </w:tc>
        <w:tc>
          <w:tcPr>
            <w:tcW w:w="1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Shares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(Deficiency)</w:t>
            </w:r>
          </w:p>
        </w:tc>
        <w:tc>
          <w:tcPr>
            <w:tcW w:w="0" w:type="dxa"/>
            <w:vAlign w:val="bottom"/>
          </w:tcPr>
          <w:p>
            <w:pPr>
              <w:spacing w:after="0"/>
              <w:rPr>
                <w:sz w:val="1"/>
                <w:szCs w:val="1"/>
                <w:color w:val="auto"/>
              </w:rPr>
            </w:pPr>
          </w:p>
        </w:tc>
      </w:tr>
      <w:tr>
        <w:trPr>
          <w:trHeight w:val="25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May 1, 2018</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246,199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760,250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362,980</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(717,678)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393,711</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(152,670)</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(152,670)</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Cumulative effect of ASU 2016-16 </w:t>
            </w:r>
            <w:r>
              <w:rPr>
                <w:rFonts w:ascii="Arial" w:cs="Arial" w:eastAsia="Arial" w:hAnsi="Arial"/>
                <w:sz w:val="23"/>
                <w:szCs w:val="23"/>
                <w:color w:val="auto"/>
                <w:vertAlign w:val="superscript"/>
              </w:rPr>
              <w:t>(1)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100,950</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100,950</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(1,731)</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4,307</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(9,945)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(1,029)</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627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12,185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Acquisition of treasury shares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(4,560)</w:t>
            </w:r>
          </w:p>
        </w:tc>
        <w:tc>
          <w:tcPr>
            <w:tcW w:w="0" w:type="dxa"/>
            <w:vAlign w:val="bottom"/>
          </w:tcPr>
          <w:p>
            <w:pPr>
              <w:spacing w:after="0"/>
              <w:rPr>
                <w:sz w:val="1"/>
                <w:szCs w:val="1"/>
                <w:color w:val="auto"/>
              </w:rPr>
            </w:pPr>
          </w:p>
        </w:tc>
      </w:tr>
      <w:tr>
        <w:trPr>
          <w:trHeight w:val="19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Repurchase and retirement of common</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060" w:type="dxa"/>
            <w:vAlign w:val="bottom"/>
            <w:gridSpan w:val="2"/>
          </w:tcPr>
          <w:p>
            <w:pPr>
              <w:ind w:left="200"/>
              <w:spacing w:after="0"/>
              <w:rPr>
                <w:sz w:val="20"/>
                <w:szCs w:val="20"/>
                <w:color w:val="auto"/>
              </w:rPr>
            </w:pPr>
            <w:r>
              <w:rPr>
                <w:rFonts w:ascii="Arial" w:cs="Arial" w:eastAsia="Arial" w:hAnsi="Arial"/>
                <w:sz w:val="14"/>
                <w:szCs w:val="14"/>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color w:val="auto"/>
              </w:rPr>
              <w:t>(4,173)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(94,560)</w:t>
            </w:r>
          </w:p>
        </w:tc>
        <w:tc>
          <w:tcPr>
            <w:tcW w:w="120" w:type="dxa"/>
            <w:vAlign w:val="bottom"/>
          </w:tcPr>
          <w:p>
            <w:pPr>
              <w:spacing w:after="0"/>
              <w:rPr>
                <w:sz w:val="15"/>
                <w:szCs w:val="15"/>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(97,105)</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dividends declared - $0.25 per share</w:t>
            </w: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(52,104)</w:t>
            </w: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(52,104)</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Balances as of July 31, 2018</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242,026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2,420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752,109</w:t>
            </w:r>
          </w:p>
        </w:tc>
        <w:tc>
          <w:tcPr>
            <w:tcW w:w="100" w:type="dxa"/>
            <w:vAlign w:val="bottom"/>
          </w:tcPr>
          <w:p>
            <w:pPr>
              <w:spacing w:after="0"/>
              <w:rPr>
                <w:sz w:val="22"/>
                <w:szCs w:val="22"/>
                <w:color w:val="auto"/>
              </w:rPr>
            </w:pP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(16,034)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163,567</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(36,518)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(710,053)</w:t>
            </w:r>
          </w:p>
        </w:tc>
        <w:tc>
          <w:tcPr>
            <w:tcW w:w="10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192,009</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(176,276)</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(176,276)</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(2,846)</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7,352</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Acquisition of treasury shares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Cash dividends declared - $0.25 per share</w:t>
            </w: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(51,380)</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(51,380)</w:t>
            </w:r>
          </w:p>
        </w:tc>
        <w:tc>
          <w:tcPr>
            <w:tcW w:w="0" w:type="dxa"/>
            <w:vAlign w:val="bottom"/>
          </w:tcPr>
          <w:p>
            <w:pPr>
              <w:spacing w:after="0"/>
              <w:rPr>
                <w:sz w:val="1"/>
                <w:szCs w:val="1"/>
                <w:color w:val="auto"/>
              </w:rPr>
            </w:pPr>
          </w:p>
        </w:tc>
      </w:tr>
      <w:tr>
        <w:trPr>
          <w:trHeight w:val="27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October 31, 2018</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242,026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759,235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(64,291)</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(709,809)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(31,325)</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Net loss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(126,454)</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(126,454)</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6,067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6,067</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0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and retirement of common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(11,981)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(12,301)</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$0.25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(51,382)</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(51,382)</w:t>
            </w:r>
          </w:p>
        </w:tc>
        <w:tc>
          <w:tcPr>
            <w:tcW w:w="0" w:type="dxa"/>
            <w:vAlign w:val="bottom"/>
          </w:tcPr>
          <w:p>
            <w:pPr>
              <w:spacing w:after="0"/>
              <w:rPr>
                <w:sz w:val="1"/>
                <w:szCs w:val="1"/>
                <w:color w:val="auto"/>
              </w:rPr>
            </w:pPr>
          </w:p>
        </w:tc>
      </w:tr>
      <w:tr>
        <w:trPr>
          <w:trHeight w:val="256"/>
        </w:trPr>
        <w:tc>
          <w:tcPr>
            <w:tcW w:w="30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January 31, 2019</w:t>
            </w:r>
          </w:p>
        </w:tc>
        <w:tc>
          <w:tcPr>
            <w:tcW w:w="8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241,501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2,415</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764,982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(17,642)</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(254,277)</w:t>
            </w:r>
          </w:p>
        </w:tc>
        <w:tc>
          <w:tcPr>
            <w:tcW w:w="12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(36,460)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(709,069)</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(213,591)</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Net income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877,909</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877,909</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(2,774)</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5,784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5,784</w:t>
            </w:r>
          </w:p>
        </w:tc>
        <w:tc>
          <w:tcPr>
            <w:tcW w:w="0" w:type="dxa"/>
            <w:vAlign w:val="bottom"/>
          </w:tcPr>
          <w:p>
            <w:pPr>
              <w:spacing w:after="0"/>
              <w:rPr>
                <w:sz w:val="1"/>
                <w:szCs w:val="1"/>
                <w:color w:val="auto"/>
              </w:rPr>
            </w:pPr>
          </w:p>
        </w:tc>
      </w:tr>
      <w:tr>
        <w:trPr>
          <w:trHeight w:val="276"/>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awards exercised or vested</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Acquisition of treasury shares</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00"/>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Repurchase and retirement of common</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shares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(75,432)</w:t>
            </w:r>
          </w:p>
        </w:tc>
        <w:tc>
          <w:tcPr>
            <w:tcW w:w="0" w:type="dxa"/>
            <w:vAlign w:val="bottom"/>
          </w:tcPr>
          <w:p>
            <w:pPr>
              <w:spacing w:after="0"/>
              <w:rPr>
                <w:sz w:val="1"/>
                <w:szCs w:val="1"/>
                <w:color w:val="auto"/>
              </w:rPr>
            </w:pPr>
          </w:p>
        </w:tc>
      </w:tr>
      <w:tr>
        <w:trPr>
          <w:trHeight w:val="264"/>
        </w:trPr>
        <w:tc>
          <w:tcPr>
            <w:tcW w:w="3060" w:type="dxa"/>
            <w:vAlign w:val="bottom"/>
            <w:gridSpan w:val="2"/>
          </w:tcPr>
          <w:p>
            <w:pPr>
              <w:ind w:left="40"/>
              <w:spacing w:after="0"/>
              <w:rPr>
                <w:sz w:val="20"/>
                <w:szCs w:val="20"/>
                <w:color w:val="auto"/>
              </w:rPr>
            </w:pPr>
            <w:r>
              <w:rPr>
                <w:rFonts w:ascii="Arial" w:cs="Arial" w:eastAsia="Arial" w:hAnsi="Arial"/>
                <w:sz w:val="14"/>
                <w:szCs w:val="14"/>
                <w:color w:val="auto"/>
              </w:rPr>
              <w:t>Cash dividends declared - $0.25 per share</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(50,595)</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(50,595)</w:t>
            </w:r>
          </w:p>
        </w:tc>
        <w:tc>
          <w:tcPr>
            <w:tcW w:w="0" w:type="dxa"/>
            <w:vAlign w:val="bottom"/>
          </w:tcPr>
          <w:p>
            <w:pPr>
              <w:spacing w:after="0"/>
              <w:rPr>
                <w:sz w:val="1"/>
                <w:szCs w:val="1"/>
                <w:color w:val="auto"/>
              </w:rPr>
            </w:pPr>
          </w:p>
        </w:tc>
      </w:tr>
      <w:tr>
        <w:trPr>
          <w:trHeight w:val="250"/>
        </w:trPr>
        <w:tc>
          <w:tcPr>
            <w:tcW w:w="30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Balances as of April 30, 2019</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238,337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2,383</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767,636</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(20,416)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499,386</w:t>
            </w:r>
          </w:p>
        </w:tc>
        <w:tc>
          <w:tcPr>
            <w:tcW w:w="120" w:type="dxa"/>
            <w:vAlign w:val="bottom"/>
            <w:tcBorders>
              <w:top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(36,377)</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(707,462)</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541,527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9" w:lineRule="exact"/>
        <w:rPr>
          <w:sz w:val="20"/>
          <w:szCs w:val="20"/>
          <w:color w:val="auto"/>
        </w:rPr>
      </w:pPr>
    </w:p>
    <w:p>
      <w:pPr>
        <w:ind w:left="180" w:right="20" w:hanging="172"/>
        <w:spacing w:after="0" w:line="242" w:lineRule="auto"/>
        <w:tabs>
          <w:tab w:leader="none" w:pos="180" w:val="left"/>
        </w:tabs>
        <w:numPr>
          <w:ilvl w:val="0"/>
          <w:numId w:val="3"/>
        </w:numPr>
        <w:rPr>
          <w:rFonts w:ascii="Arial" w:cs="Arial" w:eastAsia="Arial" w:hAnsi="Arial"/>
          <w:sz w:val="10"/>
          <w:szCs w:val="10"/>
          <w:color w:val="auto"/>
        </w:rPr>
      </w:pPr>
      <w:r>
        <w:rPr>
          <w:rFonts w:ascii="Arial" w:cs="Arial" w:eastAsia="Arial" w:hAnsi="Arial"/>
          <w:sz w:val="13"/>
          <w:szCs w:val="13"/>
          <w:color w:val="auto"/>
        </w:rPr>
        <w:t>ASU 2016-16 was effective on May 1, 2018 and we adopted using the modified retrospective transition method. We recognized a $101.0 million cumulative effect adjustment to increase the opening balance of retained earnings and increase deferred tax assets resulting from intra-entity transfers of intellectual property in fiscal year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6974205</wp:posOffset>
            </wp:positionH>
            <wp:positionV relativeFrom="paragraph">
              <wp:posOffset>292735</wp:posOffset>
            </wp:positionV>
            <wp:extent cx="163195"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195" cy="240030"/>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w:t>
      </w:r>
    </w:p>
    <w:p>
      <w:pPr>
        <w:spacing w:after="0" w:line="19" w:lineRule="exact"/>
        <w:rPr>
          <w:sz w:val="20"/>
          <w:szCs w:val="20"/>
          <w:color w:val="auto"/>
        </w:rPr>
      </w:pPr>
    </w:p>
    <w:p>
      <w:pPr>
        <w:ind w:left="10260"/>
        <w:spacing w:after="0"/>
        <w:tabs>
          <w:tab w:leader="none" w:pos="11060" w:val="left"/>
        </w:tabs>
        <w:rPr>
          <w:sz w:val="20"/>
          <w:szCs w:val="20"/>
          <w:color w:val="auto"/>
        </w:rPr>
      </w:pPr>
      <w:r>
        <w:rPr>
          <w:rFonts w:ascii="Arial" w:cs="Arial" w:eastAsia="Arial" w:hAnsi="Arial"/>
          <w:sz w:val="14"/>
          <w:szCs w:val="14"/>
          <w:color w:val="auto"/>
        </w:rPr>
        <w:t>Form 10-Q</w:t>
      </w:r>
      <w:r>
        <w:rPr>
          <w:rFonts w:ascii="Arial" w:cs="Arial" w:eastAsia="Arial" w:hAnsi="Arial"/>
          <w:sz w:val="14"/>
          <w:szCs w:val="14"/>
          <w:color w:val="FFFFFF"/>
          <w:highlight w:val="black"/>
        </w:rPr>
        <w:tab/>
        <w:t>5</w:t>
      </w:r>
    </w:p>
    <w:p>
      <w:pPr>
        <w:sectPr>
          <w:pgSz w:w="11900" w:h="16838" w:orient="portrait"/>
          <w:cols w:equalWidth="0" w:num="1">
            <w:col w:w="11240"/>
          </w:cols>
          <w:pgMar w:left="320" w:top="249" w:right="3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8" w:lineRule="exact"/>
        <w:rPr>
          <w:sz w:val="20"/>
          <w:szCs w:val="20"/>
          <w:color w:val="auto"/>
        </w:rPr>
      </w:pPr>
    </w:p>
    <w:p>
      <w:pPr>
        <w:spacing w:after="0"/>
        <w:tabs>
          <w:tab w:leader="none" w:pos="6660" w:val="left"/>
        </w:tabs>
        <w:rPr>
          <w:sz w:val="20"/>
          <w:szCs w:val="20"/>
          <w:color w:val="auto"/>
        </w:rPr>
      </w:pPr>
      <w:r>
        <w:rPr>
          <w:rFonts w:ascii="Arial" w:cs="Arial" w:eastAsia="Arial" w:hAnsi="Arial"/>
          <w:sz w:val="22"/>
          <w:szCs w:val="22"/>
          <w:b w:val="1"/>
          <w:bCs w:val="1"/>
          <w:color w:val="auto"/>
        </w:rPr>
        <w:t>NOTES TO CONSOLIDATED FINANCIAL STATEMENTS</w:t>
      </w:r>
      <w:r>
        <w:rPr>
          <w:sz w:val="20"/>
          <w:szCs w:val="20"/>
          <w:color w:val="auto"/>
        </w:rPr>
        <w:tab/>
      </w:r>
      <w:r>
        <w:rPr>
          <w:rFonts w:ascii="Arial" w:cs="Arial" w:eastAsia="Arial" w:hAnsi="Arial"/>
          <w:sz w:val="21"/>
          <w:szCs w:val="21"/>
          <w:color w:val="auto"/>
        </w:rPr>
        <w:t>(unaudited)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The consolidated balance sheets as of January 31, 2020 and 2019, the consolidated statements of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and comprehensive loss for the three and nine months ended January 31, 2020 and 2019, the consolidated statements of cash flows for the nine months ended January 31, 2020 and 2019, and the consolidated statements of stockholders' equity for the three and nine months ended January 31, 2020 and the quarterly periods within the fiscal year ended April 30, 2019 have been prepared by the Company, without audit. In the opinion of management, all adjustments, which include only normal recurring adjustments, necessary to present fairly the financial position, results of operations, and cash flows as of January 31, 2020 and 2019 and for all periods presented, have been made.</w:t>
      </w:r>
    </w:p>
    <w:p>
      <w:pPr>
        <w:spacing w:after="0" w:line="96"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"H&amp;R Block," "the Company," "we," "our," and "us" are used interchangeably to refer to H&amp;R Block, Inc. or to H&amp;R Block, Inc. and its subsidiaries, as appropriate to the context.</w:t>
      </w:r>
    </w:p>
    <w:p>
      <w:pPr>
        <w:spacing w:after="0" w:line="9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April 30, 2019 Annual Report to Shareholders on Form 10-K. All amounts presented herein as of April 30, 2019 or for the year then ended are derived from our Annual Report on Form 10-K.</w:t>
      </w:r>
    </w:p>
    <w:p>
      <w:pPr>
        <w:spacing w:after="0" w:line="74" w:lineRule="exact"/>
        <w:rPr>
          <w:sz w:val="20"/>
          <w:szCs w:val="20"/>
          <w:color w:val="auto"/>
        </w:rPr>
      </w:pPr>
    </w:p>
    <w:p>
      <w:pPr>
        <w:jc w:val="both"/>
        <w:ind w:firstLine="216"/>
        <w:spacing w:after="0" w:line="257" w:lineRule="auto"/>
        <w:rPr>
          <w:sz w:val="20"/>
          <w:szCs w:val="20"/>
          <w:color w:val="auto"/>
        </w:rPr>
      </w:pPr>
      <w:r>
        <w:rPr>
          <w:rFonts w:ascii="Arial" w:cs="Arial" w:eastAsia="Arial" w:hAnsi="Arial"/>
          <w:sz w:val="18"/>
          <w:szCs w:val="18"/>
          <w:b w:val="1"/>
          <w:bCs w:val="1"/>
          <w:color w:val="auto"/>
        </w:rPr>
        <w:t xml:space="preserve">MANAGEMENT ESTIMATES </w:t>
      </w:r>
      <w:r>
        <w:rPr>
          <w:rFonts w:ascii="Arial" w:cs="Arial" w:eastAsia="Arial" w:hAnsi="Arial"/>
          <w:sz w:val="18"/>
          <w:szCs w:val="18"/>
          <w:color w:val="auto"/>
        </w:rPr>
        <w:t>– The preparation of financial statements in conformity with GAAP requires management to make estimates</w:t>
      </w:r>
      <w:r>
        <w:rPr>
          <w:rFonts w:ascii="Arial" w:cs="Arial" w:eastAsia="Arial" w:hAnsi="Arial"/>
          <w:sz w:val="18"/>
          <w:szCs w:val="18"/>
          <w:b w:val="1"/>
          <w:bCs w:val="1"/>
          <w:color w:val="auto"/>
        </w:rPr>
        <w:t xml:space="preserve"> </w:t>
      </w:r>
      <w:r>
        <w:rPr>
          <w:rFonts w:ascii="Arial" w:cs="Arial" w:eastAsia="Arial" w:hAnsi="Arial"/>
          <w:sz w:val="18"/>
          <w:szCs w:val="18"/>
          <w:color w:val="auto"/>
        </w:rPr>
        <w:t>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and related matters. Estimates have been prepared based on the best information available as of each balance sheet date. As such, actual results could differ materially from those estimates.</w:t>
      </w:r>
    </w:p>
    <w:p>
      <w:pPr>
        <w:spacing w:after="0" w:line="74"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SEASONALITY OF BUSINESS </w:t>
      </w:r>
      <w:r>
        <w:rPr>
          <w:rFonts w:ascii="Arial" w:cs="Arial" w:eastAsia="Arial" w:hAnsi="Arial"/>
          <w:sz w:val="18"/>
          <w:szCs w:val="18"/>
          <w:color w:val="auto"/>
        </w:rPr>
        <w:t>– Our operating revenues are seasonal in nature with peak revenues typically occurring in the months of</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through April. Therefore, results for interim periods are not indicative of results to be expected for the full year.</w:t>
      </w:r>
    </w:p>
    <w:p>
      <w:pPr>
        <w:spacing w:after="0" w:line="45" w:lineRule="exact"/>
        <w:rPr>
          <w:sz w:val="20"/>
          <w:szCs w:val="20"/>
          <w:color w:val="auto"/>
        </w:rPr>
      </w:pPr>
    </w:p>
    <w:p>
      <w:pPr>
        <w:jc w:val="both"/>
        <w:ind w:firstLine="216"/>
        <w:spacing w:after="0" w:line="268"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 Our discontinued operations include the results of operations of Sand Canyon Corporation, previously</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Option One Mortgage Corporation (including its subsidiaries, collectively, SCC), which exited its mortgage business in fiscal year 2008. See notes 9 and 11 for additional information on litigation, claims, and other loss contingencies related to our discontinued operations.</w:t>
      </w:r>
    </w:p>
    <w:p>
      <w:pPr>
        <w:spacing w:after="0" w:line="6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WAVE ACQUISITION </w:t>
      </w:r>
      <w:r>
        <w:rPr>
          <w:rFonts w:ascii="Arial" w:cs="Arial" w:eastAsia="Arial" w:hAnsi="Arial"/>
          <w:sz w:val="18"/>
          <w:szCs w:val="18"/>
          <w:color w:val="auto"/>
        </w:rPr>
        <w:t>– On June 28, 2019, we acquired Wave HQ Inc. (formerly known as Wave Financial Inc.) and its subsidiaries</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(collectively, Wave) and during the quarter ended October 31, 2019 we finalized the post-closing working capital adjustment and made an additional payment of $1.4 million, resulting in a total payment of $408.4 million. The acquisition was funded with available cash. Wave is a provider of software solutions and related services specifically designed to help small business owners manage their finances. Major revenue sources include fees earned by providing payment processing, payroll services, and bookkeeping services. We believe the acquisition of Wave enhances our position in the small business market.</w:t>
      </w:r>
    </w:p>
    <w:p>
      <w:pPr>
        <w:spacing w:after="0" w:line="9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Included in the transaction price is $8.2 million which will be treated as compensation expense over the next two years as certain key employees are required to remain employees to receive payment. Additionally, key employees are participating in a management incentive program consisting of cash performance incentives and stock-based compensation which will be earned over the next three years and is not considered part of the purchase price.</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As of January 31, 2020 we have completed the purchase price allocation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3114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0" w:hanging="250"/>
        <w:spacing w:after="0"/>
        <w:tabs>
          <w:tab w:leader="none" w:pos="400" w:val="left"/>
        </w:tabs>
        <w:numPr>
          <w:ilvl w:val="0"/>
          <w:numId w:val="4"/>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assets acquired, net of liabilities assumed on the acquisition date, and the identified intangible assets and goodwill,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20" w:type="dxa"/>
            <w:vAlign w:val="bottom"/>
            <w:tcBorders>
              <w:bottom w:val="single" w:sz="8" w:color="auto"/>
            </w:tcBorders>
          </w:tcPr>
          <w:p>
            <w:pPr>
              <w:ind w:left="2320"/>
              <w:spacing w:after="0"/>
              <w:rPr>
                <w:sz w:val="20"/>
                <w:szCs w:val="20"/>
                <w:color w:val="auto"/>
              </w:rPr>
            </w:pPr>
            <w:r>
              <w:rPr>
                <w:rFonts w:ascii="Arial" w:cs="Arial" w:eastAsia="Arial" w:hAnsi="Arial"/>
                <w:sz w:val="14"/>
                <w:szCs w:val="14"/>
                <w:color w:val="auto"/>
              </w:rPr>
              <w:t>($ in 000s)</w:t>
            </w:r>
          </w:p>
        </w:tc>
      </w:tr>
      <w:tr>
        <w:trPr>
          <w:trHeight w:val="263"/>
        </w:trPr>
        <w:tc>
          <w:tcPr>
            <w:tcW w:w="54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Amount Acquired</w:t>
            </w:r>
          </w:p>
        </w:tc>
        <w:tc>
          <w:tcPr>
            <w:tcW w:w="120" w:type="dxa"/>
            <w:vAlign w:val="bottom"/>
            <w:tcBorders>
              <w:bottom w:val="single" w:sz="8" w:color="CCEEFF"/>
            </w:tcBorders>
          </w:tcPr>
          <w:p>
            <w:pPr>
              <w:spacing w:after="0"/>
              <w:rPr>
                <w:sz w:val="22"/>
                <w:szCs w:val="22"/>
                <w:color w:val="auto"/>
              </w:rPr>
            </w:pPr>
          </w:p>
        </w:tc>
        <w:tc>
          <w:tcPr>
            <w:tcW w:w="3020" w:type="dxa"/>
            <w:vAlign w:val="bottom"/>
            <w:tcBorders>
              <w:bottom w:val="single" w:sz="8" w:color="auto"/>
            </w:tcBorders>
          </w:tcPr>
          <w:p>
            <w:pPr>
              <w:ind w:left="320"/>
              <w:spacing w:after="0"/>
              <w:rPr>
                <w:sz w:val="20"/>
                <w:szCs w:val="20"/>
                <w:color w:val="auto"/>
              </w:rPr>
            </w:pPr>
            <w:r>
              <w:rPr>
                <w:rFonts w:ascii="Arial" w:cs="Arial" w:eastAsia="Arial" w:hAnsi="Arial"/>
                <w:sz w:val="16"/>
                <w:szCs w:val="16"/>
                <w:color w:val="auto"/>
              </w:rPr>
              <w:t>Weighted-Average Life (in years)</w:t>
            </w:r>
          </w:p>
        </w:tc>
      </w:tr>
      <w:tr>
        <w:trPr>
          <w:trHeight w:val="27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Assets acquired and liabilities assumed, net</w:t>
            </w: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3,928</w:t>
            </w:r>
          </w:p>
        </w:tc>
        <w:tc>
          <w:tcPr>
            <w:tcW w:w="120" w:type="dxa"/>
            <w:vAlign w:val="bottom"/>
            <w:shd w:val="clear" w:color="auto" w:fill="CCEEFF"/>
          </w:tcPr>
          <w:p>
            <w:pPr>
              <w:spacing w:after="0"/>
              <w:rPr>
                <w:sz w:val="23"/>
                <w:szCs w:val="23"/>
                <w:color w:val="auto"/>
              </w:rPr>
            </w:pPr>
          </w:p>
        </w:tc>
        <w:tc>
          <w:tcPr>
            <w:tcW w:w="3020" w:type="dxa"/>
            <w:vAlign w:val="bottom"/>
            <w:shd w:val="clear" w:color="auto" w:fill="CCEEFF"/>
          </w:tcPr>
          <w:p>
            <w:pPr>
              <w:spacing w:after="0"/>
              <w:rPr>
                <w:sz w:val="23"/>
                <w:szCs w:val="23"/>
                <w:color w:val="auto"/>
              </w:rPr>
            </w:pPr>
          </w:p>
        </w:tc>
      </w:tr>
      <w:tr>
        <w:trPr>
          <w:trHeight w:val="260"/>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Deferred tax liability</w:t>
            </w:r>
          </w:p>
        </w:tc>
        <w:tc>
          <w:tcPr>
            <w:tcW w:w="6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Arial" w:cs="Arial" w:eastAsia="Arial" w:hAnsi="Arial"/>
                <w:sz w:val="16"/>
                <w:szCs w:val="16"/>
                <w:b w:val="1"/>
                <w:bCs w:val="1"/>
                <w:color w:val="auto"/>
              </w:rPr>
              <w:t>(8,126)</w:t>
            </w:r>
          </w:p>
        </w:tc>
        <w:tc>
          <w:tcPr>
            <w:tcW w:w="120" w:type="dxa"/>
            <w:vAlign w:val="bottom"/>
          </w:tcPr>
          <w:p>
            <w:pPr>
              <w:spacing w:after="0"/>
              <w:rPr>
                <w:sz w:val="22"/>
                <w:szCs w:val="22"/>
                <w:color w:val="auto"/>
              </w:rPr>
            </w:pPr>
          </w:p>
        </w:tc>
        <w:tc>
          <w:tcPr>
            <w:tcW w:w="3020" w:type="dxa"/>
            <w:vAlign w:val="bottom"/>
          </w:tcPr>
          <w:p>
            <w:pPr>
              <w:spacing w:after="0"/>
              <w:rPr>
                <w:sz w:val="22"/>
                <w:szCs w:val="22"/>
                <w:color w:val="auto"/>
              </w:rPr>
            </w:pPr>
          </w:p>
        </w:tc>
      </w:tr>
      <w:tr>
        <w:trPr>
          <w:trHeight w:val="28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Purchased technology</w:t>
            </w:r>
          </w:p>
        </w:tc>
        <w:tc>
          <w:tcPr>
            <w:tcW w:w="68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68,000</w:t>
            </w:r>
          </w:p>
        </w:tc>
        <w:tc>
          <w:tcPr>
            <w:tcW w:w="31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10</w:t>
            </w:r>
          </w:p>
        </w:tc>
      </w:tr>
      <w:tr>
        <w:trPr>
          <w:trHeight w:val="260"/>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Customer relationships</w:t>
            </w:r>
          </w:p>
        </w:tc>
        <w:tc>
          <w:tcPr>
            <w:tcW w:w="680" w:type="dxa"/>
            <w:vAlign w:val="bottom"/>
          </w:tcPr>
          <w:p>
            <w:pPr>
              <w:spacing w:after="0"/>
              <w:rPr>
                <w:sz w:val="22"/>
                <w:szCs w:val="22"/>
                <w:color w:val="auto"/>
              </w:rPr>
            </w:pPr>
          </w:p>
        </w:tc>
        <w:tc>
          <w:tcPr>
            <w:tcW w:w="1900" w:type="dxa"/>
            <w:vAlign w:val="bottom"/>
          </w:tcPr>
          <w:p>
            <w:pPr>
              <w:jc w:val="right"/>
              <w:ind w:right="19"/>
              <w:spacing w:after="0"/>
              <w:rPr>
                <w:sz w:val="20"/>
                <w:szCs w:val="20"/>
                <w:color w:val="auto"/>
              </w:rPr>
            </w:pPr>
            <w:r>
              <w:rPr>
                <w:rFonts w:ascii="Arial" w:cs="Arial" w:eastAsia="Arial" w:hAnsi="Arial"/>
                <w:sz w:val="16"/>
                <w:szCs w:val="16"/>
                <w:b w:val="1"/>
                <w:bCs w:val="1"/>
                <w:color w:val="auto"/>
              </w:rPr>
              <w:t>23,000</w:t>
            </w:r>
          </w:p>
        </w:tc>
        <w:tc>
          <w:tcPr>
            <w:tcW w:w="314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rPr>
              <w:t>5</w:t>
            </w:r>
          </w:p>
        </w:tc>
      </w:tr>
      <w:tr>
        <w:trPr>
          <w:trHeight w:val="280"/>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68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7,070</w:t>
            </w:r>
          </w:p>
        </w:tc>
        <w:tc>
          <w:tcPr>
            <w:tcW w:w="31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b w:val="1"/>
                <w:bCs w:val="1"/>
                <w:color w:val="auto"/>
              </w:rPr>
              <w:t>5</w:t>
            </w:r>
          </w:p>
        </w:tc>
      </w:tr>
      <w:tr>
        <w:trPr>
          <w:trHeight w:val="263"/>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Trade name</w:t>
            </w:r>
          </w:p>
        </w:tc>
        <w:tc>
          <w:tcPr>
            <w:tcW w:w="6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5,800</w:t>
            </w:r>
          </w:p>
        </w:tc>
        <w:tc>
          <w:tcPr>
            <w:tcW w:w="3140" w:type="dxa"/>
            <w:vAlign w:val="bottom"/>
            <w:tcBorders>
              <w:bottom w:val="single" w:sz="8" w:color="CCEEFF"/>
            </w:tcBorders>
            <w:gridSpan w:val="2"/>
          </w:tcPr>
          <w:p>
            <w:pPr>
              <w:jc w:val="center"/>
              <w:ind w:left="39"/>
              <w:spacing w:after="0"/>
              <w:rPr>
                <w:sz w:val="20"/>
                <w:szCs w:val="20"/>
                <w:color w:val="auto"/>
              </w:rPr>
            </w:pPr>
            <w:r>
              <w:rPr>
                <w:rFonts w:ascii="Arial" w:cs="Arial" w:eastAsia="Arial" w:hAnsi="Arial"/>
                <w:sz w:val="16"/>
                <w:szCs w:val="16"/>
                <w:b w:val="1"/>
                <w:bCs w:val="1"/>
                <w:color w:val="auto"/>
              </w:rPr>
              <w:t>10</w:t>
            </w:r>
          </w:p>
        </w:tc>
      </w:tr>
      <w:tr>
        <w:trPr>
          <w:trHeight w:val="257"/>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identifiable net assets</w:t>
            </w:r>
          </w:p>
        </w:tc>
        <w:tc>
          <w:tcPr>
            <w:tcW w:w="680" w:type="dxa"/>
            <w:vAlign w:val="bottom"/>
            <w:shd w:val="clear" w:color="auto" w:fill="CCEEFF"/>
          </w:tcPr>
          <w:p>
            <w:pPr>
              <w:spacing w:after="0"/>
              <w:rPr>
                <w:sz w:val="22"/>
                <w:szCs w:val="22"/>
                <w:color w:val="auto"/>
              </w:rPr>
            </w:pPr>
          </w:p>
        </w:tc>
        <w:tc>
          <w:tcPr>
            <w:tcW w:w="19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99,672</w:t>
            </w:r>
          </w:p>
        </w:tc>
        <w:tc>
          <w:tcPr>
            <w:tcW w:w="120" w:type="dxa"/>
            <w:vAlign w:val="bottom"/>
            <w:shd w:val="clear" w:color="auto" w:fill="CCEEFF"/>
          </w:tcPr>
          <w:p>
            <w:pPr>
              <w:spacing w:after="0"/>
              <w:rPr>
                <w:sz w:val="22"/>
                <w:szCs w:val="22"/>
                <w:color w:val="auto"/>
              </w:rPr>
            </w:pPr>
          </w:p>
        </w:tc>
        <w:tc>
          <w:tcPr>
            <w:tcW w:w="3020" w:type="dxa"/>
            <w:vAlign w:val="bottom"/>
            <w:shd w:val="clear" w:color="auto" w:fill="CCEEFF"/>
          </w:tcPr>
          <w:p>
            <w:pPr>
              <w:spacing w:after="0"/>
              <w:rPr>
                <w:sz w:val="22"/>
                <w:szCs w:val="22"/>
                <w:color w:val="auto"/>
              </w:rPr>
            </w:pPr>
          </w:p>
        </w:tc>
      </w:tr>
      <w:tr>
        <w:trPr>
          <w:trHeight w:val="263"/>
        </w:trPr>
        <w:tc>
          <w:tcPr>
            <w:tcW w:w="55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Goodwill</w:t>
            </w:r>
          </w:p>
        </w:tc>
        <w:tc>
          <w:tcPr>
            <w:tcW w:w="68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300,560</w:t>
            </w:r>
          </w:p>
        </w:tc>
        <w:tc>
          <w:tcPr>
            <w:tcW w:w="120" w:type="dxa"/>
            <w:vAlign w:val="bottom"/>
            <w:tcBorders>
              <w:bottom w:val="single" w:sz="8" w:color="CCEEFF"/>
            </w:tcBorders>
          </w:tcPr>
          <w:p>
            <w:pPr>
              <w:spacing w:after="0"/>
              <w:rPr>
                <w:sz w:val="22"/>
                <w:szCs w:val="22"/>
                <w:color w:val="auto"/>
              </w:rPr>
            </w:pPr>
          </w:p>
        </w:tc>
        <w:tc>
          <w:tcPr>
            <w:tcW w:w="3020" w:type="dxa"/>
            <w:vAlign w:val="bottom"/>
            <w:tcBorders>
              <w:bottom w:val="single" w:sz="8" w:color="CCEEFF"/>
            </w:tcBorders>
          </w:tcPr>
          <w:p>
            <w:pPr>
              <w:spacing w:after="0"/>
              <w:rPr>
                <w:sz w:val="22"/>
                <w:szCs w:val="22"/>
                <w:color w:val="auto"/>
              </w:rPr>
            </w:pPr>
          </w:p>
        </w:tc>
      </w:tr>
      <w:tr>
        <w:trPr>
          <w:trHeight w:val="250"/>
        </w:trPr>
        <w:tc>
          <w:tcPr>
            <w:tcW w:w="55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Total identifiable assets and goodwill</w:t>
            </w:r>
          </w:p>
        </w:tc>
        <w:tc>
          <w:tcPr>
            <w:tcW w:w="68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w:t>
            </w:r>
          </w:p>
        </w:tc>
        <w:tc>
          <w:tcPr>
            <w:tcW w:w="1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400,232</w:t>
            </w:r>
          </w:p>
        </w:tc>
        <w:tc>
          <w:tcPr>
            <w:tcW w:w="1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r>
      <w:tr>
        <w:trPr>
          <w:trHeight w:val="122"/>
        </w:trPr>
        <w:tc>
          <w:tcPr>
            <w:tcW w:w="5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acquired identifiable assets and goodwill are only tax deductible for Global Intangible Low-Taxed Income (GILTI) purposes.</w:t>
      </w:r>
    </w:p>
    <w:p>
      <w:pPr>
        <w:spacing w:after="0" w:line="117"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Revenues of $25.7 million and pretax losses of $36.3 million were recognized by Wave from the period of June 28, 2019 through January 31, 2020, which are included in our consolidated statement of operations for the nine months ended January 31, 2020. Had we acquired Wave as of May 1, 2018, we would have reported, on a pro-forma basis, consolidated revenues of $836.9 million and $784.9 million for the nine months ended January 31, 2020 and 2019, respectively, and consolidated pretax losses from continuing operations of $655.5 million and $623.9 million, respectively. Pro-forma adjustments primarily include amortization of intangible assets and certain compensation expenses.</w:t>
      </w:r>
    </w:p>
    <w:p>
      <w:pPr>
        <w:spacing w:after="0" w:line="7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NEW ACCOUNTING PRONOUNCEMENTS </w:t>
      </w:r>
      <w:r>
        <w:rPr>
          <w:rFonts w:ascii="Arial" w:cs="Arial" w:eastAsia="Arial" w:hAnsi="Arial"/>
          <w:sz w:val="18"/>
          <w:szCs w:val="18"/>
          <w:color w:val="auto"/>
        </w:rPr>
        <w: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color w:val="auto"/>
        </w:rPr>
        <w:t xml:space="preserve">Leases. </w:t>
      </w:r>
      <w:r>
        <w:rPr>
          <w:rFonts w:ascii="Arial" w:cs="Arial" w:eastAsia="Arial" w:hAnsi="Arial"/>
          <w:sz w:val="18"/>
          <w:szCs w:val="18"/>
          <w:color w:val="auto"/>
        </w:rPr>
        <w:t>In February 2016, the FASB issued Accounting Standards Update No. 2016-02, “Leases” (ASU 2016-02), which requires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recognition of lease assets and lease liabilities on the balance sheet by lessees for leases previously classified as operating leases. We adopted this guidance and related amendments as of May 1, 2019 using the alternative transition method, which allows companies the option of using the effective date of the new standard as the initial application date (at the beginning of the period in which it adopted, rather than at the beginning of the earliest comparative period).</w:t>
      </w:r>
    </w:p>
    <w:p>
      <w:pPr>
        <w:spacing w:after="0" w:line="9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8"/>
          <w:szCs w:val="18"/>
          <w:color w:val="auto"/>
        </w:rPr>
        <w:t>We have recognized operating lease right-of-use (ROU) assets and operating lease liabilities on our balance sheet as part of adopting the standard and pre-existing liabilities for deferred rent, and various lease incentives were reclassified as a component of the lease assets. We elected the package of practical expedients which allows us to not reassess historical lease classification, initial direct costs or contracts related to leases. For leases with an initial term of twelve months or less we have elected to only recognize retail office leases on our balance sheet. We elected the practical expedient to account for lease and non-lease components (such as common area maintenance, utilities, insurance and taxes) as a single lease component for all classes of underlying assets. We also elected the practical expedient to not reassess whether land easement contracts meet the definition of a lease. We did not elect the practical expedient of hindsight when determining the lease term of existing contracts at the effective date.</w:t>
      </w:r>
    </w:p>
    <w:p>
      <w:pPr>
        <w:spacing w:after="0" w:line="9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adoption of the new standard did not materially affect our consolidated statement of operations or cash flows. See note 10, Leases, for additional information.</w:t>
      </w:r>
    </w:p>
    <w:p>
      <w:pPr>
        <w:spacing w:after="0" w:line="6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b w:val="1"/>
          <w:bCs w:val="1"/>
          <w:color w:val="auto"/>
        </w:rPr>
        <w:t xml:space="preserve">Current Expected Credit Losses. </w:t>
      </w:r>
      <w:r>
        <w:rPr>
          <w:rFonts w:ascii="Arial" w:cs="Arial" w:eastAsia="Arial" w:hAnsi="Arial"/>
          <w:sz w:val="18"/>
          <w:szCs w:val="18"/>
          <w:color w:val="auto"/>
        </w:rPr>
        <w:t>In June 2016, the FASB issued Accounting Standards Update No. 2016-13 (ASU 2016-13),</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of Credit Losses on Financial Instruments," which replaces the existing incurred credit loss model for an expected credit loss model. This guidance will be effective for us on May 1, 2020, with early adoption permitted. We are currently evaluating the impact of ASU 2016-13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897890</wp:posOffset>
            </wp:positionV>
            <wp:extent cx="2228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sz w:val="20"/>
          <w:szCs w:val="20"/>
          <w:color w:val="auto"/>
        </w:rPr>
        <w:tab/>
      </w:r>
      <w:r>
        <w:rPr>
          <w:rFonts w:ascii="Arial" w:cs="Arial" w:eastAsia="Arial" w:hAnsi="Arial"/>
          <w:sz w:val="14"/>
          <w:szCs w:val="14"/>
          <w:color w:val="FFFFFF"/>
          <w:highlight w:val="black"/>
        </w:rPr>
        <w:t>7</w:t>
      </w:r>
    </w:p>
    <w:p>
      <w:pPr>
        <w:sectPr>
          <w:pgSz w:w="11900" w:h="16838" w:orient="portrait"/>
          <w:cols w:equalWidth="0" w:num="1">
            <w:col w:w="11240"/>
          </w:cols>
          <w:pgMar w:left="320" w:top="249" w:right="3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1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majority of our revenues are from our U.S. Tax Services business. The following table disaggregates our U.S. Tax Services revenues by major service line, with revenues from our international Tax Services businesses and from Wave included as separate lines: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80" w:type="dxa"/>
            <w:vAlign w:val="bottom"/>
            <w:gridSpan w:val="5"/>
          </w:tcPr>
          <w:p>
            <w:pPr>
              <w:ind w:left="160"/>
              <w:spacing w:after="0"/>
              <w:rPr>
                <w:sz w:val="20"/>
                <w:szCs w:val="20"/>
                <w:color w:val="auto"/>
              </w:rPr>
            </w:pPr>
            <w:r>
              <w:rPr>
                <w:rFonts w:ascii="Arial" w:cs="Arial" w:eastAsia="Arial" w:hAnsi="Arial"/>
                <w:sz w:val="16"/>
                <w:szCs w:val="16"/>
                <w:color w:val="auto"/>
              </w:rPr>
              <w:t>Three months ended January 31,</w:t>
            </w:r>
          </w:p>
        </w:tc>
        <w:tc>
          <w:tcPr>
            <w:tcW w:w="300" w:type="dxa"/>
            <w:vAlign w:val="bottom"/>
          </w:tcPr>
          <w:p>
            <w:pPr>
              <w:spacing w:after="0"/>
              <w:rPr>
                <w:sz w:val="22"/>
                <w:szCs w:val="22"/>
                <w:color w:val="auto"/>
              </w:rPr>
            </w:pPr>
          </w:p>
        </w:tc>
        <w:tc>
          <w:tcPr>
            <w:tcW w:w="2940" w:type="dxa"/>
            <w:vAlign w:val="bottom"/>
            <w:gridSpan w:val="4"/>
          </w:tcPr>
          <w:p>
            <w:pPr>
              <w:jc w:val="right"/>
              <w:ind w:right="380"/>
              <w:spacing w:after="0"/>
              <w:rPr>
                <w:sz w:val="20"/>
                <w:szCs w:val="20"/>
                <w:color w:val="auto"/>
              </w:rPr>
            </w:pPr>
            <w:r>
              <w:rPr>
                <w:rFonts w:ascii="Arial" w:cs="Arial" w:eastAsia="Arial" w:hAnsi="Arial"/>
                <w:sz w:val="16"/>
                <w:szCs w:val="16"/>
                <w:color w:val="auto"/>
              </w:rPr>
              <w:t>Nine months ended January 31,</w:t>
            </w:r>
          </w:p>
        </w:tc>
      </w:tr>
      <w:tr>
        <w:trPr>
          <w:trHeight w:val="263"/>
        </w:trPr>
        <w:tc>
          <w:tcPr>
            <w:tcW w:w="4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6"/>
                <w:szCs w:val="16"/>
                <w:color w:val="auto"/>
              </w:rPr>
              <w:t>2019</w:t>
            </w:r>
          </w:p>
        </w:tc>
      </w:tr>
      <w:tr>
        <w:trPr>
          <w:trHeight w:val="260"/>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8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assisted tax preparation</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283,956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256,813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358,174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329,569</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U.S. royalties</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44,965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42,265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59,644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57,898</w:t>
            </w:r>
          </w:p>
        </w:tc>
      </w:tr>
      <w:tr>
        <w:trPr>
          <w:trHeight w:val="28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DIY tax preparation</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34,089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31,996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42,040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37,771</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International</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11,804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12,304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97,311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96,980</w:t>
            </w:r>
          </w:p>
        </w:tc>
      </w:tr>
      <w:tr>
        <w:trPr>
          <w:trHeight w:val="280"/>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Refund Transfers</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50,494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47,482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52,794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49,466</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16,657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14,980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39,128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38,704</w:t>
            </w:r>
          </w:p>
        </w:tc>
      </w:tr>
      <w:tr>
        <w:trPr>
          <w:trHeight w:val="260"/>
        </w:trPr>
        <w:tc>
          <w:tcPr>
            <w:tcW w:w="4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Peace of Mind® Extended Service Plan</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16,954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16,596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75,451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77,491</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Tax Identity Shield®</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8,138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7,655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17,308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17,639</w:t>
            </w:r>
          </w:p>
        </w:tc>
      </w:tr>
      <w:tr>
        <w:trPr>
          <w:trHeight w:val="280"/>
        </w:trPr>
        <w:tc>
          <w:tcPr>
            <w:tcW w:w="462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6"/>
                <w:szCs w:val="26"/>
                <w:color w:val="auto"/>
                <w:vertAlign w:val="superscript"/>
              </w:rPr>
              <w:t>TM</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32,741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30,924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33,780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31,768</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Wave</w:t>
            </w:r>
          </w:p>
        </w:tc>
        <w:tc>
          <w:tcPr>
            <w:tcW w:w="30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b w:val="1"/>
                <w:bCs w:val="1"/>
                <w:color w:val="auto"/>
              </w:rPr>
              <w:t>11,213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b w:val="1"/>
                <w:bCs w:val="1"/>
                <w:color w:val="auto"/>
              </w:rPr>
              <w:t>25,740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8,194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7,369</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28,998</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25,152</w:t>
            </w:r>
          </w:p>
        </w:tc>
      </w:tr>
      <w:tr>
        <w:trPr>
          <w:trHeight w:val="250"/>
        </w:trPr>
        <w:tc>
          <w:tcPr>
            <w:tcW w:w="4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revenues</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519,205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468,384</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830,368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762,438</w:t>
            </w:r>
          </w:p>
        </w:tc>
      </w:tr>
      <w:tr>
        <w:trPr>
          <w:trHeight w:val="122"/>
        </w:trPr>
        <w:tc>
          <w:tcPr>
            <w:tcW w:w="45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r>
    </w:tbl>
    <w:p>
      <w:pPr>
        <w:spacing w:after="0" w:line="323"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Wave revenues primarily consist of fees received to process payment transactions and are generally calculated as a percentage of the transaction amounts processed. Revenues are recognized upon authorization of the transaction.</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Changes in the balances of deferred revenue and wages for our Peace of Mind® Extended Service Plan (POM)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POM</w:t>
            </w:r>
          </w:p>
        </w:tc>
        <w:tc>
          <w:tcPr>
            <w:tcW w:w="1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Deferred Revenue</w:t>
            </w:r>
          </w:p>
        </w:tc>
        <w:tc>
          <w:tcPr>
            <w:tcW w:w="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color w:val="auto"/>
              </w:rPr>
              <w:t>Deferred Wages</w:t>
            </w:r>
          </w:p>
        </w:tc>
        <w:tc>
          <w:tcPr>
            <w:tcW w:w="780" w:type="dxa"/>
            <w:vAlign w:val="bottom"/>
            <w:tcBorders>
              <w:bottom w:val="single" w:sz="8" w:color="auto"/>
            </w:tcBorders>
          </w:tcPr>
          <w:p>
            <w:pPr>
              <w:spacing w:after="0"/>
              <w:rPr>
                <w:sz w:val="22"/>
                <w:szCs w:val="22"/>
                <w:color w:val="auto"/>
              </w:rPr>
            </w:pPr>
          </w:p>
        </w:tc>
      </w:tr>
      <w:tr>
        <w:trPr>
          <w:trHeight w:val="263"/>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2019</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beginning of the period</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212,511</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218,274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27,306</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32,683</w:t>
            </w: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Amounts deferred</w:t>
            </w:r>
          </w:p>
        </w:tc>
        <w:tc>
          <w:tcPr>
            <w:tcW w:w="44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28,686</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27,711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b w:val="1"/>
                <w:bCs w:val="1"/>
                <w:color w:val="auto"/>
              </w:rPr>
              <w:t>1,827</w:t>
            </w: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1,773</w:t>
            </w:r>
          </w:p>
        </w:tc>
      </w:tr>
      <w:tr>
        <w:trPr>
          <w:trHeight w:val="27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Amounts recognized on previous deferrals</w:t>
            </w:r>
          </w:p>
        </w:tc>
        <w:tc>
          <w:tcPr>
            <w:tcW w:w="4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(87,850)</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(90,439)</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(12,134)</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(13,569)</w:t>
            </w:r>
          </w:p>
        </w:tc>
      </w:tr>
      <w:tr>
        <w:trPr>
          <w:trHeight w:val="250"/>
        </w:trPr>
        <w:tc>
          <w:tcPr>
            <w:tcW w:w="5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end of the period</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153,347</w:t>
            </w: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155,546</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16,999</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20,887</w:t>
            </w:r>
          </w:p>
        </w:tc>
      </w:tr>
      <w:tr>
        <w:trPr>
          <w:trHeight w:val="122"/>
        </w:trPr>
        <w:tc>
          <w:tcPr>
            <w:tcW w:w="49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r>
    </w:tbl>
    <w:p>
      <w:pPr>
        <w:spacing w:after="0" w:line="323"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As of January 31, 2020, deferred revenue related to POM was $153.3 million. We expect that $104.4 million will be recognized over the next twelve months, while the remaining balance will be recognized over the following sixty months.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As of January 31, 2020 and 2019, Tax Identity Shield® (TIS) deferred revenue was $21.2 million and $21.3 million, respectively. Deferred revenue related to TIS was $29.7 million and $36.4 million at April 30, 2019 and 2018, respectively. All deferred revenue related to TIS will be recognized within the next fifteen months.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LOSS PER SHARE AND STOCKHOLDERS' EQUITY</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LOSS PER SHARE </w:t>
      </w:r>
      <w:r>
        <w:rPr>
          <w:rFonts w:ascii="Arial" w:cs="Arial" w:eastAsia="Arial" w:hAnsi="Arial"/>
          <w:sz w:val="18"/>
          <w:szCs w:val="18"/>
          <w:color w:val="auto"/>
        </w:rPr>
        <w:t>– Basic and diluted loss per share is computed using the two-class method. The two-class method is an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allocation formula that determines net income per share for each class of common stock and participating security according to dividends declared and participation rights in undistributed earnings. Per share amounts are computed by dividing net income or loss from continuing operations attributable to common shareholders by the weighted average shares outstanding during each period. The dilutive effect of potential common shares is included in diluted earnings per share except in those periods with a loss from continuing operations. Diluted earnings per share excludes the impact of shares of common stock issuable upon the lapse of certain restrictions or the exercise of options to purchase 3.7 million shares for the three and nine months ended January 31, 2020, and 3.4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23114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ind w:left="400" w:hanging="250"/>
        <w:spacing w:after="0"/>
        <w:tabs>
          <w:tab w:leader="none" w:pos="400" w:val="left"/>
        </w:tabs>
        <w:numPr>
          <w:ilvl w:val="0"/>
          <w:numId w:val="5"/>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the three and nine months ended January 31, 2019, as the effect would be antidilutive due to the net loss from continuing operations during those periods.</w:t>
      </w:r>
    </w:p>
    <w:p>
      <w:pPr>
        <w:spacing w:after="0" w:line="9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computations of basic and diluted loss per share from continuing operations are as follows:</w:t>
      </w:r>
    </w:p>
    <w:p>
      <w:pPr>
        <w:spacing w:after="0" w:line="177" w:lineRule="exact"/>
        <w:rPr>
          <w:sz w:val="20"/>
          <w:szCs w:val="20"/>
          <w:color w:val="auto"/>
        </w:rPr>
      </w:pPr>
    </w:p>
    <w:p>
      <w:pPr>
        <w:ind w:left="882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5"/>
          </w:tcPr>
          <w:p>
            <w:pPr>
              <w:ind w:left="120"/>
              <w:spacing w:after="0"/>
              <w:rPr>
                <w:sz w:val="20"/>
                <w:szCs w:val="20"/>
                <w:color w:val="auto"/>
              </w:rPr>
            </w:pPr>
            <w:r>
              <w:rPr>
                <w:rFonts w:ascii="Arial" w:cs="Arial" w:eastAsia="Arial" w:hAnsi="Arial"/>
                <w:sz w:val="16"/>
                <w:szCs w:val="16"/>
                <w:color w:val="auto"/>
              </w:rPr>
              <w:t>Three months ended January 31,</w:t>
            </w:r>
          </w:p>
        </w:tc>
        <w:tc>
          <w:tcPr>
            <w:tcW w:w="240" w:type="dxa"/>
            <w:vAlign w:val="bottom"/>
          </w:tcPr>
          <w:p>
            <w:pPr>
              <w:spacing w:after="0"/>
              <w:rPr>
                <w:sz w:val="18"/>
                <w:szCs w:val="18"/>
                <w:color w:val="auto"/>
              </w:rPr>
            </w:pPr>
          </w:p>
        </w:tc>
        <w:tc>
          <w:tcPr>
            <w:tcW w:w="2780" w:type="dxa"/>
            <w:vAlign w:val="bottom"/>
            <w:gridSpan w:val="4"/>
          </w:tcPr>
          <w:p>
            <w:pPr>
              <w:jc w:val="right"/>
              <w:ind w:right="279"/>
              <w:spacing w:after="0"/>
              <w:rPr>
                <w:sz w:val="20"/>
                <w:szCs w:val="20"/>
                <w:color w:val="auto"/>
              </w:rPr>
            </w:pPr>
            <w:r>
              <w:rPr>
                <w:rFonts w:ascii="Arial" w:cs="Arial" w:eastAsia="Arial" w:hAnsi="Arial"/>
                <w:sz w:val="16"/>
                <w:szCs w:val="16"/>
                <w:color w:val="auto"/>
              </w:rPr>
              <w:t>Nine months ended January 31,</w:t>
            </w:r>
          </w:p>
        </w:tc>
        <w:tc>
          <w:tcPr>
            <w:tcW w:w="0" w:type="dxa"/>
            <w:vAlign w:val="bottom"/>
          </w:tcPr>
          <w:p>
            <w:pPr>
              <w:spacing w:after="0"/>
              <w:rPr>
                <w:sz w:val="1"/>
                <w:szCs w:val="1"/>
                <w:color w:val="auto"/>
              </w:rPr>
            </w:pPr>
          </w:p>
        </w:tc>
      </w:tr>
      <w:tr>
        <w:trPr>
          <w:trHeight w:val="263"/>
        </w:trPr>
        <w:tc>
          <w:tcPr>
            <w:tcW w:w="4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shareholders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(128,026)</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(457,304)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(439,513)</w:t>
            </w:r>
          </w:p>
        </w:tc>
        <w:tc>
          <w:tcPr>
            <w:tcW w:w="0" w:type="dxa"/>
            <w:vAlign w:val="bottom"/>
          </w:tcPr>
          <w:p>
            <w:pPr>
              <w:spacing w:after="0"/>
              <w:rPr>
                <w:sz w:val="1"/>
                <w:szCs w:val="1"/>
                <w:color w:val="auto"/>
              </w:rPr>
            </w:pPr>
          </w:p>
        </w:tc>
      </w:tr>
      <w:tr>
        <w:trPr>
          <w:trHeight w:val="263"/>
        </w:trPr>
        <w:tc>
          <w:tcPr>
            <w:tcW w:w="5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Amounts allocated to participating securities</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(169)</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(468)</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0" w:type="dxa"/>
            <w:vAlign w:val="bottom"/>
          </w:tcPr>
          <w:p>
            <w:pPr>
              <w:spacing w:after="0"/>
              <w:rPr>
                <w:sz w:val="1"/>
                <w:szCs w:val="1"/>
                <w:color w:val="auto"/>
              </w:rPr>
            </w:pPr>
          </w:p>
        </w:tc>
      </w:tr>
      <w:tr>
        <w:trPr>
          <w:trHeight w:val="204"/>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attributable to common</w:t>
            </w:r>
          </w:p>
        </w:tc>
        <w:tc>
          <w:tcPr>
            <w:tcW w:w="2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(128,195)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(457,772)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08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shareholders</w:t>
            </w: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(119,939)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(439,959)</w:t>
            </w:r>
          </w:p>
        </w:tc>
        <w:tc>
          <w:tcPr>
            <w:tcW w:w="0" w:type="dxa"/>
            <w:vAlign w:val="bottom"/>
          </w:tcPr>
          <w:p>
            <w:pPr>
              <w:spacing w:after="0"/>
              <w:rPr>
                <w:sz w:val="1"/>
                <w:szCs w:val="1"/>
                <w:color w:val="auto"/>
              </w:rPr>
            </w:pPr>
          </w:p>
        </w:tc>
      </w:tr>
      <w:tr>
        <w:trPr>
          <w:trHeight w:val="121"/>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Basic weighted average common shares</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194,077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205,532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198,064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206,242</w:t>
            </w:r>
          </w:p>
        </w:tc>
        <w:tc>
          <w:tcPr>
            <w:tcW w:w="0" w:type="dxa"/>
            <w:vAlign w:val="bottom"/>
          </w:tcPr>
          <w:p>
            <w:pPr>
              <w:spacing w:after="0"/>
              <w:rPr>
                <w:sz w:val="1"/>
                <w:szCs w:val="1"/>
                <w:color w:val="auto"/>
              </w:rPr>
            </w:pPr>
          </w:p>
        </w:tc>
      </w:tr>
      <w:tr>
        <w:trPr>
          <w:trHeight w:val="264"/>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Potential dilutive shares</w:t>
            </w:r>
          </w:p>
        </w:tc>
        <w:tc>
          <w:tcPr>
            <w:tcW w:w="2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50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Dilutive weighted average common shares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194,077</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205,532</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198,064</w:t>
            </w:r>
          </w:p>
        </w:tc>
        <w:tc>
          <w:tcPr>
            <w:tcW w:w="10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206,242</w:t>
            </w:r>
          </w:p>
        </w:tc>
        <w:tc>
          <w:tcPr>
            <w:tcW w:w="0" w:type="dxa"/>
            <w:vAlign w:val="bottom"/>
          </w:tcPr>
          <w:p>
            <w:pPr>
              <w:spacing w:after="0"/>
              <w:rPr>
                <w:sz w:val="1"/>
                <w:szCs w:val="1"/>
                <w:color w:val="auto"/>
              </w:rPr>
            </w:pPr>
          </w:p>
        </w:tc>
      </w:tr>
      <w:tr>
        <w:trPr>
          <w:trHeight w:val="121"/>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640" w:type="dxa"/>
            <w:vAlign w:val="bottom"/>
            <w:gridSpan w:val="5"/>
            <w:shd w:val="clear" w:color="auto" w:fill="CCEEFF"/>
          </w:tcPr>
          <w:p>
            <w:pPr>
              <w:ind w:left="40"/>
              <w:spacing w:after="0"/>
              <w:rPr>
                <w:sz w:val="20"/>
                <w:szCs w:val="20"/>
                <w:color w:val="auto"/>
              </w:rPr>
            </w:pPr>
            <w:r>
              <w:rPr>
                <w:rFonts w:ascii="Arial" w:cs="Arial" w:eastAsia="Arial" w:hAnsi="Arial"/>
                <w:sz w:val="16"/>
                <w:szCs w:val="16"/>
                <w:color w:val="auto"/>
              </w:rPr>
              <w:t>Loss per share from continuing operations attributable to common shareholders:</w:t>
            </w: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5080" w:type="dxa"/>
            <w:vAlign w:val="bottom"/>
            <w:gridSpan w:val="2"/>
          </w:tcPr>
          <w:p>
            <w:pPr>
              <w:ind w:left="180"/>
              <w:spacing w:after="0"/>
              <w:rPr>
                <w:sz w:val="20"/>
                <w:szCs w:val="20"/>
                <w:color w:val="auto"/>
              </w:rPr>
            </w:pPr>
            <w:r>
              <w:rPr>
                <w:rFonts w:ascii="Arial" w:cs="Arial" w:eastAsia="Arial" w:hAnsi="Arial"/>
                <w:sz w:val="16"/>
                <w:szCs w:val="16"/>
                <w:color w:val="auto"/>
              </w:rPr>
              <w:t>Basic</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80"/>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122"/>
        </w:trPr>
        <w:tc>
          <w:tcPr>
            <w:tcW w:w="4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The weighted average shares outstanding for the three and nine months ended January 31, 2020 decreased to 194.1 million and 198.1 million, respectively, from 205.5 million and 206.2 million, respectively, for the three and nine months ended January 31, 2019. The decrease is due to share repurchases completed in the current and prior years.</w:t>
      </w:r>
    </w:p>
    <w:p>
      <w:pPr>
        <w:spacing w:after="0" w:line="72" w:lineRule="exact"/>
        <w:rPr>
          <w:sz w:val="20"/>
          <w:szCs w:val="20"/>
          <w:color w:val="auto"/>
        </w:rPr>
      </w:pPr>
    </w:p>
    <w:p>
      <w:pPr>
        <w:jc w:val="both"/>
        <w:ind w:firstLine="243"/>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During the nine months ended January 31, 2020, we also acquired 0.3 million shares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at an aggregate cost of $ 9.4 million, which represent shares swapped or surrendered to us in connection with the vesting or exercise of stock-based awards. During the nine months ended January 31, 2019, we acquired 0.2 million shares at an aggregate cost of $5.0 million for similar purposes.</w:t>
      </w:r>
    </w:p>
    <w:p>
      <w:pPr>
        <w:spacing w:after="0" w:line="90"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During the nine months ended January 31, 2020 and 2019, we issued 1.0 million and 0.7 million shares of common stock, respectively, due to the vesting or exercise of stock-based awards.</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During the nine months ended January 31, 2020, we granted equity awards equivalent to 1.5 million shares under our stock-based compensation plans, consisting primarily of nonvested units. Stock-based compensation expense of our continuing operations totaled $6.6 million and $22.7 million for the three and nine months ended January 31, 2020, respectively and $6.2 million and $ 18.0 million for the three and nine months ended January 31, 2019, respectively. As of January 31, 2020, unrecognized compensation cost for stock options totaled $0.3 million, and for nonvested shares and units totaled $40.6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285115</wp:posOffset>
            </wp:positionV>
            <wp:extent cx="2228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200"/>
        <w:spacing w:after="0"/>
        <w:tabs>
          <w:tab w:leader="none" w:pos="11000" w:val="left"/>
        </w:tabs>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sz w:val="20"/>
          <w:szCs w:val="20"/>
          <w:color w:val="auto"/>
        </w:rPr>
        <w:tab/>
      </w:r>
      <w:r>
        <w:rPr>
          <w:rFonts w:ascii="Arial" w:cs="Arial" w:eastAsia="Arial" w:hAnsi="Arial"/>
          <w:sz w:val="14"/>
          <w:szCs w:val="14"/>
          <w:color w:val="FFFFFF"/>
          <w:highlight w:val="black"/>
        </w:rPr>
        <w:t>9</w:t>
      </w:r>
    </w:p>
    <w:p>
      <w:pPr>
        <w:sectPr>
          <w:pgSz w:w="11900" w:h="16838" w:orient="portrait"/>
          <w:cols w:equalWidth="0" w:num="1">
            <w:col w:w="11240"/>
          </w:cols>
          <w:pgMar w:left="320" w:top="249" w:right="3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RECEIVABLES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Receivables, net of their related allowance, consist of the following: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263"/>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January 31, 2020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color w:val="auto"/>
              </w:rPr>
              <w:t>January 31, 2019</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4"/>
          </w:tcPr>
          <w:p>
            <w:pPr>
              <w:jc w:val="right"/>
              <w:ind w:right="680"/>
              <w:spacing w:after="0"/>
              <w:rPr>
                <w:sz w:val="20"/>
                <w:szCs w:val="20"/>
                <w:color w:val="auto"/>
              </w:rPr>
            </w:pPr>
            <w:r>
              <w:rPr>
                <w:rFonts w:ascii="Arial" w:cs="Arial" w:eastAsia="Arial" w:hAnsi="Arial"/>
                <w:sz w:val="16"/>
                <w:szCs w:val="16"/>
                <w:color w:val="auto"/>
              </w:rPr>
              <w:t>April 30, 2019</w:t>
            </w:r>
          </w:p>
        </w:tc>
        <w:tc>
          <w:tcPr>
            <w:tcW w:w="0" w:type="dxa"/>
            <w:vAlign w:val="bottom"/>
          </w:tcPr>
          <w:p>
            <w:pPr>
              <w:spacing w:after="0"/>
              <w:rPr>
                <w:sz w:val="1"/>
                <w:szCs w:val="1"/>
                <w:color w:val="auto"/>
              </w:rPr>
            </w:pPr>
          </w:p>
        </w:tc>
      </w:tr>
      <w:tr>
        <w:trPr>
          <w:trHeight w:val="263"/>
        </w:trPr>
        <w:tc>
          <w:tcPr>
            <w:tcW w:w="3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color w:val="auto"/>
              </w:rPr>
              <w:t>Long-term</w:t>
            </w:r>
          </w:p>
        </w:tc>
        <w:tc>
          <w:tcPr>
            <w:tcW w:w="18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color w:val="auto"/>
              </w:rPr>
              <w:t>Long-term</w:t>
            </w:r>
          </w:p>
        </w:tc>
        <w:tc>
          <w:tcPr>
            <w:tcW w:w="160" w:type="dxa"/>
            <w:vAlign w:val="bottom"/>
          </w:tcPr>
          <w:p>
            <w:pPr>
              <w:spacing w:after="0"/>
              <w:rPr>
                <w:sz w:val="22"/>
                <w:szCs w:val="22"/>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color w:val="auto"/>
              </w:rPr>
              <w:t>Short-term</w:t>
            </w:r>
          </w:p>
        </w:tc>
        <w:tc>
          <w:tcPr>
            <w:tcW w:w="180" w:type="dxa"/>
            <w:vAlign w:val="bottom"/>
          </w:tcPr>
          <w:p>
            <w:pPr>
              <w:spacing w:after="0"/>
              <w:rPr>
                <w:sz w:val="22"/>
                <w:szCs w:val="22"/>
                <w:color w:val="auto"/>
              </w:rPr>
            </w:pPr>
          </w:p>
        </w:tc>
        <w:tc>
          <w:tcPr>
            <w:tcW w:w="1040" w:type="dxa"/>
            <w:vAlign w:val="bottom"/>
          </w:tcPr>
          <w:p>
            <w:pPr>
              <w:jc w:val="right"/>
              <w:ind w:right="160"/>
              <w:spacing w:after="0"/>
              <w:rPr>
                <w:sz w:val="20"/>
                <w:szCs w:val="20"/>
                <w:color w:val="auto"/>
              </w:rPr>
            </w:pPr>
            <w:r>
              <w:rPr>
                <w:rFonts w:ascii="Arial" w:cs="Arial" w:eastAsia="Arial" w:hAnsi="Arial"/>
                <w:sz w:val="16"/>
                <w:szCs w:val="16"/>
                <w:color w:val="auto"/>
              </w:rPr>
              <w:t>Long-term</w:t>
            </w:r>
          </w:p>
        </w:tc>
        <w:tc>
          <w:tcPr>
            <w:tcW w:w="0" w:type="dxa"/>
            <w:vAlign w:val="bottom"/>
          </w:tcPr>
          <w:p>
            <w:pPr>
              <w:spacing w:after="0"/>
              <w:rPr>
                <w:sz w:val="1"/>
                <w:szCs w:val="1"/>
                <w:color w:val="auto"/>
              </w:rPr>
            </w:pPr>
          </w:p>
        </w:tc>
      </w:tr>
      <w:tr>
        <w:trPr>
          <w:trHeight w:val="257"/>
        </w:trPr>
        <w:tc>
          <w:tcPr>
            <w:tcW w:w="328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Loans to franchisees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36,372</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42,079</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28,941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41,669</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22,427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35,325</w:t>
            </w:r>
          </w:p>
        </w:tc>
        <w:tc>
          <w:tcPr>
            <w:tcW w:w="0" w:type="dxa"/>
            <w:vAlign w:val="bottom"/>
          </w:tcPr>
          <w:p>
            <w:pPr>
              <w:spacing w:after="0"/>
              <w:rPr>
                <w:sz w:val="1"/>
                <w:szCs w:val="1"/>
                <w:color w:val="auto"/>
              </w:rPr>
            </w:pPr>
          </w:p>
        </w:tc>
      </w:tr>
      <w:tr>
        <w:trPr>
          <w:trHeight w:val="218"/>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Receivables for U.S. assisted and DIY tax</w:t>
            </w:r>
          </w:p>
        </w:tc>
        <w:tc>
          <w:tcPr>
            <w:tcW w:w="180" w:type="dxa"/>
            <w:vAlign w:val="bottom"/>
          </w:tcPr>
          <w:p>
            <w:pPr>
              <w:spacing w:after="0"/>
              <w:rPr>
                <w:sz w:val="18"/>
                <w:szCs w:val="18"/>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316,987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3,716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80" w:type="dxa"/>
            <w:vAlign w:val="bottom"/>
            <w:gridSpan w:val="2"/>
          </w:tcPr>
          <w:p>
            <w:pPr>
              <w:ind w:left="200"/>
              <w:spacing w:after="0"/>
              <w:rPr>
                <w:sz w:val="20"/>
                <w:szCs w:val="20"/>
                <w:color w:val="auto"/>
              </w:rPr>
            </w:pPr>
            <w:r>
              <w:rPr>
                <w:rFonts w:ascii="Arial" w:cs="Arial" w:eastAsia="Arial" w:hAnsi="Arial"/>
                <w:sz w:val="16"/>
                <w:szCs w:val="16"/>
                <w:color w:val="auto"/>
              </w:rPr>
              <w:t>preparation and related fees</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281,266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5,503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34,284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3,716</w:t>
            </w:r>
          </w:p>
        </w:tc>
        <w:tc>
          <w:tcPr>
            <w:tcW w:w="0" w:type="dxa"/>
            <w:vAlign w:val="bottom"/>
          </w:tcPr>
          <w:p>
            <w:pPr>
              <w:spacing w:after="0"/>
              <w:rPr>
                <w:sz w:val="1"/>
                <w:szCs w:val="1"/>
                <w:color w:val="auto"/>
              </w:rPr>
            </w:pPr>
          </w:p>
        </w:tc>
      </w:tr>
      <w:tr>
        <w:trPr>
          <w:trHeight w:val="280"/>
        </w:trPr>
        <w:tc>
          <w:tcPr>
            <w:tcW w:w="328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H&amp;R Block Instant Refund</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receivables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6,733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563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37,319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1,701</w:t>
            </w:r>
          </w:p>
        </w:tc>
        <w:tc>
          <w:tcPr>
            <w:tcW w:w="0" w:type="dxa"/>
            <w:vAlign w:val="bottom"/>
          </w:tcPr>
          <w:p>
            <w:pPr>
              <w:spacing w:after="0"/>
              <w:rPr>
                <w:sz w:val="1"/>
                <w:szCs w:val="1"/>
                <w:color w:val="auto"/>
              </w:rPr>
            </w:pPr>
          </w:p>
        </w:tc>
      </w:tr>
      <w:tr>
        <w:trPr>
          <w:trHeight w:val="218"/>
        </w:trPr>
        <w:tc>
          <w:tcPr>
            <w:tcW w:w="3280" w:type="dxa"/>
            <w:vAlign w:val="bottom"/>
            <w:gridSpan w:val="2"/>
          </w:tcPr>
          <w:p>
            <w:pPr>
              <w:ind w:left="40"/>
              <w:spacing w:after="0" w:line="217" w:lineRule="exact"/>
              <w:rPr>
                <w:sz w:val="20"/>
                <w:szCs w:val="20"/>
                <w:color w:val="auto"/>
              </w:rPr>
            </w:pPr>
            <w:r>
              <w:rPr>
                <w:rFonts w:ascii="Arial" w:cs="Arial" w:eastAsia="Arial" w:hAnsi="Arial"/>
                <w:sz w:val="16"/>
                <w:szCs w:val="16"/>
                <w:color w:val="auto"/>
              </w:rPr>
              <w:t>H&amp;R Block Emerald Advance</w:t>
            </w:r>
            <w:r>
              <w:rPr>
                <w:rFonts w:ascii="Arial" w:cs="Arial" w:eastAsia="Arial" w:hAnsi="Arial"/>
                <w:sz w:val="25"/>
                <w:szCs w:val="25"/>
                <w:color w:val="auto"/>
                <w:vertAlign w:val="superscript"/>
              </w:rPr>
              <w:t>TM</w:t>
            </w:r>
            <w:r>
              <w:rPr>
                <w:rFonts w:ascii="Arial" w:cs="Arial" w:eastAsia="Arial" w:hAnsi="Arial"/>
                <w:sz w:val="16"/>
                <w:szCs w:val="16"/>
                <w:color w:val="auto"/>
              </w:rPr>
              <w:t xml:space="preserve"> lines of</w:t>
            </w:r>
          </w:p>
        </w:tc>
        <w:tc>
          <w:tcPr>
            <w:tcW w:w="180" w:type="dxa"/>
            <w:vAlign w:val="bottom"/>
          </w:tcPr>
          <w:p>
            <w:pPr>
              <w:spacing w:after="0"/>
              <w:rPr>
                <w:sz w:val="18"/>
                <w:szCs w:val="18"/>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373,271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6,179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80" w:type="dxa"/>
            <w:vAlign w:val="bottom"/>
            <w:gridSpan w:val="2"/>
          </w:tcPr>
          <w:p>
            <w:pPr>
              <w:ind w:left="200"/>
              <w:spacing w:after="0"/>
              <w:rPr>
                <w:sz w:val="20"/>
                <w:szCs w:val="20"/>
                <w:color w:val="auto"/>
              </w:rPr>
            </w:pPr>
            <w:r>
              <w:rPr>
                <w:rFonts w:ascii="Arial" w:cs="Arial" w:eastAsia="Arial" w:hAnsi="Arial"/>
                <w:sz w:val="16"/>
                <w:szCs w:val="16"/>
                <w:color w:val="auto"/>
              </w:rPr>
              <w:t>credit</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362,400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7,667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8,546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12,418</w:t>
            </w:r>
          </w:p>
        </w:tc>
        <w:tc>
          <w:tcPr>
            <w:tcW w:w="0" w:type="dxa"/>
            <w:vAlign w:val="bottom"/>
          </w:tcPr>
          <w:p>
            <w:pPr>
              <w:spacing w:after="0"/>
              <w:rPr>
                <w:sz w:val="1"/>
                <w:szCs w:val="1"/>
                <w:color w:val="auto"/>
              </w:rPr>
            </w:pPr>
          </w:p>
        </w:tc>
      </w:tr>
      <w:tr>
        <w:trPr>
          <w:trHeight w:val="28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Software receivables from retailers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8,101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8,396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8"/>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Royalties and other receivables from</w:t>
            </w:r>
          </w:p>
        </w:tc>
        <w:tc>
          <w:tcPr>
            <w:tcW w:w="180" w:type="dxa"/>
            <w:vAlign w:val="bottom"/>
          </w:tcPr>
          <w:p>
            <w:pPr>
              <w:spacing w:after="0"/>
              <w:rPr>
                <w:sz w:val="18"/>
                <w:szCs w:val="18"/>
                <w:color w:val="auto"/>
              </w:rPr>
            </w:pPr>
          </w:p>
        </w:tc>
        <w:tc>
          <w:tcPr>
            <w:tcW w:w="108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55,645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rPr>
              <w:t>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280" w:type="dxa"/>
            <w:vAlign w:val="bottom"/>
            <w:gridSpan w:val="2"/>
          </w:tcPr>
          <w:p>
            <w:pPr>
              <w:ind w:left="200"/>
              <w:spacing w:after="0"/>
              <w:rPr>
                <w:sz w:val="20"/>
                <w:szCs w:val="20"/>
                <w:color w:val="auto"/>
              </w:rPr>
            </w:pPr>
            <w:r>
              <w:rPr>
                <w:rFonts w:ascii="Arial" w:cs="Arial" w:eastAsia="Arial" w:hAnsi="Arial"/>
                <w:sz w:val="16"/>
                <w:szCs w:val="16"/>
                <w:color w:val="auto"/>
              </w:rPr>
              <w:t>franchisees</w:t>
            </w:r>
          </w:p>
        </w:tc>
        <w:tc>
          <w:tcPr>
            <w:tcW w:w="1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54,907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11,888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8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Wave payment processing receivables</w:t>
            </w: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3,363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3"/>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19,474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1,444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16,485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2,698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15,147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2,382</w:t>
            </w:r>
          </w:p>
        </w:tc>
        <w:tc>
          <w:tcPr>
            <w:tcW w:w="0" w:type="dxa"/>
            <w:vAlign w:val="bottom"/>
          </w:tcPr>
          <w:p>
            <w:pPr>
              <w:spacing w:after="0"/>
              <w:rPr>
                <w:sz w:val="1"/>
                <w:szCs w:val="1"/>
                <w:color w:val="auto"/>
              </w:rPr>
            </w:pP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819,946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54,048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758,217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58,517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138,965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55,639</w:t>
            </w:r>
          </w:p>
        </w:tc>
        <w:tc>
          <w:tcPr>
            <w:tcW w:w="0" w:type="dxa"/>
            <w:vAlign w:val="bottom"/>
          </w:tcPr>
          <w:p>
            <w:pPr>
              <w:spacing w:after="0"/>
              <w:rPr>
                <w:sz w:val="1"/>
                <w:szCs w:val="1"/>
                <w:color w:val="auto"/>
              </w:rPr>
            </w:pPr>
          </w:p>
        </w:tc>
      </w:tr>
      <w:tr>
        <w:trPr>
          <w:trHeight w:val="122"/>
        </w:trPr>
        <w:tc>
          <w:tcPr>
            <w:tcW w:w="3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Balances presented above as short-term are included in receivables, while the long-term portions are included in other noncurrent assets in the consolidated balance sheets.</w:t>
      </w:r>
    </w:p>
    <w:p>
      <w:pPr>
        <w:spacing w:after="0" w:line="68" w:lineRule="exact"/>
        <w:rPr>
          <w:sz w:val="20"/>
          <w:szCs w:val="20"/>
          <w:color w:val="auto"/>
        </w:rPr>
      </w:pPr>
    </w:p>
    <w:p>
      <w:pPr>
        <w:jc w:val="both"/>
        <w:ind w:firstLine="216"/>
        <w:spacing w:after="0" w:line="262" w:lineRule="auto"/>
        <w:rPr>
          <w:sz w:val="20"/>
          <w:szCs w:val="20"/>
          <w:color w:val="auto"/>
        </w:rPr>
      </w:pPr>
      <w:r>
        <w:rPr>
          <w:rFonts w:ascii="Arial" w:cs="Arial" w:eastAsia="Arial" w:hAnsi="Arial"/>
          <w:sz w:val="18"/>
          <w:szCs w:val="18"/>
          <w:b w:val="1"/>
          <w:bCs w:val="1"/>
          <w:color w:val="auto"/>
        </w:rPr>
        <w:t xml:space="preserve">LOANS TO FRANCHISEES </w:t>
      </w:r>
      <w:r>
        <w:rPr>
          <w:rFonts w:ascii="Arial" w:cs="Arial" w:eastAsia="Arial" w:hAnsi="Arial"/>
          <w:sz w:val="18"/>
          <w:szCs w:val="18"/>
          <w:color w:val="auto"/>
        </w:rPr>
        <w:t>– Franchisee loan balances consist of term loans made primarily to finance the purchase of franchises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short–term loans and revolving lines of credit which are used to fund off–season working capital needs. As of January 31, 2020 and 2019, loans with a principal balance of $0.4 million and $0.9 million, respectively, were more than 90 days past due. We had no loans to franchisees on non-accrual status.</w:t>
      </w:r>
    </w:p>
    <w:p>
      <w:pPr>
        <w:spacing w:after="0" w:line="68" w:lineRule="exact"/>
        <w:rPr>
          <w:sz w:val="20"/>
          <w:szCs w:val="20"/>
          <w:color w:val="auto"/>
        </w:rPr>
      </w:pPr>
    </w:p>
    <w:p>
      <w:pPr>
        <w:jc w:val="both"/>
        <w:ind w:firstLine="216"/>
        <w:spacing w:after="0" w:line="225" w:lineRule="auto"/>
        <w:rPr>
          <w:sz w:val="20"/>
          <w:szCs w:val="20"/>
          <w:color w:val="auto"/>
        </w:rPr>
      </w:pPr>
      <w:r>
        <w:rPr>
          <w:rFonts w:ascii="Arial" w:cs="Arial" w:eastAsia="Arial" w:hAnsi="Arial"/>
          <w:sz w:val="18"/>
          <w:szCs w:val="18"/>
          <w:b w:val="1"/>
          <w:bCs w:val="1"/>
          <w:color w:val="auto"/>
        </w:rPr>
        <w:t>H&amp;R BLOCK INSTANT REFUND</w:t>
      </w:r>
      <w:r>
        <w:rPr>
          <w:rFonts w:ascii="Arial" w:cs="Arial" w:eastAsia="Arial" w:hAnsi="Arial"/>
          <w:sz w:val="26"/>
          <w:szCs w:val="26"/>
          <w:b w:val="1"/>
          <w:bCs w:val="1"/>
          <w:color w:val="auto"/>
          <w:vertAlign w:val="superscript"/>
        </w:rPr>
        <w:t>TM</w:t>
      </w:r>
      <w:r>
        <w:rPr>
          <w:rFonts w:ascii="Arial" w:cs="Arial" w:eastAsia="Arial" w:hAnsi="Arial"/>
          <w:sz w:val="18"/>
          <w:szCs w:val="18"/>
          <w:b w:val="1"/>
          <w:bCs w:val="1"/>
          <w:color w:val="auto"/>
        </w:rPr>
        <w:t xml:space="preserve"> PROGRAM </w:t>
      </w:r>
      <w:r>
        <w:rPr>
          <w:rFonts w:ascii="Arial" w:cs="Arial" w:eastAsia="Arial" w:hAnsi="Arial"/>
          <w:sz w:val="18"/>
          <w:szCs w:val="18"/>
          <w:color w:val="auto"/>
        </w:rPr>
        <w:t>– H&amp;R Block Instant Refund</w:t>
      </w:r>
      <w:r>
        <w:rPr>
          <w:rFonts w:ascii="Arial" w:cs="Arial" w:eastAsia="Arial" w:hAnsi="Arial"/>
          <w:sz w:val="26"/>
          <w:szCs w:val="26"/>
          <w:color w:val="auto"/>
          <w:vertAlign w:val="superscript"/>
        </w:rPr>
        <w:t>TM</w:t>
      </w:r>
      <w:r>
        <w:rPr>
          <w:rFonts w:ascii="Arial" w:cs="Arial" w:eastAsia="Arial" w:hAnsi="Arial"/>
          <w:sz w:val="18"/>
          <w:szCs w:val="18"/>
          <w:b w:val="1"/>
          <w:bCs w:val="1"/>
          <w:color w:val="auto"/>
        </w:rPr>
        <w:t xml:space="preserve"> </w:t>
      </w:r>
      <w:r>
        <w:rPr>
          <w:rFonts w:ascii="Arial" w:cs="Arial" w:eastAsia="Arial" w:hAnsi="Arial"/>
          <w:sz w:val="18"/>
          <w:szCs w:val="18"/>
          <w:color w:val="auto"/>
        </w:rPr>
        <w:t>(formerly Instant Cash Back®) amounts are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received from the Canada Revenue Agency (CRA) within 60 days of filing the client's return, with the remaining balance collectible from the client.</w:t>
      </w:r>
    </w:p>
    <w:p>
      <w:pPr>
        <w:spacing w:after="0" w:line="110"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review the credit quality of our Instant Refund receivables based on pools, which are segregated by the year of origination, with older years being deemed more unlikely to be repaid. Current balances and amounts on non-accrual status and classified as impaired, or more than 60 days past due, by year of origination, as of January 31, 2020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8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3"/>
        </w:trPr>
        <w:tc>
          <w:tcPr>
            <w:tcW w:w="6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of Origination</w:t>
            </w:r>
          </w:p>
        </w:tc>
        <w:tc>
          <w:tcPr>
            <w:tcW w:w="30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Current Balance</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Non-Accrual</w:t>
            </w:r>
          </w:p>
        </w:tc>
      </w:tr>
      <w:tr>
        <w:trPr>
          <w:trHeight w:val="122"/>
        </w:trPr>
        <w:tc>
          <w:tcPr>
            <w:tcW w:w="68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2020</w:t>
            </w: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rPr>
              <w:t>6,321</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w:t>
            </w:r>
          </w:p>
        </w:tc>
      </w:tr>
      <w:tr>
        <w:trPr>
          <w:trHeight w:val="273"/>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 and prior</w:t>
            </w:r>
          </w:p>
        </w:tc>
        <w:tc>
          <w:tcPr>
            <w:tcW w:w="3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1,006</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1,006</w:t>
            </w:r>
          </w:p>
        </w:tc>
      </w:tr>
      <w:tr>
        <w:trPr>
          <w:trHeight w:val="250"/>
        </w:trPr>
        <w:tc>
          <w:tcPr>
            <w:tcW w:w="68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b w:val="1"/>
                <w:bCs w:val="1"/>
                <w:color w:val="auto"/>
              </w:rPr>
              <w:t>7,327</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21"/>
              <w:spacing w:after="0"/>
              <w:rPr>
                <w:sz w:val="20"/>
                <w:szCs w:val="20"/>
                <w:color w:val="auto"/>
              </w:rPr>
            </w:pPr>
            <w:r>
              <w:rPr>
                <w:rFonts w:ascii="Arial" w:cs="Arial" w:eastAsia="Arial" w:hAnsi="Arial"/>
                <w:sz w:val="16"/>
                <w:szCs w:val="16"/>
                <w:b w:val="1"/>
                <w:bCs w:val="1"/>
                <w:color w:val="auto"/>
              </w:rPr>
              <w:t>1,006</w:t>
            </w:r>
          </w:p>
        </w:tc>
      </w:tr>
      <w:tr>
        <w:trPr>
          <w:trHeight w:val="263"/>
        </w:trPr>
        <w:tc>
          <w:tcPr>
            <w:tcW w:w="68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Allowance</w:t>
            </w:r>
          </w:p>
        </w:tc>
        <w:tc>
          <w:tcPr>
            <w:tcW w:w="300" w:type="dxa"/>
            <w:vAlign w:val="bottom"/>
            <w:tcBorders>
              <w:top w:val="single" w:sz="8" w:color="CCEEFF"/>
              <w:bottom w:val="single" w:sz="8" w:color="auto"/>
            </w:tcBorders>
            <w:shd w:val="clear" w:color="auto" w:fill="CCEEFF"/>
          </w:tcPr>
          <w:p>
            <w:pPr>
              <w:spacing w:after="0"/>
              <w:rPr>
                <w:sz w:val="22"/>
                <w:szCs w:val="22"/>
                <w:color w:val="auto"/>
              </w:rPr>
            </w:pPr>
          </w:p>
        </w:tc>
        <w:tc>
          <w:tcPr>
            <w:tcW w:w="18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760" w:type="dxa"/>
            <w:vAlign w:val="bottom"/>
            <w:tcBorders>
              <w:top w:val="single" w:sz="8" w:color="auto"/>
            </w:tcBorders>
            <w:shd w:val="clear" w:color="auto" w:fill="CCEEFF"/>
          </w:tcPr>
          <w:p>
            <w:pPr>
              <w:spacing w:after="0"/>
              <w:rPr>
                <w:sz w:val="22"/>
                <w:szCs w:val="22"/>
                <w:color w:val="auto"/>
              </w:rPr>
            </w:pPr>
          </w:p>
        </w:tc>
      </w:tr>
      <w:tr>
        <w:trPr>
          <w:trHeight w:val="25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balance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7,296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CCEEFF"/>
            </w:tcBorders>
          </w:tcPr>
          <w:p>
            <w:pPr>
              <w:spacing w:after="0"/>
              <w:rPr>
                <w:sz w:val="21"/>
                <w:szCs w:val="21"/>
                <w:color w:val="auto"/>
              </w:rPr>
            </w:pPr>
          </w:p>
        </w:tc>
        <w:tc>
          <w:tcPr>
            <w:tcW w:w="1760" w:type="dxa"/>
            <w:vAlign w:val="bottom"/>
            <w:tcBorders>
              <w:bottom w:val="single" w:sz="8" w:color="CCEEFF"/>
            </w:tcBorders>
          </w:tcPr>
          <w:p>
            <w:pPr>
              <w:spacing w:after="0"/>
              <w:rPr>
                <w:sz w:val="21"/>
                <w:szCs w:val="21"/>
                <w:color w:val="auto"/>
              </w:rPr>
            </w:pPr>
          </w:p>
        </w:tc>
      </w:tr>
      <w:tr>
        <w:trPr>
          <w:trHeight w:val="122"/>
        </w:trPr>
        <w:tc>
          <w:tcPr>
            <w:tcW w:w="68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8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76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2311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hanging="290"/>
        <w:spacing w:after="0"/>
        <w:tabs>
          <w:tab w:leader="none" w:pos="400" w:val="left"/>
        </w:tabs>
        <w:numPr>
          <w:ilvl w:val="0"/>
          <w:numId w:val="6"/>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jc w:val="both"/>
        <w:ind w:firstLine="243"/>
        <w:spacing w:after="0" w:line="231" w:lineRule="auto"/>
        <w:rPr>
          <w:sz w:val="20"/>
          <w:szCs w:val="20"/>
          <w:color w:val="auto"/>
        </w:rPr>
      </w:pPr>
      <w:r>
        <w:rPr>
          <w:rFonts w:ascii="Arial" w:cs="Arial" w:eastAsia="Arial" w:hAnsi="Arial"/>
          <w:sz w:val="18"/>
          <w:szCs w:val="18"/>
          <w:b w:val="1"/>
          <w:bCs w:val="1"/>
          <w:color w:val="auto"/>
        </w:rPr>
        <w:t>H&amp;R BLOCK EMERALD ADVANCE</w:t>
      </w:r>
      <w:r>
        <w:rPr>
          <w:rFonts w:ascii="Arial" w:cs="Arial" w:eastAsia="Arial" w:hAnsi="Arial"/>
          <w:sz w:val="26"/>
          <w:szCs w:val="26"/>
          <w:b w:val="1"/>
          <w:bCs w:val="1"/>
          <w:color w:val="auto"/>
          <w:vertAlign w:val="superscript"/>
        </w:rPr>
        <w:t>TM</w:t>
      </w:r>
      <w:r>
        <w:rPr>
          <w:rFonts w:ascii="Arial" w:cs="Arial" w:eastAsia="Arial" w:hAnsi="Arial"/>
          <w:sz w:val="18"/>
          <w:szCs w:val="18"/>
          <w:b w:val="1"/>
          <w:bCs w:val="1"/>
          <w:color w:val="auto"/>
        </w:rPr>
        <w:t xml:space="preserve"> LINES OF CREDIT </w:t>
      </w:r>
      <w:r>
        <w:rPr>
          <w:rFonts w:ascii="Arial" w:cs="Arial" w:eastAsia="Arial" w:hAnsi="Arial"/>
          <w:sz w:val="18"/>
          <w:szCs w:val="18"/>
          <w:color w:val="auto"/>
        </w:rPr>
        <w:t>– We review the credit quality of our purchased participation interests in</w:t>
      </w:r>
      <w:r>
        <w:rPr>
          <w:rFonts w:ascii="Arial" w:cs="Arial" w:eastAsia="Arial" w:hAnsi="Arial"/>
          <w:sz w:val="18"/>
          <w:szCs w:val="18"/>
          <w:b w:val="1"/>
          <w:bCs w:val="1"/>
          <w:color w:val="auto"/>
        </w:rPr>
        <w:t xml:space="preserve"> </w:t>
      </w:r>
      <w:r>
        <w:rPr>
          <w:rFonts w:ascii="Arial" w:cs="Arial" w:eastAsia="Arial" w:hAnsi="Arial"/>
          <w:sz w:val="18"/>
          <w:szCs w:val="18"/>
          <w:color w:val="auto"/>
        </w:rPr>
        <w:t>Emerald Advance</w:t>
      </w:r>
      <w:r>
        <w:rPr>
          <w:rFonts w:ascii="Arial" w:cs="Arial" w:eastAsia="Arial" w:hAnsi="Arial"/>
          <w:sz w:val="14"/>
          <w:szCs w:val="14"/>
          <w:color w:val="auto"/>
        </w:rPr>
        <w:t>TM</w:t>
      </w:r>
      <w:r>
        <w:rPr>
          <w:rFonts w:ascii="Arial" w:cs="Arial" w:eastAsia="Arial" w:hAnsi="Arial"/>
          <w:sz w:val="18"/>
          <w:szCs w:val="18"/>
          <w:color w:val="auto"/>
        </w:rPr>
        <w:t xml:space="preserve"> (EA) receivables based on pools, which are segregated by the year of origination, with older years being deemed more unlikely to be repaid. Balances and amounts on non-accrual status and classified as impaired, or more than 60 days past due, as of January 31, 2020, by year of origination,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3"/>
        </w:trPr>
        <w:tc>
          <w:tcPr>
            <w:tcW w:w="6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Year of origination:</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Balance</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Non-Accrual</w:t>
            </w:r>
          </w:p>
        </w:tc>
      </w:tr>
      <w:tr>
        <w:trPr>
          <w:trHeight w:val="257"/>
        </w:trPr>
        <w:tc>
          <w:tcPr>
            <w:tcW w:w="67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370,879</w:t>
            </w:r>
          </w:p>
        </w:tc>
        <w:tc>
          <w:tcPr>
            <w:tcW w:w="7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rPr>
              <w:t>$</w:t>
            </w:r>
          </w:p>
        </w:tc>
        <w:tc>
          <w:tcPr>
            <w:tcW w:w="1500" w:type="dxa"/>
            <w:vAlign w:val="bottom"/>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w:t>
            </w:r>
          </w:p>
        </w:tc>
      </w:tr>
      <w:tr>
        <w:trPr>
          <w:trHeight w:val="260"/>
        </w:trPr>
        <w:tc>
          <w:tcPr>
            <w:tcW w:w="6860" w:type="dxa"/>
            <w:vAlign w:val="bottom"/>
            <w:gridSpan w:val="2"/>
          </w:tcPr>
          <w:p>
            <w:pPr>
              <w:ind w:left="180"/>
              <w:spacing w:after="0"/>
              <w:rPr>
                <w:sz w:val="20"/>
                <w:szCs w:val="20"/>
                <w:color w:val="auto"/>
              </w:rPr>
            </w:pPr>
            <w:r>
              <w:rPr>
                <w:rFonts w:ascii="Arial" w:cs="Arial" w:eastAsia="Arial" w:hAnsi="Arial"/>
                <w:sz w:val="16"/>
                <w:szCs w:val="16"/>
                <w:color w:val="auto"/>
              </w:rPr>
              <w:t>2019 and prior</w:t>
            </w:r>
          </w:p>
        </w:tc>
        <w:tc>
          <w:tcPr>
            <w:tcW w:w="7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12,729</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500" w:type="dxa"/>
            <w:vAlign w:val="bottom"/>
          </w:tcPr>
          <w:p>
            <w:pPr>
              <w:jc w:val="right"/>
              <w:ind w:right="21"/>
              <w:spacing w:after="0"/>
              <w:rPr>
                <w:sz w:val="20"/>
                <w:szCs w:val="20"/>
                <w:color w:val="auto"/>
              </w:rPr>
            </w:pPr>
            <w:r>
              <w:rPr>
                <w:rFonts w:ascii="Arial" w:cs="Arial" w:eastAsia="Arial" w:hAnsi="Arial"/>
                <w:sz w:val="16"/>
                <w:szCs w:val="16"/>
                <w:b w:val="1"/>
                <w:bCs w:val="1"/>
                <w:color w:val="auto"/>
              </w:rPr>
              <w:t>12,729</w:t>
            </w:r>
          </w:p>
        </w:tc>
      </w:tr>
      <w:tr>
        <w:trPr>
          <w:trHeight w:val="273"/>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Revolving loans</w:t>
            </w:r>
          </w:p>
        </w:tc>
        <w:tc>
          <w:tcPr>
            <w:tcW w:w="7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23,966</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12,628</w:t>
            </w:r>
          </w:p>
        </w:tc>
      </w:tr>
      <w:tr>
        <w:trPr>
          <w:trHeight w:val="250"/>
        </w:trPr>
        <w:tc>
          <w:tcPr>
            <w:tcW w:w="6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407,574</w:t>
            </w:r>
          </w:p>
        </w:tc>
        <w:tc>
          <w:tcPr>
            <w:tcW w:w="74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w:t>
            </w:r>
          </w:p>
        </w:tc>
        <w:tc>
          <w:tcPr>
            <w:tcW w:w="1500" w:type="dxa"/>
            <w:vAlign w:val="bottom"/>
          </w:tcPr>
          <w:p>
            <w:pPr>
              <w:jc w:val="right"/>
              <w:ind w:right="21"/>
              <w:spacing w:after="0"/>
              <w:rPr>
                <w:sz w:val="20"/>
                <w:szCs w:val="20"/>
                <w:color w:val="auto"/>
              </w:rPr>
            </w:pPr>
            <w:r>
              <w:rPr>
                <w:rFonts w:ascii="Arial" w:cs="Arial" w:eastAsia="Arial" w:hAnsi="Arial"/>
                <w:sz w:val="16"/>
                <w:szCs w:val="16"/>
                <w:b w:val="1"/>
                <w:bCs w:val="1"/>
                <w:color w:val="auto"/>
              </w:rPr>
              <w:t>25,357</w:t>
            </w:r>
          </w:p>
        </w:tc>
      </w:tr>
      <w:tr>
        <w:trPr>
          <w:trHeight w:val="263"/>
        </w:trPr>
        <w:tc>
          <w:tcPr>
            <w:tcW w:w="686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Allowance</w:t>
            </w:r>
          </w:p>
        </w:tc>
        <w:tc>
          <w:tcPr>
            <w:tcW w:w="780" w:type="dxa"/>
            <w:vAlign w:val="bottom"/>
            <w:tcBorders>
              <w:top w:val="single" w:sz="8" w:color="CCEEFF"/>
              <w:bottom w:val="single" w:sz="8" w:color="auto"/>
            </w:tcBorders>
            <w:shd w:val="clear" w:color="auto" w:fill="CCEEFF"/>
          </w:tcPr>
          <w:p>
            <w:pPr>
              <w:spacing w:after="0"/>
              <w:rPr>
                <w:sz w:val="22"/>
                <w:szCs w:val="22"/>
                <w:color w:val="auto"/>
              </w:rPr>
            </w:pPr>
          </w:p>
        </w:tc>
        <w:tc>
          <w:tcPr>
            <w:tcW w:w="13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(28,124)</w:t>
            </w:r>
          </w:p>
        </w:tc>
        <w:tc>
          <w:tcPr>
            <w:tcW w:w="10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spacing w:after="0"/>
              <w:rPr>
                <w:sz w:val="22"/>
                <w:szCs w:val="22"/>
                <w:color w:val="auto"/>
              </w:rPr>
            </w:pPr>
          </w:p>
        </w:tc>
        <w:tc>
          <w:tcPr>
            <w:tcW w:w="1500" w:type="dxa"/>
            <w:vAlign w:val="bottom"/>
            <w:tcBorders>
              <w:top w:val="single" w:sz="8" w:color="auto"/>
            </w:tcBorders>
            <w:shd w:val="clear" w:color="auto" w:fill="CCEEFF"/>
          </w:tcPr>
          <w:p>
            <w:pPr>
              <w:spacing w:after="0"/>
              <w:rPr>
                <w:sz w:val="22"/>
                <w:szCs w:val="22"/>
                <w:color w:val="auto"/>
              </w:rPr>
            </w:pPr>
          </w:p>
        </w:tc>
      </w:tr>
      <w:tr>
        <w:trPr>
          <w:trHeight w:val="250"/>
        </w:trPr>
        <w:tc>
          <w:tcPr>
            <w:tcW w:w="68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Net balance</w:t>
            </w:r>
          </w:p>
        </w:tc>
        <w:tc>
          <w:tcPr>
            <w:tcW w:w="7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379,450</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spacing w:after="0"/>
              <w:rPr>
                <w:sz w:val="21"/>
                <w:szCs w:val="21"/>
                <w:color w:val="auto"/>
              </w:rPr>
            </w:pPr>
          </w:p>
        </w:tc>
        <w:tc>
          <w:tcPr>
            <w:tcW w:w="1500" w:type="dxa"/>
            <w:vAlign w:val="bottom"/>
            <w:tcBorders>
              <w:bottom w:val="single" w:sz="8" w:color="CCEEFF"/>
            </w:tcBorders>
          </w:tcPr>
          <w:p>
            <w:pPr>
              <w:spacing w:after="0"/>
              <w:rPr>
                <w:sz w:val="21"/>
                <w:szCs w:val="21"/>
                <w:color w:val="auto"/>
              </w:rPr>
            </w:pPr>
          </w:p>
        </w:tc>
      </w:tr>
      <w:tr>
        <w:trPr>
          <w:trHeight w:val="122"/>
        </w:trPr>
        <w:tc>
          <w:tcPr>
            <w:tcW w:w="67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spacing w:after="0"/>
              <w:rPr>
                <w:sz w:val="10"/>
                <w:szCs w:val="10"/>
                <w:color w:val="auto"/>
              </w:rPr>
            </w:pPr>
          </w:p>
        </w:tc>
        <w:tc>
          <w:tcPr>
            <w:tcW w:w="1500" w:type="dxa"/>
            <w:vAlign w:val="bottom"/>
            <w:tcBorders>
              <w:bottom w:val="single" w:sz="8" w:color="auto"/>
            </w:tcBorders>
            <w:shd w:val="clear" w:color="auto" w:fill="CCEEFF"/>
          </w:tcPr>
          <w:p>
            <w:pPr>
              <w:spacing w:after="0"/>
              <w:rPr>
                <w:sz w:val="10"/>
                <w:szCs w:val="10"/>
                <w:color w:val="auto"/>
              </w:rPr>
            </w:pPr>
          </w:p>
        </w:tc>
      </w:tr>
    </w:tbl>
    <w:p>
      <w:pPr>
        <w:spacing w:after="0" w:line="301" w:lineRule="exact"/>
        <w:rPr>
          <w:sz w:val="20"/>
          <w:szCs w:val="20"/>
          <w:color w:val="auto"/>
        </w:rPr>
      </w:pPr>
    </w:p>
    <w:p>
      <w:pPr>
        <w:jc w:val="both"/>
        <w:ind w:firstLine="216"/>
        <w:spacing w:after="0" w:line="287" w:lineRule="auto"/>
        <w:rPr>
          <w:sz w:val="20"/>
          <w:szCs w:val="20"/>
          <w:color w:val="auto"/>
        </w:rPr>
      </w:pPr>
      <w:r>
        <w:rPr>
          <w:rFonts w:ascii="Arial" w:cs="Arial" w:eastAsia="Arial" w:hAnsi="Arial"/>
          <w:sz w:val="18"/>
          <w:szCs w:val="18"/>
          <w:b w:val="1"/>
          <w:bCs w:val="1"/>
          <w:color w:val="auto"/>
        </w:rPr>
        <w:t xml:space="preserve">ALLOWANCE FOR DOUBTFUL ACCOUNTS </w:t>
      </w:r>
      <w:r>
        <w:rPr>
          <w:rFonts w:ascii="Arial" w:cs="Arial" w:eastAsia="Arial" w:hAnsi="Arial"/>
          <w:sz w:val="18"/>
          <w:szCs w:val="18"/>
          <w:color w:val="auto"/>
        </w:rPr>
        <w:t>– Activity in the allowance for doubtful accounts for our EA and all other short-term and</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receivables for the nine months ended January 31, 2020 and 2019 is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5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EAs</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All Other</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Total</w:t>
            </w:r>
          </w:p>
        </w:tc>
      </w:tr>
      <w:tr>
        <w:trPr>
          <w:trHeight w:val="256"/>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2019</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27,535</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53,938</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81,473</w:t>
            </w:r>
          </w:p>
        </w:tc>
      </w:tr>
      <w:tr>
        <w:trPr>
          <w:trHeight w:val="260"/>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Provision</w:t>
            </w:r>
          </w:p>
        </w:tc>
        <w:tc>
          <w:tcPr>
            <w:tcW w:w="6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b w:val="1"/>
                <w:bCs w:val="1"/>
                <w:color w:val="auto"/>
              </w:rPr>
              <w:t>17,862</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19,655</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b w:val="1"/>
                <w:bCs w:val="1"/>
                <w:color w:val="auto"/>
              </w:rPr>
              <w:t>37,517</w:t>
            </w:r>
          </w:p>
        </w:tc>
      </w:tr>
      <w:tr>
        <w:trPr>
          <w:trHeight w:val="273"/>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Charge-offs, recoveries and other</w:t>
            </w: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(17,273)</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(55,101)</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(72,374)</w:t>
            </w:r>
          </w:p>
        </w:tc>
      </w:tr>
      <w:tr>
        <w:trPr>
          <w:trHeight w:val="250"/>
        </w:trPr>
        <w:tc>
          <w:tcPr>
            <w:tcW w:w="5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Balances as of January 31, 2020</w:t>
            </w: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28,124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18,492</w:t>
            </w:r>
          </w:p>
        </w:tc>
        <w:tc>
          <w:tcPr>
            <w:tcW w:w="1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46,616</w:t>
            </w:r>
          </w:p>
        </w:tc>
      </w:tr>
      <w:tr>
        <w:trPr>
          <w:trHeight w:val="284"/>
        </w:trPr>
        <w:tc>
          <w:tcPr>
            <w:tcW w:w="5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0"/>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Balances as of April 30, 2018</w:t>
            </w: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26,622</w:t>
            </w:r>
          </w:p>
        </w:tc>
        <w:tc>
          <w:tcPr>
            <w:tcW w:w="100" w:type="dxa"/>
            <w:vAlign w:val="bottom"/>
          </w:tcPr>
          <w:p>
            <w:pPr>
              <w:spacing w:after="0"/>
              <w:rPr>
                <w:sz w:val="22"/>
                <w:szCs w:val="22"/>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55,191</w:t>
            </w:r>
          </w:p>
        </w:tc>
        <w:tc>
          <w:tcPr>
            <w:tcW w:w="100" w:type="dxa"/>
            <w:vAlign w:val="bottom"/>
          </w:tcPr>
          <w:p>
            <w:pPr>
              <w:spacing w:after="0"/>
              <w:rPr>
                <w:sz w:val="22"/>
                <w:szCs w:val="22"/>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81,813</w:t>
            </w:r>
          </w:p>
        </w:tc>
      </w:tr>
      <w:tr>
        <w:trPr>
          <w:trHeight w:val="28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w:t>
            </w: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18,254</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16,755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35,009</w:t>
            </w:r>
          </w:p>
        </w:tc>
      </w:tr>
      <w:tr>
        <w:trPr>
          <w:trHeight w:val="263"/>
        </w:trPr>
        <w:tc>
          <w:tcPr>
            <w:tcW w:w="56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Charge-offs, recoveries and other</w:t>
            </w: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(16,359)</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(55,459)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(71,818)</w:t>
            </w:r>
          </w:p>
        </w:tc>
      </w:tr>
      <w:tr>
        <w:trPr>
          <w:trHeight w:val="25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January 31, 2019</w:t>
            </w: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28,517</w:t>
            </w:r>
          </w:p>
        </w:tc>
        <w:tc>
          <w:tcPr>
            <w:tcW w:w="100" w:type="dxa"/>
            <w:vAlign w:val="bottom"/>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16,487</w:t>
            </w: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45,004</w:t>
            </w:r>
          </w:p>
        </w:tc>
      </w:tr>
      <w:tr>
        <w:trPr>
          <w:trHeight w:val="122"/>
        </w:trPr>
        <w:tc>
          <w:tcPr>
            <w:tcW w:w="5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January 31, 2020 and 2019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17"/>
        </w:trPr>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color w:val="auto"/>
              </w:rPr>
              <w:t>Accumulated Impairment</w:t>
            </w:r>
          </w:p>
        </w:tc>
        <w:tc>
          <w:tcPr>
            <w:tcW w:w="7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8"/>
        </w:trPr>
        <w:tc>
          <w:tcPr>
            <w:tcW w:w="48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Goodwill</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Losses</w:t>
            </w: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Net</w:t>
            </w:r>
          </w:p>
        </w:tc>
      </w:tr>
      <w:tr>
        <w:trPr>
          <w:trHeight w:val="256"/>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Balances as of April 30, 2019</w:t>
            </w: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552,234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519,937</w:t>
            </w:r>
          </w:p>
        </w:tc>
      </w:tr>
      <w:tr>
        <w:trPr>
          <w:trHeight w:val="260"/>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Acquisition of Wave</w:t>
            </w:r>
          </w:p>
        </w:tc>
        <w:tc>
          <w:tcPr>
            <w:tcW w:w="720" w:type="dxa"/>
            <w:vAlign w:val="bottom"/>
          </w:tcPr>
          <w:p>
            <w:pPr>
              <w:spacing w:after="0"/>
              <w:rPr>
                <w:sz w:val="22"/>
                <w:szCs w:val="22"/>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b w:val="1"/>
                <w:bCs w:val="1"/>
                <w:color w:val="auto"/>
              </w:rPr>
              <w:t>300,560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b w:val="1"/>
                <w:bCs w:val="1"/>
                <w:color w:val="auto"/>
              </w:rPr>
              <w:t>300,560</w:t>
            </w:r>
          </w:p>
        </w:tc>
      </w:tr>
      <w:tr>
        <w:trPr>
          <w:trHeight w:val="28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Acquisitions</w:t>
            </w:r>
          </w:p>
        </w:tc>
        <w:tc>
          <w:tcPr>
            <w:tcW w:w="7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23,421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23,421</w:t>
            </w:r>
          </w:p>
        </w:tc>
      </w:tr>
      <w:tr>
        <w:trPr>
          <w:trHeight w:val="260"/>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7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(5,088)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(5,088)</w:t>
            </w:r>
          </w:p>
        </w:tc>
      </w:tr>
      <w:tr>
        <w:trPr>
          <w:trHeight w:val="27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Impairments</w:t>
            </w:r>
          </w:p>
        </w:tc>
        <w:tc>
          <w:tcPr>
            <w:tcW w:w="7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50"/>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Balances as of January 31, 2020</w:t>
            </w: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871,127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(32,297)</w:t>
            </w:r>
          </w:p>
        </w:tc>
        <w:tc>
          <w:tcPr>
            <w:tcW w:w="1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838,830</w:t>
            </w:r>
          </w:p>
        </w:tc>
      </w:tr>
      <w:tr>
        <w:trPr>
          <w:trHeight w:val="122"/>
        </w:trPr>
        <w:tc>
          <w:tcPr>
            <w:tcW w:w="4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r>
      <w:tr>
        <w:trPr>
          <w:trHeight w:val="260"/>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Balances as of April 30, 2018</w:t>
            </w: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540,168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tcPr>
          <w:p>
            <w:pPr>
              <w:spacing w:after="0"/>
              <w:rPr>
                <w:sz w:val="22"/>
                <w:szCs w:val="22"/>
                <w:color w:val="auto"/>
              </w:rPr>
            </w:pPr>
          </w:p>
        </w:tc>
        <w:tc>
          <w:tcPr>
            <w:tcW w:w="72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507,871</w:t>
            </w:r>
          </w:p>
        </w:tc>
      </w:tr>
      <w:tr>
        <w:trPr>
          <w:trHeight w:val="280"/>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Acquisitions</w:t>
            </w:r>
          </w:p>
        </w:tc>
        <w:tc>
          <w:tcPr>
            <w:tcW w:w="7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13,076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13,076</w:t>
            </w:r>
          </w:p>
        </w:tc>
      </w:tr>
      <w:tr>
        <w:trPr>
          <w:trHeight w:val="260"/>
        </w:trPr>
        <w:tc>
          <w:tcPr>
            <w:tcW w:w="4940" w:type="dxa"/>
            <w:vAlign w:val="bottom"/>
            <w:gridSpan w:val="2"/>
          </w:tcPr>
          <w:p>
            <w:pPr>
              <w:ind w:left="40"/>
              <w:spacing w:after="0"/>
              <w:rPr>
                <w:sz w:val="20"/>
                <w:szCs w:val="20"/>
                <w:color w:val="auto"/>
              </w:rPr>
            </w:pPr>
            <w:r>
              <w:rPr>
                <w:rFonts w:ascii="Arial" w:cs="Arial" w:eastAsia="Arial" w:hAnsi="Arial"/>
                <w:sz w:val="16"/>
                <w:szCs w:val="16"/>
                <w:color w:val="auto"/>
              </w:rPr>
              <w:t>Disposals and foreign currency changes, net</w:t>
            </w:r>
          </w:p>
        </w:tc>
        <w:tc>
          <w:tcPr>
            <w:tcW w:w="7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7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(942)</w:t>
            </w:r>
          </w:p>
        </w:tc>
      </w:tr>
      <w:tr>
        <w:trPr>
          <w:trHeight w:val="273"/>
        </w:trPr>
        <w:tc>
          <w:tcPr>
            <w:tcW w:w="4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Impairments</w:t>
            </w:r>
          </w:p>
        </w:tc>
        <w:tc>
          <w:tcPr>
            <w:tcW w:w="7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Balances as of January 31, 2019</w:t>
            </w: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552,302</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(32,297)</w:t>
            </w:r>
          </w:p>
        </w:tc>
        <w:tc>
          <w:tcPr>
            <w:tcW w:w="12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520,005</w:t>
            </w:r>
          </w:p>
        </w:tc>
      </w:tr>
      <w:tr>
        <w:trPr>
          <w:trHeight w:val="162"/>
        </w:trPr>
        <w:tc>
          <w:tcPr>
            <w:tcW w:w="484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90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spacing w:after="0"/>
              <w:rPr>
                <w:sz w:val="14"/>
                <w:szCs w:val="14"/>
                <w:color w:val="auto"/>
              </w:rPr>
            </w:pPr>
          </w:p>
        </w:tc>
      </w:tr>
    </w:tbl>
    <w:p>
      <w:pPr>
        <w:spacing w:after="0" w:line="323" w:lineRule="exact"/>
        <w:rPr>
          <w:sz w:val="20"/>
          <w:szCs w:val="20"/>
          <w:color w:val="auto"/>
        </w:rPr>
      </w:pPr>
    </w:p>
    <w:p>
      <w:pPr>
        <w:jc w:val="both"/>
        <w:ind w:right="20" w:firstLine="216"/>
        <w:spacing w:after="0" w:line="261" w:lineRule="auto"/>
        <w:rPr>
          <w:sz w:val="20"/>
          <w:szCs w:val="20"/>
          <w:color w:val="auto"/>
        </w:rPr>
      </w:pPr>
      <w:r>
        <w:rPr>
          <w:rFonts w:ascii="Arial" w:cs="Arial" w:eastAsia="Arial" w:hAnsi="Arial"/>
          <w:sz w:val="18"/>
          <w:szCs w:val="18"/>
          <w:color w:val="auto"/>
        </w:rPr>
        <w:t>We test goodwill for impairment annually in our fourth quarter, or more frequently if events occur or circumstances change which would, more likely than not, reduce the fair value of a reporting unit below its carrying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280670</wp:posOffset>
            </wp:positionV>
            <wp:extent cx="2228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11</w:t>
      </w:r>
    </w:p>
    <w:p>
      <w:pPr>
        <w:sectPr>
          <w:pgSz w:w="11900" w:h="16838" w:orient="portrait"/>
          <w:cols w:equalWidth="0" w:num="1">
            <w:col w:w="11240"/>
          </w:cols>
          <w:pgMar w:left="320" w:top="249"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Components of intangible assets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rPr>
              <w:t>(in 000s)</w:t>
            </w:r>
          </w:p>
        </w:tc>
      </w:tr>
      <w:tr>
        <w:trPr>
          <w:trHeight w:val="217"/>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Gross</w:t>
            </w: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9"/>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Carrying</w:t>
            </w:r>
          </w:p>
        </w:tc>
        <w:tc>
          <w:tcPr>
            <w:tcW w:w="440" w:type="dxa"/>
            <w:vAlign w:val="bottom"/>
          </w:tcPr>
          <w:p>
            <w:pPr>
              <w:spacing w:after="0"/>
              <w:rPr>
                <w:sz w:val="16"/>
                <w:szCs w:val="16"/>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Accumulated</w:t>
            </w: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8"/>
        </w:trPr>
        <w:tc>
          <w:tcPr>
            <w:tcW w:w="55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Amount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Amortization</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Net</w:t>
            </w: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 of January 31, 2020:</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364,376</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(153,392)</w:t>
            </w:r>
          </w:p>
        </w:tc>
        <w:tc>
          <w:tcPr>
            <w:tcW w:w="100" w:type="dxa"/>
            <w:vAlign w:val="bottom"/>
          </w:tcPr>
          <w:p>
            <w:pPr>
              <w:spacing w:after="0"/>
              <w:rPr>
                <w:sz w:val="22"/>
                <w:szCs w:val="22"/>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210,984</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313,521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(219,664)</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93,857</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154,962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(116,383)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38,579</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41,386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(33,151)</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8,235</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19,201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(14,294)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4,907</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122,801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(53,525)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69,276</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Trade name</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b w:val="1"/>
                <w:bCs w:val="1"/>
                <w:color w:val="auto"/>
              </w:rPr>
              <w:t>5,800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(338)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b w:val="1"/>
                <w:bCs w:val="1"/>
                <w:color w:val="auto"/>
              </w:rPr>
              <w:t>5,462</w:t>
            </w:r>
          </w:p>
        </w:tc>
      </w:tr>
      <w:tr>
        <w:trPr>
          <w:trHeight w:val="280"/>
        </w:trPr>
        <w:tc>
          <w:tcPr>
            <w:tcW w:w="564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6"/>
                <w:szCs w:val="26"/>
                <w:color w:val="auto"/>
                <w:vertAlign w:val="superscript"/>
              </w:rPr>
              <w:t>(1)</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1,774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1,774</w:t>
            </w:r>
          </w:p>
        </w:tc>
      </w:tr>
      <w:tr>
        <w:trPr>
          <w:trHeight w:val="243"/>
        </w:trPr>
        <w:tc>
          <w:tcPr>
            <w:tcW w:w="55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1,023,821</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(590,747)</w:t>
            </w: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433,074</w:t>
            </w:r>
          </w:p>
        </w:tc>
      </w:tr>
      <w:tr>
        <w:trPr>
          <w:trHeight w:val="270"/>
        </w:trPr>
        <w:tc>
          <w:tcPr>
            <w:tcW w:w="56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As of January 31, 2019:</w:t>
            </w:r>
          </w:p>
        </w:tc>
        <w:tc>
          <w:tcPr>
            <w:tcW w:w="5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Reacquired franchise rights</w:t>
            </w: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350,459</w:t>
            </w:r>
          </w:p>
        </w:tc>
        <w:tc>
          <w:tcPr>
            <w:tcW w:w="100" w:type="dxa"/>
            <w:vAlign w:val="bottom"/>
          </w:tcPr>
          <w:p>
            <w:pPr>
              <w:spacing w:after="0"/>
              <w:rPr>
                <w:sz w:val="22"/>
                <w:szCs w:val="22"/>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(130,618)</w:t>
            </w:r>
          </w:p>
        </w:tc>
        <w:tc>
          <w:tcPr>
            <w:tcW w:w="100" w:type="dxa"/>
            <w:vAlign w:val="bottom"/>
          </w:tcPr>
          <w:p>
            <w:pPr>
              <w:spacing w:after="0"/>
              <w:rPr>
                <w:sz w:val="22"/>
                <w:szCs w:val="22"/>
                <w:color w:val="auto"/>
              </w:rPr>
            </w:pPr>
          </w:p>
        </w:tc>
        <w:tc>
          <w:tcPr>
            <w:tcW w:w="62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219,841</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274,293</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(187,080)</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87,213</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Internally-developed software</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147,465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(119,664)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27,801</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Noncompete agreements</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33,369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(31,040)</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2,329</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Franchise agreements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19,201</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(13,014)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6,187</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Purchased technology</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54,700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(42,082)</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12,618</w:t>
            </w:r>
          </w:p>
        </w:tc>
      </w:tr>
      <w:tr>
        <w:trPr>
          <w:trHeight w:val="270"/>
        </w:trPr>
        <w:tc>
          <w:tcPr>
            <w:tcW w:w="564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6"/>
                <w:szCs w:val="26"/>
                <w:color w:val="auto"/>
                <w:vertAlign w:val="superscript"/>
              </w:rPr>
              <w:t>(1)</w:t>
            </w:r>
          </w:p>
        </w:tc>
        <w:tc>
          <w:tcPr>
            <w:tcW w:w="54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963</w:t>
            </w:r>
          </w:p>
        </w:tc>
      </w:tr>
      <w:tr>
        <w:trPr>
          <w:trHeight w:val="250"/>
        </w:trPr>
        <w:tc>
          <w:tcPr>
            <w:tcW w:w="55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880,450</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(523,498)</w:t>
            </w:r>
          </w:p>
        </w:tc>
        <w:tc>
          <w:tcPr>
            <w:tcW w:w="1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356,952</w:t>
            </w:r>
          </w:p>
        </w:tc>
      </w:tr>
      <w:tr>
        <w:trPr>
          <w:trHeight w:val="254"/>
        </w:trPr>
        <w:tc>
          <w:tcPr>
            <w:tcW w:w="5640" w:type="dxa"/>
            <w:vAlign w:val="bottom"/>
            <w:gridSpan w:val="2"/>
          </w:tcPr>
          <w:p>
            <w:pPr>
              <w:ind w:left="40"/>
              <w:spacing w:after="0"/>
              <w:rPr>
                <w:sz w:val="20"/>
                <w:szCs w:val="20"/>
                <w:color w:val="auto"/>
              </w:rPr>
            </w:pPr>
            <w:r>
              <w:rPr>
                <w:rFonts w:ascii="Arial" w:cs="Arial" w:eastAsia="Arial" w:hAnsi="Arial"/>
                <w:sz w:val="16"/>
                <w:szCs w:val="16"/>
                <w:color w:val="auto"/>
              </w:rPr>
              <w:t>As of April 30, 2019:</w:t>
            </w:r>
          </w:p>
        </w:tc>
        <w:tc>
          <w:tcPr>
            <w:tcW w:w="5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Reacquired franchise rights</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350,410</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(136,345)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214,065</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Customer relationships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274,838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(195,174)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79,664</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Internally-developed software</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139,239</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(109,885)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29,354</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Noncompete agreements</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33,376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(31,446)</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1,930</w:t>
            </w:r>
          </w:p>
        </w:tc>
      </w:tr>
      <w:tr>
        <w:trPr>
          <w:trHeight w:val="280"/>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agreements</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19,201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(13,334)</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5,867</w:t>
            </w:r>
          </w:p>
        </w:tc>
      </w:tr>
      <w:tr>
        <w:trPr>
          <w:trHeight w:val="260"/>
        </w:trPr>
        <w:tc>
          <w:tcPr>
            <w:tcW w:w="5640" w:type="dxa"/>
            <w:vAlign w:val="bottom"/>
            <w:gridSpan w:val="2"/>
          </w:tcPr>
          <w:p>
            <w:pPr>
              <w:ind w:left="180"/>
              <w:spacing w:after="0"/>
              <w:rPr>
                <w:sz w:val="20"/>
                <w:szCs w:val="20"/>
                <w:color w:val="auto"/>
              </w:rPr>
            </w:pPr>
            <w:r>
              <w:rPr>
                <w:rFonts w:ascii="Arial" w:cs="Arial" w:eastAsia="Arial" w:hAnsi="Arial"/>
                <w:sz w:val="16"/>
                <w:szCs w:val="16"/>
                <w:color w:val="auto"/>
              </w:rPr>
              <w:t>Purchased technology</w:t>
            </w:r>
          </w:p>
        </w:tc>
        <w:tc>
          <w:tcPr>
            <w:tcW w:w="540" w:type="dxa"/>
            <w:vAlign w:val="bottom"/>
          </w:tcPr>
          <w:p>
            <w:pPr>
              <w:spacing w:after="0"/>
              <w:rPr>
                <w:sz w:val="22"/>
                <w:szCs w:val="22"/>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54,700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(43,518)</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11,182</w:t>
            </w:r>
          </w:p>
        </w:tc>
      </w:tr>
      <w:tr>
        <w:trPr>
          <w:trHeight w:val="280"/>
        </w:trPr>
        <w:tc>
          <w:tcPr>
            <w:tcW w:w="5640" w:type="dxa"/>
            <w:vAlign w:val="bottom"/>
            <w:gridSpan w:val="2"/>
            <w:shd w:val="clear" w:color="auto" w:fill="CCEEFF"/>
          </w:tcPr>
          <w:p>
            <w:pPr>
              <w:ind w:left="180"/>
              <w:spacing w:after="0" w:line="280" w:lineRule="exact"/>
              <w:rPr>
                <w:sz w:val="20"/>
                <w:szCs w:val="20"/>
                <w:color w:val="auto"/>
              </w:rPr>
            </w:pPr>
            <w:r>
              <w:rPr>
                <w:rFonts w:ascii="Arial" w:cs="Arial" w:eastAsia="Arial" w:hAnsi="Arial"/>
                <w:sz w:val="16"/>
                <w:szCs w:val="16"/>
                <w:color w:val="auto"/>
              </w:rPr>
              <w:t xml:space="preserve">Acquired assets pending final allocation </w:t>
            </w:r>
            <w:r>
              <w:rPr>
                <w:rFonts w:ascii="Arial" w:cs="Arial" w:eastAsia="Arial" w:hAnsi="Arial"/>
                <w:sz w:val="26"/>
                <w:szCs w:val="26"/>
                <w:color w:val="auto"/>
                <w:vertAlign w:val="superscript"/>
              </w:rPr>
              <w:t>(1)</w:t>
            </w:r>
          </w:p>
        </w:tc>
        <w:tc>
          <w:tcPr>
            <w:tcW w:w="5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431</w:t>
            </w:r>
          </w:p>
        </w:tc>
      </w:tr>
      <w:tr>
        <w:trPr>
          <w:trHeight w:val="244"/>
        </w:trPr>
        <w:tc>
          <w:tcPr>
            <w:tcW w:w="55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872,195</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(529,702)</w:t>
            </w: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342,493</w:t>
            </w:r>
          </w:p>
        </w:tc>
      </w:tr>
      <w:tr>
        <w:trPr>
          <w:trHeight w:val="121"/>
        </w:trPr>
        <w:tc>
          <w:tcPr>
            <w:tcW w:w="552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3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r>
    </w:tbl>
    <w:p>
      <w:pPr>
        <w:spacing w:after="0" w:line="11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24"/>
          <w:szCs w:val="24"/>
          <w:color w:val="auto"/>
          <w:vertAlign w:val="superscript"/>
        </w:rPr>
      </w:pPr>
      <w:r>
        <w:rPr>
          <w:rFonts w:ascii="Arial" w:cs="Arial" w:eastAsia="Arial" w:hAnsi="Arial"/>
          <w:sz w:val="14"/>
          <w:szCs w:val="14"/>
          <w:color w:val="auto"/>
        </w:rPr>
        <w:t>Represents franchisee and competitor business acquisitions for which final purchase price allocations have not yet been determined.</w:t>
      </w:r>
    </w:p>
    <w:p>
      <w:pPr>
        <w:spacing w:after="0" w:line="92"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We made payments to acquire franchisee and competitor tax businesses totaling $ 53.7 million and $42.4 million during the nine months ended January 31, 2020 and 2019, respectively. From the current period acquisitions, we have acquired approximately 224 U.S. franchisee and competitor tax offices. The amounts and weighted-average lives of intangible assets acquired during the nine months ended January 31, 2020, including amounts capitalized and placed in service related to internally-developed software, are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(dollars in 000s)</w:t>
            </w:r>
          </w:p>
        </w:tc>
      </w:tr>
      <w:tr>
        <w:trPr>
          <w:trHeight w:val="264"/>
        </w:trPr>
        <w:tc>
          <w:tcPr>
            <w:tcW w:w="60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Weighted-Average Life (in years)</w:t>
            </w:r>
          </w:p>
        </w:tc>
      </w:tr>
      <w:tr>
        <w:trPr>
          <w:trHeight w:val="263"/>
        </w:trPr>
        <w:tc>
          <w:tcPr>
            <w:tcW w:w="6080" w:type="dxa"/>
            <w:vAlign w:val="bottom"/>
          </w:tcPr>
          <w:p>
            <w:pPr>
              <w:ind w:left="40"/>
              <w:spacing w:after="0"/>
              <w:rPr>
                <w:sz w:val="20"/>
                <w:szCs w:val="20"/>
                <w:color w:val="auto"/>
              </w:rPr>
            </w:pPr>
            <w:r>
              <w:rPr>
                <w:rFonts w:ascii="Arial" w:cs="Arial" w:eastAsia="Arial" w:hAnsi="Arial"/>
                <w:sz w:val="16"/>
                <w:szCs w:val="16"/>
                <w:color w:val="auto"/>
              </w:rPr>
              <w:t>Reacquired franchise rights</w:t>
            </w:r>
          </w:p>
        </w:tc>
        <w:tc>
          <w:tcPr>
            <w:tcW w:w="720" w:type="dxa"/>
            <w:vAlign w:val="bottom"/>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13,940</w:t>
            </w:r>
          </w:p>
        </w:tc>
        <w:tc>
          <w:tcPr>
            <w:tcW w:w="3240" w:type="dxa"/>
            <w:vAlign w:val="bottom"/>
          </w:tcPr>
          <w:p>
            <w:pPr>
              <w:jc w:val="right"/>
              <w:ind w:right="1448"/>
              <w:spacing w:after="0"/>
              <w:rPr>
                <w:sz w:val="20"/>
                <w:szCs w:val="20"/>
                <w:color w:val="auto"/>
              </w:rPr>
            </w:pPr>
            <w:r>
              <w:rPr>
                <w:rFonts w:ascii="Arial" w:cs="Arial" w:eastAsia="Arial" w:hAnsi="Arial"/>
                <w:sz w:val="14"/>
                <w:szCs w:val="14"/>
                <w:b w:val="1"/>
                <w:bCs w:val="1"/>
                <w:color w:val="auto"/>
              </w:rPr>
              <w:t>5</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Customer relationships</w:t>
            </w:r>
          </w:p>
        </w:tc>
        <w:tc>
          <w:tcPr>
            <w:tcW w:w="72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18,079</w:t>
            </w:r>
          </w:p>
        </w:tc>
        <w:tc>
          <w:tcPr>
            <w:tcW w:w="3240" w:type="dxa"/>
            <w:vAlign w:val="bottom"/>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5</w:t>
            </w:r>
          </w:p>
        </w:tc>
      </w:tr>
      <w:tr>
        <w:trPr>
          <w:trHeight w:val="264"/>
        </w:trPr>
        <w:tc>
          <w:tcPr>
            <w:tcW w:w="6080" w:type="dxa"/>
            <w:vAlign w:val="bottom"/>
          </w:tcPr>
          <w:p>
            <w:pPr>
              <w:ind w:left="40"/>
              <w:spacing w:after="0"/>
              <w:rPr>
                <w:sz w:val="20"/>
                <w:szCs w:val="20"/>
                <w:color w:val="auto"/>
              </w:rPr>
            </w:pPr>
            <w:r>
              <w:rPr>
                <w:rFonts w:ascii="Arial" w:cs="Arial" w:eastAsia="Arial" w:hAnsi="Arial"/>
                <w:sz w:val="16"/>
                <w:szCs w:val="16"/>
                <w:color w:val="auto"/>
              </w:rPr>
              <w:t>Internally-developed software</w:t>
            </w:r>
          </w:p>
        </w:tc>
        <w:tc>
          <w:tcPr>
            <w:tcW w:w="72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12,659</w:t>
            </w:r>
          </w:p>
        </w:tc>
        <w:tc>
          <w:tcPr>
            <w:tcW w:w="3240" w:type="dxa"/>
            <w:vAlign w:val="bottom"/>
          </w:tcPr>
          <w:p>
            <w:pPr>
              <w:jc w:val="right"/>
              <w:ind w:right="1448"/>
              <w:spacing w:after="0"/>
              <w:rPr>
                <w:sz w:val="20"/>
                <w:szCs w:val="20"/>
                <w:color w:val="auto"/>
              </w:rPr>
            </w:pPr>
            <w:r>
              <w:rPr>
                <w:rFonts w:ascii="Arial" w:cs="Arial" w:eastAsia="Arial" w:hAnsi="Arial"/>
                <w:sz w:val="14"/>
                <w:szCs w:val="14"/>
                <w:b w:val="1"/>
                <w:bCs w:val="1"/>
                <w:color w:val="auto"/>
              </w:rPr>
              <w:t>3</w:t>
            </w:r>
          </w:p>
        </w:tc>
      </w:tr>
      <w:tr>
        <w:trPr>
          <w:trHeight w:val="276"/>
        </w:trPr>
        <w:tc>
          <w:tcPr>
            <w:tcW w:w="6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Noncompete agreements</w:t>
            </w:r>
          </w:p>
        </w:tc>
        <w:tc>
          <w:tcPr>
            <w:tcW w:w="7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642</w:t>
            </w:r>
          </w:p>
        </w:tc>
        <w:tc>
          <w:tcPr>
            <w:tcW w:w="3240" w:type="dxa"/>
            <w:vAlign w:val="bottom"/>
            <w:shd w:val="clear" w:color="auto" w:fill="CCEEFF"/>
          </w:tcPr>
          <w:p>
            <w:pPr>
              <w:jc w:val="right"/>
              <w:ind w:right="1448"/>
              <w:spacing w:after="0"/>
              <w:rPr>
                <w:sz w:val="20"/>
                <w:szCs w:val="20"/>
                <w:color w:val="auto"/>
              </w:rPr>
            </w:pPr>
            <w:r>
              <w:rPr>
                <w:rFonts w:ascii="Arial" w:cs="Arial" w:eastAsia="Arial" w:hAnsi="Arial"/>
                <w:sz w:val="14"/>
                <w:szCs w:val="14"/>
                <w:b w:val="1"/>
                <w:bCs w:val="1"/>
                <w:color w:val="auto"/>
              </w:rPr>
              <w:t>5</w:t>
            </w:r>
          </w:p>
        </w:tc>
      </w:tr>
      <w:tr>
        <w:trPr>
          <w:trHeight w:val="24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7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45,320</w:t>
            </w:r>
          </w:p>
        </w:tc>
        <w:tc>
          <w:tcPr>
            <w:tcW w:w="3240" w:type="dxa"/>
            <w:vAlign w:val="bottom"/>
            <w:tcBorders>
              <w:bottom w:val="single" w:sz="8" w:color="CCEEFF"/>
            </w:tcBorders>
          </w:tcPr>
          <w:p>
            <w:pPr>
              <w:jc w:val="right"/>
              <w:ind w:right="1448"/>
              <w:spacing w:after="0"/>
              <w:rPr>
                <w:sz w:val="20"/>
                <w:szCs w:val="20"/>
                <w:color w:val="auto"/>
              </w:rPr>
            </w:pPr>
            <w:r>
              <w:rPr>
                <w:rFonts w:ascii="Arial" w:cs="Arial" w:eastAsia="Arial" w:hAnsi="Arial"/>
                <w:sz w:val="14"/>
                <w:szCs w:val="14"/>
                <w:b w:val="1"/>
                <w:bCs w:val="1"/>
                <w:color w:val="auto"/>
              </w:rPr>
              <w:t>4</w:t>
            </w:r>
          </w:p>
        </w:tc>
      </w:tr>
      <w:tr>
        <w:trPr>
          <w:trHeight w:val="121"/>
        </w:trPr>
        <w:tc>
          <w:tcPr>
            <w:tcW w:w="6080" w:type="dxa"/>
            <w:vAlign w:val="bottom"/>
            <w:tcBorders>
              <w:bottom w:val="single" w:sz="8" w:color="auto"/>
            </w:tcBorders>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3240" w:type="dxa"/>
            <w:vAlign w:val="bottom"/>
            <w:tcBorders>
              <w:bottom w:val="single" w:sz="8" w:color="auto"/>
            </w:tcBorders>
            <w:shd w:val="clear" w:color="auto" w:fill="CCEEFF"/>
          </w:tcPr>
          <w:p>
            <w:pPr>
              <w:spacing w:after="0"/>
              <w:rPr>
                <w:sz w:val="10"/>
                <w:szCs w:val="10"/>
                <w:color w:val="auto"/>
              </w:rPr>
            </w:pPr>
          </w:p>
        </w:tc>
      </w:tr>
    </w:tbl>
    <w:p>
      <w:pPr>
        <w:spacing w:after="0" w:line="323"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Amortization of intangible assets for the three and nine months ended January 31, 2020 was $21.5 million and $61.3 million, respectively. Amortization of intangible assets for the three and nine months ended January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23114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ind w:left="400" w:hanging="290"/>
        <w:spacing w:after="0"/>
        <w:tabs>
          <w:tab w:leader="none" w:pos="400" w:val="left"/>
        </w:tabs>
        <w:numPr>
          <w:ilvl w:val="0"/>
          <w:numId w:val="8"/>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was $18.7 million and $54.5 million, respectively. Estimated amortization of intangible assets for fiscal years 2020, 2021, 2022, 2023 and 2024 is $83.0 million, $75.0 million, $58.9 million, $41.3 million and $30.8 million, respectively.</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LONG-TERM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long-term debt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January 31, 2020</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January 31, 2019</w:t>
            </w: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April 30, 2019</w:t>
            </w:r>
          </w:p>
        </w:tc>
      </w:tr>
      <w:tr>
        <w:trPr>
          <w:trHeight w:val="257"/>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4.125%, due October 2020</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650,000</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650,000</w:t>
            </w: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650,000</w:t>
            </w:r>
          </w:p>
        </w:tc>
      </w:tr>
      <w:tr>
        <w:trPr>
          <w:trHeight w:val="260"/>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Senior Notes, 5.500%, due November 2022</w:t>
            </w:r>
          </w:p>
        </w:tc>
        <w:tc>
          <w:tcPr>
            <w:tcW w:w="44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500,000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500,000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500,000</w:t>
            </w:r>
          </w:p>
        </w:tc>
      </w:tr>
      <w:tr>
        <w:trPr>
          <w:trHeight w:val="280"/>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Senior Notes, 5.250%, due October 2025</w:t>
            </w:r>
          </w:p>
        </w:tc>
        <w:tc>
          <w:tcPr>
            <w:tcW w:w="44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350,000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350,000</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350,000</w:t>
            </w:r>
          </w:p>
        </w:tc>
      </w:tr>
      <w:tr>
        <w:trPr>
          <w:trHeight w:val="260"/>
        </w:trPr>
        <w:tc>
          <w:tcPr>
            <w:tcW w:w="4400" w:type="dxa"/>
            <w:vAlign w:val="bottom"/>
            <w:gridSpan w:val="2"/>
          </w:tcPr>
          <w:p>
            <w:pPr>
              <w:ind w:left="40"/>
              <w:spacing w:after="0"/>
              <w:rPr>
                <w:sz w:val="20"/>
                <w:szCs w:val="20"/>
                <w:color w:val="auto"/>
              </w:rPr>
            </w:pPr>
            <w:r>
              <w:rPr>
                <w:rFonts w:ascii="Arial" w:cs="Arial" w:eastAsia="Arial" w:hAnsi="Arial"/>
                <w:sz w:val="16"/>
                <w:szCs w:val="16"/>
                <w:color w:val="auto"/>
              </w:rPr>
              <w:t>Committed line of credit borrowings</w:t>
            </w:r>
          </w:p>
        </w:tc>
        <w:tc>
          <w:tcPr>
            <w:tcW w:w="440" w:type="dxa"/>
            <w:vAlign w:val="bottom"/>
          </w:tcPr>
          <w:p>
            <w:pPr>
              <w:spacing w:after="0"/>
              <w:rPr>
                <w:sz w:val="22"/>
                <w:szCs w:val="22"/>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1,035,000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385,000</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Debt issuance costs and discounts</w:t>
            </w:r>
          </w:p>
        </w:tc>
        <w:tc>
          <w:tcPr>
            <w:tcW w:w="44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(5,389)</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(8,011)</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(7,371)</w:t>
            </w:r>
          </w:p>
        </w:tc>
      </w:tr>
      <w:tr>
        <w:trPr>
          <w:trHeight w:val="247"/>
        </w:trPr>
        <w:tc>
          <w:tcPr>
            <w:tcW w:w="4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2,529,611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1,876,989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20" w:type="dxa"/>
            <w:vAlign w:val="bottom"/>
          </w:tcPr>
          <w:p>
            <w:pPr>
              <w:jc w:val="right"/>
              <w:ind w:right="20"/>
              <w:spacing w:after="0"/>
              <w:rPr>
                <w:sz w:val="20"/>
                <w:szCs w:val="20"/>
                <w:color w:val="auto"/>
              </w:rPr>
            </w:pPr>
            <w:r>
              <w:rPr>
                <w:rFonts w:ascii="Arial" w:cs="Arial" w:eastAsia="Arial" w:hAnsi="Arial"/>
                <w:sz w:val="16"/>
                <w:szCs w:val="16"/>
                <w:color w:val="auto"/>
              </w:rPr>
              <w:t>1,492,629</w:t>
            </w:r>
          </w:p>
        </w:tc>
      </w:tr>
      <w:tr>
        <w:trPr>
          <w:trHeight w:val="273"/>
        </w:trPr>
        <w:tc>
          <w:tcPr>
            <w:tcW w:w="4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Current portion</w:t>
            </w:r>
          </w:p>
        </w:tc>
        <w:tc>
          <w:tcPr>
            <w:tcW w:w="440" w:type="dxa"/>
            <w:vAlign w:val="bottom"/>
            <w:shd w:val="clear" w:color="auto" w:fill="CCEEFF"/>
          </w:tcPr>
          <w:p>
            <w:pPr>
              <w:spacing w:after="0"/>
              <w:rPr>
                <w:sz w:val="23"/>
                <w:szCs w:val="23"/>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(649,022)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42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1,880,589</w:t>
            </w:r>
          </w:p>
        </w:tc>
        <w:tc>
          <w:tcPr>
            <w:tcW w:w="10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1,876,989</w:t>
            </w:r>
          </w:p>
        </w:tc>
        <w:tc>
          <w:tcPr>
            <w:tcW w:w="100" w:type="dxa"/>
            <w:vAlign w:val="bottom"/>
            <w:tcBorders>
              <w:bottom w:val="single" w:sz="8" w:color="CCEEFF"/>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1,492,629</w:t>
            </w:r>
          </w:p>
        </w:tc>
      </w:tr>
      <w:tr>
        <w:trPr>
          <w:trHeight w:val="121"/>
        </w:trPr>
        <w:tc>
          <w:tcPr>
            <w:tcW w:w="42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17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7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20" w:type="dxa"/>
            <w:vAlign w:val="bottom"/>
            <w:tcBorders>
              <w:bottom w:val="single" w:sz="8" w:color="auto"/>
            </w:tcBorders>
            <w:shd w:val="clear" w:color="auto" w:fill="CCEEFF"/>
          </w:tcPr>
          <w:p>
            <w:pPr>
              <w:spacing w:after="0"/>
              <w:rPr>
                <w:sz w:val="10"/>
                <w:szCs w:val="10"/>
                <w:color w:val="auto"/>
              </w:rPr>
            </w:pPr>
          </w:p>
        </w:tc>
        <w:tc>
          <w:tcPr>
            <w:tcW w:w="1620" w:type="dxa"/>
            <w:vAlign w:val="bottom"/>
            <w:tcBorders>
              <w:bottom w:val="single" w:sz="8" w:color="auto"/>
            </w:tcBorders>
            <w:shd w:val="clear" w:color="auto" w:fill="CCEEFF"/>
          </w:tcPr>
          <w:p>
            <w:pPr>
              <w:spacing w:after="0"/>
              <w:rPr>
                <w:sz w:val="10"/>
                <w:szCs w:val="10"/>
                <w:color w:val="auto"/>
              </w:rPr>
            </w:pPr>
          </w:p>
        </w:tc>
      </w:tr>
    </w:tbl>
    <w:p>
      <w:pPr>
        <w:spacing w:after="0" w:line="30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color w:val="auto"/>
        </w:rPr>
        <w:t xml:space="preserve">UNSECURED COMMITTED LINE OF CREDIT </w:t>
      </w:r>
      <w:r>
        <w:rPr>
          <w:rFonts w:ascii="Arial" w:cs="Arial" w:eastAsia="Arial" w:hAnsi="Arial"/>
          <w:sz w:val="18"/>
          <w:szCs w:val="18"/>
          <w:color w:val="auto"/>
        </w:rPr>
        <w:t>– Our unsecured committed line of credit (CLOC) provides for an unsecured senior</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credit facility in the aggregate principal amount of $2.0 billion, which includes a $200.0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September 21, 2023, unless extended pursuant to the terms of the CLOC, at which time all outstanding amounts thereunder will be due and payable. Our CLOC includes an annual facility fee, which will vary depending on our then current credit ratings.</w:t>
      </w:r>
    </w:p>
    <w:p>
      <w:pPr>
        <w:spacing w:after="0" w:line="96" w:lineRule="exact"/>
        <w:rPr>
          <w:sz w:val="20"/>
          <w:szCs w:val="20"/>
          <w:color w:val="auto"/>
        </w:rPr>
      </w:pPr>
    </w:p>
    <w:p>
      <w:pPr>
        <w:jc w:val="both"/>
        <w:ind w:firstLine="243"/>
        <w:spacing w:after="0" w:line="251" w:lineRule="auto"/>
        <w:rPr>
          <w:sz w:val="20"/>
          <w:szCs w:val="20"/>
          <w:color w:val="auto"/>
        </w:rPr>
      </w:pPr>
      <w:r>
        <w:rPr>
          <w:rFonts w:ascii="Arial" w:cs="Arial" w:eastAsia="Arial" w:hAnsi="Arial"/>
          <w:sz w:val="18"/>
          <w:szCs w:val="18"/>
          <w:color w:val="auto"/>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calculated on a consolidated basis of no greater than (a) 3.50 to 1.00 as of the last day of each fiscal quarter ending on April 30, July 31, and October 31 of each year and (b) 4.50 to 1.00 as of the last day of each fiscal quarter ending on January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purposes. We were in compliance with these requirements as of January 31, 2020.</w:t>
      </w:r>
    </w:p>
    <w:p>
      <w:pPr>
        <w:spacing w:after="0" w:line="103"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We had an outstanding balance of $1.0 billion under the CLOC as of January 31, 2020, and amounts available to borrow were limited by the debt-to-EBITDA covenant to approximately $751 million as of January 31, 2020.</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Senior Notes due in October 2020 are classified as a current liability as of January 31, 2020 because such amounts are due within one year. We are considering various financing options in regard to the maturing Senior Notes. The estimated fair value of our long-term debt, including the current portion of long-term debt, as of January 31, 2020 and 2019 and April 30, 2019 totaled $2.6 billion, $1.9 billion and $1.6 billion,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file a consolidated federal income tax return in the U.S. with the IRS and file tax returns in various state, local, and foreign jurisdictions. Tax returns are typically examined and either settled upon completion of the examination or through the appeals process. Our U.S. federal income tax returns for 2017 and 2018 remain open for examination. Our U.S. federal income tax returns for 2016 and all prior periods are closed. With respect to state and local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284480</wp:posOffset>
            </wp:positionV>
            <wp:extent cx="2228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13</w:t>
      </w:r>
    </w:p>
    <w:p>
      <w:pPr>
        <w:sectPr>
          <w:pgSz w:w="11900" w:h="16838" w:orient="portrait"/>
          <w:cols w:equalWidth="0" w:num="1">
            <w:col w:w="11240"/>
          </w:cols>
          <w:pgMar w:left="320" w:top="249" w:right="3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and countries outside of the U.S., we are typically subject to examination for three to six years after the income tax returns have been filed.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spacing w:after="0" w:line="96"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We had gross unrecognized tax benefits of $148.7 million, $178.1 million and $185.1 million as of January 31, 2020 and 2019 and April 30, 2019, respectively. The gross unrecognized tax benefits decreased $36.4 million and $ 8.0 million during the nine months ended January 31, 2020 and 2019, respectively. The decrease in unrecognized tax benefits during the nine months ending January 31, 2020 is primarily related to federal and state statute of limitation periods expiring in the fiscal year and favorable audit settlements. We believe it is reasonably possible that the balance of unrecognized tax benefits could decrease by approximately $14.9 million within the next twelve months. The anticipated decrease is due to the expiration of statutes of limitations and anticipated closure of various state matters currently under exam. For such matters where a change in the balance of unrecognized tax benefits is not yet deemed reasonably possible, no estimate has been included.</w:t>
      </w:r>
    </w:p>
    <w:p>
      <w:pPr>
        <w:spacing w:after="0" w:line="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Consistent with prior years, our pretax loss for the nine months ended January 31, 2020 is expected to be offset by income in the fourth quarter due to the established pattern of seasonality in our primary business operations. As such, management has determined that it is more-likely-than-not that realization of tax benefits recorded in our financial statements will occur within our fiscal year. The amount of tax benefit recorded for the nine months ended January 31, 2020 reflects management’s estimate of the annual effective tax rate applied to the year-to-date loss from continuing operations adjusted for the tax impact of discrete items for the periods presented.</w:t>
      </w:r>
    </w:p>
    <w:p>
      <w:pPr>
        <w:spacing w:after="0" w:line="9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 discrete income tax benefit of $27.7 million was recorded in the nine months ended January 31, 2020 compared to a discrete tax benefit of $8.9 million in the same period of the prior year. The discrete tax benefit recorded in the current period primarily resulted from the settlement of various matters, including expiration of statute of limitations and resolution with tax authorities, and valuation allowance changes related to utilization of foreign losses. The discrete tax benefit recorded in the prior year resulted primarily from favorable audit settlements.</w:t>
      </w:r>
    </w:p>
    <w:p>
      <w:pPr>
        <w:spacing w:after="0" w:line="97"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Our effective tax rate for continuing operations, including the effects of discrete tax items, was 29.2% and 25.4% for the nine months ended January 31, 2020 and 2019, respectively. Discrete items increased the effective tax rate for the nine months ended January 31, 2020 and 2019 by 4.3% and 1.5%, respectively. Due to the loss in both periods, a discrete tax benefit in either period increases the tax rate while an item of discrete tax expense decreases the tax rate. The impact of discrete tax items combined with the seasonal nature of our business can cause the effective tax rate through our third quarter to be significantly different than the rate for our full fiscal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OTHER INCOME AND OTHER EXPENSES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 net: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color w:val="auto"/>
              </w:rPr>
              <w:t>(in 000s)</w:t>
            </w:r>
          </w:p>
        </w:tc>
      </w:tr>
      <w:tr>
        <w:trPr>
          <w:trHeight w:val="263"/>
        </w:trPr>
        <w:tc>
          <w:tcPr>
            <w:tcW w:w="4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80" w:type="dxa"/>
            <w:vAlign w:val="bottom"/>
            <w:gridSpan w:val="5"/>
          </w:tcPr>
          <w:p>
            <w:pPr>
              <w:ind w:left="160"/>
              <w:spacing w:after="0"/>
              <w:rPr>
                <w:sz w:val="20"/>
                <w:szCs w:val="20"/>
                <w:color w:val="auto"/>
              </w:rPr>
            </w:pPr>
            <w:r>
              <w:rPr>
                <w:rFonts w:ascii="Arial" w:cs="Arial" w:eastAsia="Arial" w:hAnsi="Arial"/>
                <w:sz w:val="16"/>
                <w:szCs w:val="16"/>
                <w:color w:val="auto"/>
              </w:rPr>
              <w:t>Three months ended January 31,</w:t>
            </w:r>
          </w:p>
        </w:tc>
        <w:tc>
          <w:tcPr>
            <w:tcW w:w="300" w:type="dxa"/>
            <w:vAlign w:val="bottom"/>
          </w:tcPr>
          <w:p>
            <w:pPr>
              <w:spacing w:after="0"/>
              <w:rPr>
                <w:sz w:val="22"/>
                <w:szCs w:val="22"/>
                <w:color w:val="auto"/>
              </w:rPr>
            </w:pPr>
          </w:p>
        </w:tc>
        <w:tc>
          <w:tcPr>
            <w:tcW w:w="2940" w:type="dxa"/>
            <w:vAlign w:val="bottom"/>
            <w:gridSpan w:val="4"/>
          </w:tcPr>
          <w:p>
            <w:pPr>
              <w:jc w:val="right"/>
              <w:ind w:right="381"/>
              <w:spacing w:after="0"/>
              <w:rPr>
                <w:sz w:val="20"/>
                <w:szCs w:val="20"/>
                <w:color w:val="auto"/>
              </w:rPr>
            </w:pPr>
            <w:r>
              <w:rPr>
                <w:rFonts w:ascii="Arial" w:cs="Arial" w:eastAsia="Arial" w:hAnsi="Arial"/>
                <w:sz w:val="16"/>
                <w:szCs w:val="16"/>
                <w:color w:val="auto"/>
              </w:rPr>
              <w:t>Nine months ended January 31,</w:t>
            </w:r>
          </w:p>
        </w:tc>
      </w:tr>
      <w:tr>
        <w:trPr>
          <w:trHeight w:val="263"/>
        </w:trPr>
        <w:tc>
          <w:tcPr>
            <w:tcW w:w="4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2019</w:t>
            </w:r>
          </w:p>
        </w:tc>
      </w:tr>
      <w:tr>
        <w:trPr>
          <w:trHeight w:val="257"/>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2,397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2,258</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12,648</w:t>
            </w: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11,260</w:t>
            </w:r>
          </w:p>
        </w:tc>
      </w:tr>
      <w:tr>
        <w:trPr>
          <w:trHeight w:val="260"/>
        </w:trPr>
        <w:tc>
          <w:tcPr>
            <w:tcW w:w="4620" w:type="dxa"/>
            <w:vAlign w:val="bottom"/>
            <w:gridSpan w:val="2"/>
          </w:tcPr>
          <w:p>
            <w:pPr>
              <w:ind w:left="180"/>
              <w:spacing w:after="0"/>
              <w:rPr>
                <w:sz w:val="20"/>
                <w:szCs w:val="20"/>
                <w:color w:val="auto"/>
              </w:rPr>
            </w:pPr>
            <w:r>
              <w:rPr>
                <w:rFonts w:ascii="Arial" w:cs="Arial" w:eastAsia="Arial" w:hAnsi="Arial"/>
                <w:sz w:val="16"/>
                <w:szCs w:val="16"/>
                <w:color w:val="auto"/>
              </w:rPr>
              <w:t>Foreign currency gains (losses), net</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(139)</w:t>
            </w: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73"/>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(379)</w:t>
            </w:r>
          </w:p>
        </w:tc>
        <w:tc>
          <w:tcPr>
            <w:tcW w:w="10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1,118</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109</w:t>
            </w:r>
          </w:p>
        </w:tc>
      </w:tr>
      <w:tr>
        <w:trPr>
          <w:trHeight w:val="250"/>
        </w:trPr>
        <w:tc>
          <w:tcPr>
            <w:tcW w:w="45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1,879</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2,269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13,741</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11,275</w:t>
            </w:r>
          </w:p>
        </w:tc>
      </w:tr>
      <w:tr>
        <w:trPr>
          <w:trHeight w:val="122"/>
        </w:trPr>
        <w:tc>
          <w:tcPr>
            <w:tcW w:w="45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spacing w:after="0"/>
              <w:rPr>
                <w:sz w:val="10"/>
                <w:szCs w:val="10"/>
                <w:color w:val="auto"/>
              </w:rPr>
            </w:pPr>
          </w:p>
        </w:tc>
        <w:tc>
          <w:tcPr>
            <w:tcW w:w="9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106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23114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hanging="290"/>
        <w:spacing w:after="0"/>
        <w:tabs>
          <w:tab w:leader="none" w:pos="400" w:val="left"/>
        </w:tabs>
        <w:numPr>
          <w:ilvl w:val="0"/>
          <w:numId w:val="9"/>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Assisted tax returns, as well as services provided under Tax Pro Go</w:t>
      </w:r>
      <w:r>
        <w:rPr>
          <w:rFonts w:ascii="Arial" w:cs="Arial" w:eastAsia="Arial" w:hAnsi="Arial"/>
          <w:sz w:val="14"/>
          <w:szCs w:val="14"/>
          <w:color w:val="auto"/>
        </w:rPr>
        <w:t>SM</w:t>
      </w:r>
      <w:r>
        <w:rPr>
          <w:rFonts w:ascii="Arial" w:cs="Arial" w:eastAsia="Arial" w:hAnsi="Arial"/>
          <w:sz w:val="18"/>
          <w:szCs w:val="18"/>
          <w:color w:val="auto"/>
        </w:rPr>
        <w:t xml:space="preserve"> and Tax Pro Review</w:t>
      </w:r>
      <w:r>
        <w:rPr>
          <w:rFonts w:ascii="Arial" w:cs="Arial" w:eastAsia="Arial" w:hAnsi="Arial"/>
          <w:sz w:val="14"/>
          <w:szCs w:val="14"/>
          <w:color w:val="auto"/>
        </w:rPr>
        <w:t>SM</w:t>
      </w:r>
      <w:r>
        <w:rPr>
          <w:rFonts w:ascii="Arial" w:cs="Arial" w:eastAsia="Arial" w:hAnsi="Arial"/>
          <w:sz w:val="18"/>
          <w:szCs w:val="18"/>
          <w:color w:val="auto"/>
        </w:rPr>
        <w:t>, 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$7.0 million, $7.0 million and $9.9 million as of January 31, 2020 and 2019 and April 30, 2019, respectively. The short-term and long-term portions of this liability are included in deferred revenue and other liabilities in the consolidated balance sheets.</w:t>
      </w:r>
    </w:p>
    <w:p>
      <w:pPr>
        <w:spacing w:after="0" w:line="99"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$11.4 million, $11.3 million and $11.1 million as of January 31, 2020 and 2019 and April 30, 2019, respectively, with amounts recorded in deferred revenue and other liabilities. Should actual results differ from our estimates, future payments made will differ from the above estimate and any differences will be recorded in results from continuing operations.</w:t>
      </w:r>
    </w:p>
    <w:p>
      <w:pPr>
        <w:spacing w:after="0" w:line="97"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We have contractual commitments to fund certain franchises with approved short-term loans and revolving lines of credit. Our total obligation under these lines of credit was $40.0 million at January 31, 2020, and net of amounts drawn and outstanding, our remaining commitment to fund totaled $14.2 million.</w:t>
      </w:r>
    </w:p>
    <w:p>
      <w:pPr>
        <w:spacing w:after="0" w:line="94"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Emerald Advance</w:t>
      </w:r>
      <w:r>
        <w:rPr>
          <w:rFonts w:ascii="Arial" w:cs="Arial" w:eastAsia="Arial" w:hAnsi="Arial"/>
          <w:sz w:val="14"/>
          <w:szCs w:val="14"/>
          <w:color w:val="auto"/>
        </w:rPr>
        <w:t>TM</w:t>
      </w:r>
      <w:r>
        <w:rPr>
          <w:rFonts w:ascii="Arial" w:cs="Arial" w:eastAsia="Arial" w:hAnsi="Arial"/>
          <w:sz w:val="18"/>
          <w:szCs w:val="18"/>
          <w:color w:val="auto"/>
        </w:rPr>
        <w:t xml:space="preserve"> lines of credit (EAs) are originated by Axos Bank, a federal savings Bank (Axos). We purchase a 90% participation interest, at par, in all EAs originated by Axos in accordance with our participation agreement. At January 31, 2020, the principal balance of purchased participation interests for the current year totaled $367.8 million.</w:t>
      </w:r>
    </w:p>
    <w:p>
      <w:pPr>
        <w:spacing w:after="0" w:line="94"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On October 8, 2019, we entered into a Refund Advance Program Agreement and certain ancillary agreements with Axos, pursuant to which they originate and fund Refund Advance loans, and provide technology, software, and underwriting support services related to such loans during the 2020 tax season. Refund Advance loans are offered to certain assisted U.S. tax preparation clients, based on client eligibility as determined by the loan originator. We pay loan origination fees based on loan size and customer type. The loan origination fees are intended to cover expected loan losses and payments to capital providers, among other items. We have provided two limited guarantees related to this agreement. We have provided a limited guarantee up to $7.5 million related to loans to clients prior to the IRS accepting electronic filing. At January 31, 2020, we accrued an estimated liability of $1.9 million related to this guarantee, compared to $ 1.4 million at January 31, 2019. Additionally, we provided a limited guarantee for the remaining loans, up to $ 57 million in the aggregate, which would cover certain incremental loan losses. We were not required to make a payment in connection with this guarantee for the fiscal year 2019 tax season, and we do not expect that a material amount will be paid for this guarantee under anticipated loss scenarios related to the fiscal year 2020 tax season.</w:t>
      </w:r>
    </w:p>
    <w:p>
      <w:pPr>
        <w:spacing w:after="0" w:line="81" w:lineRule="exact"/>
        <w:rPr>
          <w:sz w:val="20"/>
          <w:szCs w:val="20"/>
          <w:color w:val="auto"/>
        </w:rPr>
      </w:pPr>
    </w:p>
    <w:p>
      <w:pPr>
        <w:jc w:val="both"/>
        <w:ind w:firstLine="229"/>
        <w:spacing w:after="0" w:line="257" w:lineRule="auto"/>
        <w:rPr>
          <w:sz w:val="20"/>
          <w:szCs w:val="20"/>
          <w:color w:val="auto"/>
        </w:rPr>
      </w:pPr>
      <w:r>
        <w:rPr>
          <w:rFonts w:ascii="Arial" w:cs="Arial" w:eastAsia="Arial" w:hAnsi="Arial"/>
          <w:sz w:val="18"/>
          <w:szCs w:val="18"/>
          <w:b w:val="1"/>
          <w:bCs w:val="1"/>
          <w:color w:val="auto"/>
        </w:rPr>
        <w:t xml:space="preserve">LOSS CONTINGENCIES PERTAINING TO DISCONTINUED MORTGAGE OPERATIONS </w:t>
      </w:r>
      <w:r>
        <w:rPr>
          <w:rFonts w:ascii="Arial" w:cs="Arial" w:eastAsia="Arial" w:hAnsi="Arial"/>
          <w:sz w:val="18"/>
          <w:szCs w:val="18"/>
          <w:color w:val="auto"/>
        </w:rPr>
        <w:t>– SCC ceased originating mortgage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2007 and, in April 2008, sold its servicing assets and discontinued its remaining operations. Mortgage loans originated by SCC were sold either as whole loans to single third-party buyers, who generally securitized such loans, or in the form of residential mortgage-backed securities (RMBSs). In connection with the sale of loans and/or RMBSs, SCC made certain representations and warranties. Claims under these representations and warranties together with any settlement arrangements related to these losses are collectively referred to as "representation and warranty claims."</w:t>
      </w:r>
    </w:p>
    <w:p>
      <w:pPr>
        <w:spacing w:after="0" w:line="96" w:lineRule="exact"/>
        <w:rPr>
          <w:sz w:val="20"/>
          <w:szCs w:val="20"/>
          <w:color w:val="auto"/>
        </w:rPr>
      </w:pPr>
    </w:p>
    <w:p>
      <w:pPr>
        <w:jc w:val="both"/>
        <w:ind w:firstLine="229"/>
        <w:spacing w:after="0" w:line="253" w:lineRule="auto"/>
        <w:rPr>
          <w:sz w:val="20"/>
          <w:szCs w:val="20"/>
          <w:color w:val="auto"/>
        </w:rPr>
      </w:pPr>
      <w:r>
        <w:rPr>
          <w:rFonts w:ascii="Arial" w:cs="Arial" w:eastAsia="Arial" w:hAnsi="Arial"/>
          <w:sz w:val="18"/>
          <w:szCs w:val="18"/>
          <w:color w:val="auto"/>
        </w:rPr>
        <w:t>SCC accrues a liability for losses related to representation and warranty claims when those losses are believed to be both probable and reasonably estimable. SCC’s loss estimate is based on the best information currently available, management judgment, developments in relevant case law, and the terms of bulk settlements. In periods when a liability is accrued for such loss contingencies, the liability is included in deferred revenue and other current liabilities on the consolidated balance sheets. SCC had no liability accrued for these losses as of January 31, 2020 and 2019 or April 30, 2019.</w:t>
      </w:r>
    </w:p>
    <w:p>
      <w:pPr>
        <w:spacing w:after="0" w:line="97" w:lineRule="exact"/>
        <w:rPr>
          <w:sz w:val="20"/>
          <w:szCs w:val="20"/>
          <w:color w:val="auto"/>
        </w:rPr>
      </w:pPr>
    </w:p>
    <w:p>
      <w:pPr>
        <w:jc w:val="both"/>
        <w:ind w:firstLine="229"/>
        <w:spacing w:after="0" w:line="261" w:lineRule="auto"/>
        <w:rPr>
          <w:sz w:val="20"/>
          <w:szCs w:val="20"/>
          <w:color w:val="auto"/>
        </w:rPr>
      </w:pPr>
      <w:r>
        <w:rPr>
          <w:rFonts w:ascii="Arial" w:cs="Arial" w:eastAsia="Arial" w:hAnsi="Arial"/>
          <w:sz w:val="18"/>
          <w:szCs w:val="18"/>
          <w:color w:val="auto"/>
        </w:rPr>
        <w:t>See note 11, which addresses contingent losses that may be incurred with respect to various indemnification or contribution claims by underwriters, depositors, and securitization trustees in securitization transactions in which SCC participated.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280670</wp:posOffset>
            </wp:positionV>
            <wp:extent cx="2228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15</w:t>
      </w:r>
    </w:p>
    <w:p>
      <w:pPr>
        <w:sectPr>
          <w:pgSz w:w="11900" w:h="16838" w:orient="portrait"/>
          <w:cols w:equalWidth="0" w:num="1">
            <w:col w:w="11240"/>
          </w:cols>
          <w:pgMar w:left="320" w:top="249" w:right="3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discussed in note 1, we adopted ASU 2016-02 on May 1, 2019. The majority of our lease portfolio consists of retail office space in the U.S., Canada, and Australia. The contract terms for these retail offices generally are from May 1 to April 30. We record operating lease right of use (ROU) assets and operating lease liabilities based on the discounted future minimum lease payments over the term of the lease. We generally do not include renewal options in the term of the lease. As the rates implicit in our leases are not readily determinable, we used our incremental borrowing rate based on the lease term and geographic location in calculating the discounted future minimum lease payments.</w:t>
      </w:r>
    </w:p>
    <w:p>
      <w:pPr>
        <w:spacing w:after="0" w:line="1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recognize lease expenses for our operating leases on a straight-line basis. For lease payments that are subject to adjustments based on indexes or rates, the most current index or rate adjustments were included in the measurement of our ROU assets and lease liabilities at adoption. Variable lease costs, including non-lease components (such as common area maintenance, utilities, insurance, and taxes) and certain index-based changes in lease payments, are expensed as incurred.</w:t>
      </w:r>
    </w:p>
    <w:p>
      <w:pPr>
        <w:spacing w:after="0" w:line="1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For the three and nine months ended January 31, 2020, our lease costs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17"/>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6"/>
                <w:szCs w:val="16"/>
                <w:color w:val="auto"/>
              </w:rPr>
              <w:t>Three months ended</w:t>
            </w:r>
          </w:p>
        </w:tc>
        <w:tc>
          <w:tcPr>
            <w:tcW w:w="300" w:type="dxa"/>
            <w:vAlign w:val="bottom"/>
          </w:tcPr>
          <w:p>
            <w:pPr>
              <w:spacing w:after="0"/>
              <w:rPr>
                <w:sz w:val="18"/>
                <w:szCs w:val="18"/>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color w:val="auto"/>
              </w:rPr>
              <w:t>Nine months ended</w:t>
            </w:r>
          </w:p>
        </w:tc>
      </w:tr>
      <w:tr>
        <w:trPr>
          <w:trHeight w:val="208"/>
        </w:trPr>
        <w:tc>
          <w:tcPr>
            <w:tcW w:w="69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January 31, 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January 31, 2020</w:t>
            </w:r>
          </w:p>
        </w:tc>
      </w:tr>
      <w:tr>
        <w:trPr>
          <w:trHeight w:val="257"/>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costs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17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59,804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180,734</w:t>
            </w:r>
          </w:p>
        </w:tc>
      </w:tr>
      <w:tr>
        <w:trPr>
          <w:trHeight w:val="260"/>
        </w:trPr>
        <w:tc>
          <w:tcPr>
            <w:tcW w:w="7080" w:type="dxa"/>
            <w:vAlign w:val="bottom"/>
            <w:gridSpan w:val="2"/>
          </w:tcPr>
          <w:p>
            <w:pPr>
              <w:ind w:left="40"/>
              <w:spacing w:after="0"/>
              <w:rPr>
                <w:sz w:val="20"/>
                <w:szCs w:val="20"/>
                <w:color w:val="auto"/>
              </w:rPr>
            </w:pPr>
            <w:r>
              <w:rPr>
                <w:rFonts w:ascii="Arial" w:cs="Arial" w:eastAsia="Arial" w:hAnsi="Arial"/>
                <w:sz w:val="16"/>
                <w:szCs w:val="16"/>
                <w:color w:val="auto"/>
              </w:rPr>
              <w:t>Variable lease costs</w:t>
            </w:r>
          </w:p>
        </w:tc>
        <w:tc>
          <w:tcPr>
            <w:tcW w:w="280" w:type="dxa"/>
            <w:vAlign w:val="bottom"/>
          </w:tcPr>
          <w:p>
            <w:pPr>
              <w:spacing w:after="0"/>
              <w:rPr>
                <w:sz w:val="22"/>
                <w:szCs w:val="22"/>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b w:val="1"/>
                <w:bCs w:val="1"/>
                <w:color w:val="auto"/>
              </w:rPr>
              <w:t>17,822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50,272</w:t>
            </w:r>
          </w:p>
        </w:tc>
      </w:tr>
      <w:tr>
        <w:trPr>
          <w:trHeight w:val="273"/>
        </w:trPr>
        <w:tc>
          <w:tcPr>
            <w:tcW w:w="7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Subrental income</w:t>
            </w:r>
          </w:p>
        </w:tc>
        <w:tc>
          <w:tcPr>
            <w:tcW w:w="280" w:type="dxa"/>
            <w:vAlign w:val="bottom"/>
            <w:tcBorders>
              <w:bottom w:val="single" w:sz="8" w:color="auto"/>
            </w:tcBorders>
            <w:shd w:val="clear" w:color="auto" w:fill="CCEEFF"/>
          </w:tcPr>
          <w:p>
            <w:pPr>
              <w:spacing w:after="0"/>
              <w:rPr>
                <w:sz w:val="23"/>
                <w:szCs w:val="23"/>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(1,015)</w:t>
            </w:r>
          </w:p>
        </w:tc>
      </w:tr>
      <w:tr>
        <w:trPr>
          <w:trHeight w:val="250"/>
        </w:trPr>
        <w:tc>
          <w:tcPr>
            <w:tcW w:w="7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lease costs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1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77,296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w:t>
            </w: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229,991</w:t>
            </w:r>
          </w:p>
        </w:tc>
      </w:tr>
      <w:tr>
        <w:trPr>
          <w:trHeight w:val="122"/>
        </w:trPr>
        <w:tc>
          <w:tcPr>
            <w:tcW w:w="69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17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720" w:type="dxa"/>
            <w:vAlign w:val="bottom"/>
            <w:tcBorders>
              <w:bottom w:val="single" w:sz="8" w:color="auto"/>
            </w:tcBorders>
            <w:shd w:val="clear" w:color="auto" w:fill="CCEEFF"/>
          </w:tcPr>
          <w:p>
            <w:pPr>
              <w:spacing w:after="0"/>
              <w:rPr>
                <w:sz w:val="10"/>
                <w:szCs w:val="10"/>
                <w:color w:val="auto"/>
              </w:rPr>
            </w:pPr>
          </w:p>
        </w:tc>
      </w:tr>
    </w:tbl>
    <w:p>
      <w:pPr>
        <w:spacing w:after="0" w:line="3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information related to operating leases for the nine months ended January 31, 2020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3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color w:val="auto"/>
              </w:rPr>
              <w:t>($ in 000s)</w:t>
            </w:r>
          </w:p>
        </w:tc>
      </w:tr>
      <w:tr>
        <w:trPr>
          <w:trHeight w:val="270"/>
        </w:trPr>
        <w:tc>
          <w:tcPr>
            <w:tcW w:w="8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paid for operating lease costs</w:t>
            </w:r>
          </w:p>
        </w:tc>
        <w:tc>
          <w:tcPr>
            <w:tcW w:w="1220" w:type="dxa"/>
            <w:vAlign w:val="bottom"/>
            <w:gridSpan w:val="2"/>
            <w:shd w:val="clear" w:color="auto" w:fill="CCEEFF"/>
          </w:tcPr>
          <w:p>
            <w:pPr>
              <w:jc w:val="right"/>
              <w:ind w:right="940"/>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160,769</w:t>
            </w:r>
          </w:p>
        </w:tc>
      </w:tr>
      <w:tr>
        <w:trPr>
          <w:trHeight w:val="270"/>
        </w:trPr>
        <w:tc>
          <w:tcPr>
            <w:tcW w:w="8300" w:type="dxa"/>
            <w:vAlign w:val="bottom"/>
          </w:tcPr>
          <w:p>
            <w:pPr>
              <w:ind w:left="40"/>
              <w:spacing w:after="0" w:line="270" w:lineRule="exact"/>
              <w:rPr>
                <w:sz w:val="20"/>
                <w:szCs w:val="20"/>
                <w:color w:val="auto"/>
              </w:rPr>
            </w:pPr>
            <w:r>
              <w:rPr>
                <w:rFonts w:ascii="Arial" w:cs="Arial" w:eastAsia="Arial" w:hAnsi="Arial"/>
                <w:sz w:val="16"/>
                <w:szCs w:val="16"/>
                <w:color w:val="auto"/>
              </w:rPr>
              <w:t xml:space="preserve">Operating lease right of use assets obtained in exchange for operating lease liabilities </w:t>
            </w:r>
            <w:r>
              <w:rPr>
                <w:rFonts w:ascii="Arial" w:cs="Arial" w:eastAsia="Arial" w:hAnsi="Arial"/>
                <w:sz w:val="26"/>
                <w:szCs w:val="26"/>
                <w:color w:val="auto"/>
                <w:vertAlign w:val="superscript"/>
              </w:rPr>
              <w:t>(1)</w:t>
            </w: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720" w:type="dxa"/>
            <w:vAlign w:val="bottom"/>
          </w:tcPr>
          <w:p>
            <w:pPr>
              <w:jc w:val="right"/>
              <w:ind w:right="100"/>
              <w:spacing w:after="0"/>
              <w:rPr>
                <w:sz w:val="20"/>
                <w:szCs w:val="20"/>
                <w:color w:val="auto"/>
              </w:rPr>
            </w:pPr>
            <w:r>
              <w:rPr>
                <w:rFonts w:ascii="Arial" w:cs="Arial" w:eastAsia="Arial" w:hAnsi="Arial"/>
                <w:sz w:val="16"/>
                <w:szCs w:val="16"/>
                <w:b w:val="1"/>
                <w:bCs w:val="1"/>
                <w:color w:val="auto"/>
              </w:rPr>
              <w:t>251,284</w:t>
            </w:r>
          </w:p>
        </w:tc>
      </w:tr>
      <w:tr>
        <w:trPr>
          <w:trHeight w:val="270"/>
        </w:trPr>
        <w:tc>
          <w:tcPr>
            <w:tcW w:w="8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remaining operating lease term (years)</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w:t>
            </w:r>
          </w:p>
        </w:tc>
      </w:tr>
      <w:tr>
        <w:trPr>
          <w:trHeight w:val="260"/>
        </w:trPr>
        <w:tc>
          <w:tcPr>
            <w:tcW w:w="8300" w:type="dxa"/>
            <w:vAlign w:val="bottom"/>
          </w:tcPr>
          <w:p>
            <w:pPr>
              <w:ind w:left="40"/>
              <w:spacing w:after="0"/>
              <w:rPr>
                <w:sz w:val="20"/>
                <w:szCs w:val="20"/>
                <w:color w:val="auto"/>
              </w:rPr>
            </w:pPr>
            <w:r>
              <w:rPr>
                <w:rFonts w:ascii="Arial" w:cs="Arial" w:eastAsia="Arial" w:hAnsi="Arial"/>
                <w:sz w:val="16"/>
                <w:szCs w:val="16"/>
                <w:color w:val="auto"/>
              </w:rPr>
              <w:t>Weighted-average operating lease discount rate</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jc w:val="right"/>
              <w:spacing w:after="0"/>
              <w:rPr>
                <w:sz w:val="20"/>
                <w:szCs w:val="20"/>
                <w:color w:val="auto"/>
              </w:rPr>
            </w:pPr>
            <w:r>
              <w:rPr>
                <w:rFonts w:ascii="Arial" w:cs="Arial" w:eastAsia="Arial" w:hAnsi="Arial"/>
                <w:sz w:val="16"/>
                <w:szCs w:val="16"/>
                <w:b w:val="1"/>
                <w:bCs w:val="1"/>
                <w:color w:val="auto"/>
              </w:rPr>
              <w:t>3.5%</w:t>
            </w:r>
          </w:p>
        </w:tc>
      </w:tr>
      <w:tr>
        <w:trPr>
          <w:trHeight w:val="131"/>
        </w:trPr>
        <w:tc>
          <w:tcPr>
            <w:tcW w:w="8300" w:type="dxa"/>
            <w:vAlign w:val="bottom"/>
            <w:tcBorders>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720" w:type="dxa"/>
            <w:vAlign w:val="bottom"/>
            <w:tcBorders>
              <w:bottom w:val="single" w:sz="8" w:color="auto"/>
            </w:tcBorders>
            <w:shd w:val="clear" w:color="auto" w:fill="CCEEFF"/>
          </w:tcPr>
          <w:p>
            <w:pPr>
              <w:spacing w:after="0"/>
              <w:rPr>
                <w:sz w:val="11"/>
                <w:szCs w:val="11"/>
                <w:color w:val="auto"/>
              </w:rPr>
            </w:pPr>
          </w:p>
        </w:tc>
      </w:tr>
      <w:tr>
        <w:trPr>
          <w:trHeight w:val="263"/>
        </w:trPr>
        <w:tc>
          <w:tcPr>
            <w:tcW w:w="8300" w:type="dxa"/>
            <w:vAlign w:val="bottom"/>
          </w:tcPr>
          <w:p>
            <w:pPr>
              <w:ind w:left="3160"/>
              <w:spacing w:after="0" w:line="263" w:lineRule="exact"/>
              <w:rPr>
                <w:sz w:val="20"/>
                <w:szCs w:val="20"/>
                <w:color w:val="auto"/>
              </w:rPr>
            </w:pPr>
            <w:r>
              <w:rPr>
                <w:rFonts w:ascii="Arial" w:cs="Arial" w:eastAsia="Arial" w:hAnsi="Arial"/>
                <w:sz w:val="23"/>
                <w:szCs w:val="23"/>
                <w:color w:val="auto"/>
                <w:vertAlign w:val="superscript"/>
              </w:rPr>
              <w:t>(1)</w:t>
            </w:r>
            <w:r>
              <w:rPr>
                <w:rFonts w:ascii="Arial" w:cs="Arial" w:eastAsia="Arial" w:hAnsi="Arial"/>
                <w:sz w:val="14"/>
                <w:szCs w:val="14"/>
                <w:color w:val="auto"/>
              </w:rPr>
              <w:t xml:space="preserve">  This balance excludes the initial impacts of the adoption of ASU 2016-02.</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17"/>
        </w:trPr>
        <w:tc>
          <w:tcPr>
            <w:tcW w:w="8300" w:type="dxa"/>
            <w:vAlign w:val="bottom"/>
          </w:tcPr>
          <w:p>
            <w:pPr>
              <w:ind w:left="260"/>
              <w:spacing w:after="0"/>
              <w:rPr>
                <w:sz w:val="20"/>
                <w:szCs w:val="20"/>
                <w:color w:val="auto"/>
              </w:rPr>
            </w:pPr>
            <w:r>
              <w:rPr>
                <w:rFonts w:ascii="Arial" w:cs="Arial" w:eastAsia="Arial" w:hAnsi="Arial"/>
                <w:sz w:val="18"/>
                <w:szCs w:val="18"/>
                <w:color w:val="auto"/>
              </w:rPr>
              <w:t>Aggregate operating lease maturities as of January 31, 2020 are as follows:</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399"/>
        </w:trPr>
        <w:tc>
          <w:tcPr>
            <w:tcW w:w="8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9"/>
        </w:trPr>
        <w:tc>
          <w:tcPr>
            <w:tcW w:w="8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2020</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61,713</w:t>
            </w:r>
          </w:p>
        </w:tc>
      </w:tr>
      <w:tr>
        <w:trPr>
          <w:trHeight w:val="260"/>
        </w:trPr>
        <w:tc>
          <w:tcPr>
            <w:tcW w:w="8300" w:type="dxa"/>
            <w:vAlign w:val="bottom"/>
          </w:tcPr>
          <w:p>
            <w:pPr>
              <w:ind w:left="40"/>
              <w:spacing w:after="0"/>
              <w:rPr>
                <w:sz w:val="20"/>
                <w:szCs w:val="20"/>
                <w:color w:val="auto"/>
              </w:rPr>
            </w:pPr>
            <w:r>
              <w:rPr>
                <w:rFonts w:ascii="Arial" w:cs="Arial" w:eastAsia="Arial" w:hAnsi="Arial"/>
                <w:sz w:val="16"/>
                <w:szCs w:val="16"/>
                <w:color w:val="auto"/>
              </w:rPr>
              <w:t>2021</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190,233</w:t>
            </w:r>
          </w:p>
        </w:tc>
      </w:tr>
      <w:tr>
        <w:trPr>
          <w:trHeight w:val="280"/>
        </w:trPr>
        <w:tc>
          <w:tcPr>
            <w:tcW w:w="8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2022</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130,637</w:t>
            </w:r>
          </w:p>
        </w:tc>
      </w:tr>
      <w:tr>
        <w:trPr>
          <w:trHeight w:val="260"/>
        </w:trPr>
        <w:tc>
          <w:tcPr>
            <w:tcW w:w="8300" w:type="dxa"/>
            <w:vAlign w:val="bottom"/>
          </w:tcPr>
          <w:p>
            <w:pPr>
              <w:ind w:left="40"/>
              <w:spacing w:after="0"/>
              <w:rPr>
                <w:sz w:val="20"/>
                <w:szCs w:val="20"/>
                <w:color w:val="auto"/>
              </w:rPr>
            </w:pPr>
            <w:r>
              <w:rPr>
                <w:rFonts w:ascii="Arial" w:cs="Arial" w:eastAsia="Arial" w:hAnsi="Arial"/>
                <w:sz w:val="16"/>
                <w:szCs w:val="16"/>
                <w:color w:val="auto"/>
              </w:rPr>
              <w:t>2023</w:t>
            </w: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20" w:type="dxa"/>
            <w:vAlign w:val="bottom"/>
          </w:tcPr>
          <w:p>
            <w:pPr>
              <w:jc w:val="right"/>
              <w:ind w:right="20"/>
              <w:spacing w:after="0"/>
              <w:rPr>
                <w:sz w:val="20"/>
                <w:szCs w:val="20"/>
                <w:color w:val="auto"/>
              </w:rPr>
            </w:pPr>
            <w:r>
              <w:rPr>
                <w:rFonts w:ascii="Arial" w:cs="Arial" w:eastAsia="Arial" w:hAnsi="Arial"/>
                <w:sz w:val="16"/>
                <w:szCs w:val="16"/>
                <w:b w:val="1"/>
                <w:bCs w:val="1"/>
                <w:color w:val="auto"/>
              </w:rPr>
              <w:t>73,433</w:t>
            </w:r>
          </w:p>
        </w:tc>
      </w:tr>
      <w:tr>
        <w:trPr>
          <w:trHeight w:val="280"/>
        </w:trPr>
        <w:tc>
          <w:tcPr>
            <w:tcW w:w="8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2024</w:t>
            </w:r>
          </w:p>
        </w:tc>
        <w:tc>
          <w:tcPr>
            <w:tcW w:w="2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34,988</w:t>
            </w:r>
          </w:p>
        </w:tc>
      </w:tr>
      <w:tr>
        <w:trPr>
          <w:trHeight w:val="264"/>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2025 and thereafter</w:t>
            </w: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19,573</w:t>
            </w:r>
          </w:p>
        </w:tc>
      </w:tr>
      <w:tr>
        <w:trPr>
          <w:trHeight w:val="256"/>
        </w:trPr>
        <w:tc>
          <w:tcPr>
            <w:tcW w:w="8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future undiscounted operating lease payments</w:t>
            </w: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510,577</w:t>
            </w:r>
          </w:p>
        </w:tc>
      </w:tr>
      <w:tr>
        <w:trPr>
          <w:trHeight w:val="263"/>
        </w:trPr>
        <w:tc>
          <w:tcPr>
            <w:tcW w:w="83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imputed interest</w:t>
            </w:r>
          </w:p>
        </w:tc>
        <w:tc>
          <w:tcPr>
            <w:tcW w:w="2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(33,388)</w:t>
            </w:r>
          </w:p>
        </w:tc>
      </w:tr>
      <w:tr>
        <w:trPr>
          <w:trHeight w:val="250"/>
        </w:trPr>
        <w:tc>
          <w:tcPr>
            <w:tcW w:w="83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lease liabilities</w:t>
            </w:r>
          </w:p>
        </w:tc>
        <w:tc>
          <w:tcPr>
            <w:tcW w:w="1220" w:type="dxa"/>
            <w:vAlign w:val="bottom"/>
            <w:gridSpan w:val="2"/>
            <w:shd w:val="clear" w:color="auto" w:fill="CCEEFF"/>
          </w:tcPr>
          <w:p>
            <w:pPr>
              <w:jc w:val="right"/>
              <w:ind w:right="860"/>
              <w:spacing w:after="0"/>
              <w:rPr>
                <w:sz w:val="20"/>
                <w:szCs w:val="20"/>
                <w:color w:val="auto"/>
              </w:rPr>
            </w:pPr>
            <w:r>
              <w:rPr>
                <w:rFonts w:ascii="Arial" w:cs="Arial" w:eastAsia="Arial" w:hAnsi="Arial"/>
                <w:sz w:val="16"/>
                <w:szCs w:val="16"/>
                <w:b w:val="1"/>
                <w:bCs w:val="1"/>
                <w:color w:val="auto"/>
              </w:rPr>
              <w:t>$</w:t>
            </w:r>
          </w:p>
        </w:tc>
        <w:tc>
          <w:tcPr>
            <w:tcW w:w="172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477,189</w:t>
            </w:r>
          </w:p>
        </w:tc>
      </w:tr>
      <w:tr>
        <w:trPr>
          <w:trHeight w:val="122"/>
        </w:trPr>
        <w:tc>
          <w:tcPr>
            <w:tcW w:w="8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80" w:type="dxa"/>
            <w:vAlign w:val="bottom"/>
            <w:tcBorders>
              <w:top w:val="single" w:sz="8" w:color="auto"/>
              <w:bottom w:val="single" w:sz="8" w:color="auto"/>
            </w:tcBorders>
          </w:tcPr>
          <w:p>
            <w:pPr>
              <w:spacing w:after="0"/>
              <w:rPr>
                <w:sz w:val="10"/>
                <w:szCs w:val="10"/>
                <w:color w:val="auto"/>
              </w:rPr>
            </w:pPr>
          </w:p>
        </w:tc>
        <w:tc>
          <w:tcPr>
            <w:tcW w:w="1720" w:type="dxa"/>
            <w:vAlign w:val="bottom"/>
            <w:tcBorders>
              <w:top w:val="single" w:sz="8" w:color="auto"/>
              <w:bottom w:val="single" w:sz="8" w:color="auto"/>
            </w:tcBorders>
          </w:tcPr>
          <w:p>
            <w:pPr>
              <w:spacing w:after="0"/>
              <w:rPr>
                <w:sz w:val="10"/>
                <w:szCs w:val="10"/>
                <w:color w:val="auto"/>
              </w:rPr>
            </w:pPr>
          </w:p>
        </w:tc>
      </w:tr>
    </w:tbl>
    <w:p>
      <w:pPr>
        <w:spacing w:after="0" w:line="323"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As disclosed in our Annual Report on Form 10-K for the fiscal year ended April 30, 2019, our future undiscounted operating lease commitments under the previous accounting standard was $573.3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LITIGATION AND OTHER RELATED CONTINGENCIES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defendant in numerous litigation matters, arising both in the ordinary course of business and otherwise, including as described below. The matters described below are not all of the lawsuits to which we are subject. In some of the matters, very large or indeterminate amounts, including punitive damages, are sought. U.S. jurisdictions permit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3114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00" w:hanging="290"/>
        <w:spacing w:after="0"/>
        <w:tabs>
          <w:tab w:leader="none" w:pos="400" w:val="left"/>
        </w:tabs>
        <w:numPr>
          <w:ilvl w:val="0"/>
          <w:numId w:val="10"/>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considerable variation in the assertion of monetary damages or other relief. Jurisdictions may permit claimants not to specify the monetary damages sought or may permit claimants to state only that the amount sought is sufficient to invoke the jurisdiction of the court. In addition, jurisdictions may permit plaintiffs to allege monetary damages in amounts well exceeding reasonably possible verdicts in the jurisdiction for similar matters. We believe that the monetary relief which may be specified in a lawsuit or a claim bears little relevance to its merits or disposition value due to this variability in pleadings and our experience in litigating or resolving through settlement of numerous claims over an extended period of time.</w:t>
      </w:r>
    </w:p>
    <w:p>
      <w:pPr>
        <w:spacing w:after="0" w:line="10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outcome of a litigation matter and the amount or range of potential loss at particular points in time may be difficult to ascertain. Among other things, uncertainties can include how fact finders will evaluate documentary evidence and the credibility and effectiveness of witness testimony, and how trial and appellate courts will apply the law. Disposition valuations are also subject to the uncertainty of how opposing parties and their counsel will themselves view the relevant evidence and applicable law.</w:t>
      </w:r>
    </w:p>
    <w:p>
      <w:pPr>
        <w:spacing w:after="0" w:line="96" w:lineRule="exact"/>
        <w:rPr>
          <w:sz w:val="20"/>
          <w:szCs w:val="20"/>
          <w:color w:val="auto"/>
        </w:rPr>
      </w:pPr>
    </w:p>
    <w:p>
      <w:pPr>
        <w:jc w:val="both"/>
        <w:ind w:firstLine="216"/>
        <w:spacing w:after="0" w:line="261" w:lineRule="auto"/>
        <w:rPr>
          <w:sz w:val="20"/>
          <w:szCs w:val="20"/>
          <w:color w:val="auto"/>
        </w:rPr>
      </w:pPr>
      <w:r>
        <w:rPr>
          <w:rFonts w:ascii="Arial" w:cs="Arial" w:eastAsia="Arial" w:hAnsi="Arial"/>
          <w:sz w:val="18"/>
          <w:szCs w:val="18"/>
          <w:color w:val="auto"/>
        </w:rPr>
        <w:t>In addition to litigation matters, we are also subject to claims and other loss contingencies arising out of our business activities, including as described below.</w:t>
      </w:r>
    </w:p>
    <w:p>
      <w:pPr>
        <w:spacing w:after="0" w:line="90"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accrue liabilities for litigation, claims, including indemnification and contribution claims, and other related loss contingencies and any related settlements (each referred to, individually, as a "matter" and, collectively, as "matters")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spacing w:after="0" w:line="97" w:lineRule="exact"/>
        <w:rPr>
          <w:sz w:val="20"/>
          <w:szCs w:val="20"/>
          <w:color w:val="auto"/>
        </w:rPr>
      </w:pPr>
    </w:p>
    <w:p>
      <w:pPr>
        <w:jc w:val="both"/>
        <w:ind w:firstLine="216"/>
        <w:spacing w:after="0" w:line="252" w:lineRule="auto"/>
        <w:rPr>
          <w:sz w:val="20"/>
          <w:szCs w:val="20"/>
          <w:color w:val="auto"/>
        </w:rPr>
      </w:pPr>
      <w:r>
        <w:rPr>
          <w:rFonts w:ascii="Arial" w:cs="Arial" w:eastAsia="Arial" w:hAnsi="Arial"/>
          <w:sz w:val="18"/>
          <w:szCs w:val="18"/>
          <w:color w:val="auto"/>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January 31, 2020.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As of January 31, 2020 and 2019 and April 30, 2019, our total accrued liabilities were $1.6 million, $3.1 million and $1.9 million, respectively.</w:t>
      </w:r>
    </w:p>
    <w:p>
      <w:pPr>
        <w:spacing w:after="0" w:line="100"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spacing w:after="0" w:line="96"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on motions or appeals, analysis by experts, or the status or terms of any settlement negotiations.</w:t>
      </w:r>
    </w:p>
    <w:p>
      <w:pPr>
        <w:spacing w:after="0" w:line="97"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January 31, 2020, we believe the estimate of the aggregate range of reasonably possible losses in excess of amounts accrued, where the range of loss can be estimated, is not material.</w:t>
      </w:r>
    </w:p>
    <w:p>
      <w:pPr>
        <w:spacing w:after="0" w:line="96" w:lineRule="exact"/>
        <w:rPr>
          <w:sz w:val="20"/>
          <w:szCs w:val="20"/>
          <w:color w:val="auto"/>
        </w:rPr>
      </w:pPr>
    </w:p>
    <w:p>
      <w:pPr>
        <w:jc w:val="both"/>
        <w:ind w:firstLine="216"/>
        <w:spacing w:after="0" w:line="254" w:lineRule="auto"/>
        <w:rPr>
          <w:sz w:val="20"/>
          <w:szCs w:val="20"/>
          <w:color w:val="auto"/>
        </w:rPr>
      </w:pPr>
      <w:r>
        <w:rPr>
          <w:rFonts w:ascii="Arial" w:cs="Arial" w:eastAsia="Arial" w:hAnsi="Arial"/>
          <w:sz w:val="18"/>
          <w:szCs w:val="18"/>
          <w:color w:val="auto"/>
        </w:rPr>
        <w:t>On a quarterly and annual basis, we review relevant information with respect to litigation and other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284480</wp:posOffset>
            </wp:positionV>
            <wp:extent cx="2228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17</w:t>
      </w:r>
    </w:p>
    <w:p>
      <w:pPr>
        <w:sectPr>
          <w:pgSz w:w="11900" w:h="16838" w:orient="portrait"/>
          <w:cols w:equalWidth="0" w:num="1">
            <w:col w:w="11240"/>
          </w:cols>
          <w:pgMar w:left="320" w:top="249" w:right="3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right="20" w:firstLine="216"/>
        <w:spacing w:after="0" w:line="254"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but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 xml:space="preserve">LITIGATION, CLAIMS OR OTHER LOSS CONTINGENCIES PERTAINING TO CONTINUING OPERATIONS </w:t>
      </w:r>
      <w:r>
        <w:rPr>
          <w:rFonts w:ascii="Arial" w:cs="Arial" w:eastAsia="Arial" w:hAnsi="Arial"/>
          <w:sz w:val="18"/>
          <w:szCs w:val="18"/>
          <w:color w:val="auto"/>
        </w:rPr>
        <w:t>–</w:t>
      </w:r>
    </w:p>
    <w:p>
      <w:pPr>
        <w:spacing w:after="0" w:line="117" w:lineRule="exact"/>
        <w:rPr>
          <w:sz w:val="20"/>
          <w:szCs w:val="20"/>
          <w:color w:val="auto"/>
        </w:rPr>
      </w:pPr>
    </w:p>
    <w:p>
      <w:pPr>
        <w:jc w:val="both"/>
        <w:ind w:firstLine="216"/>
        <w:spacing w:after="0" w:line="255" w:lineRule="auto"/>
        <w:rPr>
          <w:sz w:val="20"/>
          <w:szCs w:val="20"/>
          <w:color w:val="auto"/>
        </w:rPr>
      </w:pPr>
      <w:r>
        <w:rPr>
          <w:rFonts w:ascii="Arial" w:cs="Arial" w:eastAsia="Arial" w:hAnsi="Arial"/>
          <w:sz w:val="18"/>
          <w:szCs w:val="18"/>
          <w:b w:val="1"/>
          <w:bCs w:val="1"/>
          <w:color w:val="auto"/>
        </w:rPr>
        <w:t xml:space="preserve">Free File Litigation. </w:t>
      </w:r>
      <w:r>
        <w:rPr>
          <w:rFonts w:ascii="Arial" w:cs="Arial" w:eastAsia="Arial" w:hAnsi="Arial"/>
          <w:sz w:val="18"/>
          <w:szCs w:val="18"/>
          <w:color w:val="auto"/>
        </w:rPr>
        <w:t>On May 6, 2019, the Los Angeles City Attorney filed a lawsuit on behalf of the People of the State of California in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Superior Court of California, County of Los Angeles (Case No. 19STCV15742) styled </w:t>
      </w:r>
      <w:r>
        <w:rPr>
          <w:rFonts w:ascii="Arial" w:cs="Arial" w:eastAsia="Arial" w:hAnsi="Arial"/>
          <w:sz w:val="18"/>
          <w:szCs w:val="18"/>
          <w:i w:val="1"/>
          <w:iCs w:val="1"/>
          <w:color w:val="auto"/>
        </w:rPr>
        <w:t>The People of the State of California v. H&amp;R Block,</w:t>
      </w:r>
      <w:r>
        <w:rPr>
          <w:rFonts w:ascii="Arial" w:cs="Arial" w:eastAsia="Arial" w:hAnsi="Arial"/>
          <w:sz w:val="18"/>
          <w:szCs w:val="18"/>
          <w:color w:val="auto"/>
        </w:rPr>
        <w:t xml:space="preserve"> </w:t>
      </w:r>
      <w:r>
        <w:rPr>
          <w:rFonts w:ascii="Arial" w:cs="Arial" w:eastAsia="Arial" w:hAnsi="Arial"/>
          <w:sz w:val="18"/>
          <w:szCs w:val="18"/>
          <w:i w:val="1"/>
          <w:iCs w:val="1"/>
          <w:color w:val="auto"/>
        </w:rPr>
        <w:t>Inc., et al</w:t>
      </w:r>
      <w:r>
        <w:rPr>
          <w:rFonts w:ascii="Arial" w:cs="Arial" w:eastAsia="Arial" w:hAnsi="Arial"/>
          <w:sz w:val="18"/>
          <w:szCs w:val="18"/>
          <w:color w:val="auto"/>
        </w:rPr>
        <w:t>. The complaint alleges that H&amp;R Block, Inc. and HRB Digital LLC engaged in unfair, fraudulent and deceptive business practices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acts in connection with the IRS Free File Program in violation of the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case was removed to the United States District Court for the Central District of California on June 6, 2019 (Case No. 2:19-cv-04933-ODW-AS). A motion to remand was filed, which was granted on February 11, 2020. We have not concluded that a loss related to this matter is probable, nor have we accrued a liability related to this matter.</w:t>
      </w:r>
    </w:p>
    <w:p>
      <w:pPr>
        <w:spacing w:after="0" w:line="95"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May 17, 2019, a putative class action complaint was filed against H&amp;R Block, Inc., HRB Tax Group, Inc. and HRB Digital LLC in the Superior Court of the State of California, County of San Francisco (Case No. CGC-19576093) styled </w:t>
      </w:r>
      <w:r>
        <w:rPr>
          <w:rFonts w:ascii="Arial" w:cs="Arial" w:eastAsia="Arial" w:hAnsi="Arial"/>
          <w:sz w:val="18"/>
          <w:szCs w:val="18"/>
          <w:i w:val="1"/>
          <w:iCs w:val="1"/>
          <w:color w:val="auto"/>
        </w:rPr>
        <w:t>Olosoni and Snarr v. H&amp;R Block, Inc., et</w:t>
      </w:r>
      <w:r>
        <w:rPr>
          <w:rFonts w:ascii="Arial" w:cs="Arial" w:eastAsia="Arial" w:hAnsi="Arial"/>
          <w:sz w:val="18"/>
          <w:szCs w:val="18"/>
          <w:color w:val="auto"/>
        </w:rPr>
        <w:t xml:space="preserve"> </w:t>
      </w:r>
      <w:r>
        <w:rPr>
          <w:rFonts w:ascii="Arial" w:cs="Arial" w:eastAsia="Arial" w:hAnsi="Arial"/>
          <w:sz w:val="18"/>
          <w:szCs w:val="18"/>
          <w:i w:val="1"/>
          <w:iCs w:val="1"/>
          <w:color w:val="auto"/>
        </w:rPr>
        <w:t>al</w:t>
      </w:r>
      <w:r>
        <w:rPr>
          <w:rFonts w:ascii="Arial" w:cs="Arial" w:eastAsia="Arial" w:hAnsi="Arial"/>
          <w:sz w:val="18"/>
          <w:szCs w:val="18"/>
          <w:color w:val="auto"/>
        </w:rPr>
        <w:t xml:space="preserve">. The case was removed to the United States District Court for the Northern District of California on June 21, 2019 (Case No. 3:19-cv-03610-SK). The plaintiffs filed a first amended complaint on August 9, 2019, dropping H&amp;R Block, Inc. from the case. In their amended complaint, the plaintiffs seek to represent classes of all persons, between May 17, 2015 and the present, who (1) paid to file one or more federal tax returns through H&amp;R Block’s internet-based filing system, (2) were eligible to file those tax returns for free through the H&amp;R Block Free File offer of the IRS Free File Program, and (3) resided in and were citizens of California at the time of the payments. The plaintiffs generally allege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The plaintiffs seek declaratory and injunctive relief, restitution, compensatory damages, punitive damages, interest, attorneys’ fees and costs. We filed a motion to stay the proceedings based on the primary jurisdiction doctrine and a motion to compel arbitration, both of which were denied. An appeal of the denial of the motion to compel arbitration is pending. The court denied our motion to transfer venue to the United States District Court for the Western District of Missouri. We filed a motion to stay the claims pending the outcome of the appeal, as well as a motion to dismiss the claims, both of which remain pending. We have not concluded that a loss related to this matter is probable, nor have we accrued a liability related to this matter.</w:t>
      </w:r>
    </w:p>
    <w:p>
      <w:pPr>
        <w:spacing w:after="0" w:line="10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September 26, 2019, a putative class action complaint was filed against H&amp;R Block, Inc., HRB Tax Group, Inc., HRB Digital LLC and Free File, Inc. in the United States District Court for the Western District of Missouri (Case No. 4:19-cv-00788-GAF) styled </w:t>
      </w:r>
      <w:r>
        <w:rPr>
          <w:rFonts w:ascii="Arial" w:cs="Arial" w:eastAsia="Arial" w:hAnsi="Arial"/>
          <w:sz w:val="18"/>
          <w:szCs w:val="18"/>
          <w:i w:val="1"/>
          <w:iCs w:val="1"/>
          <w:color w:val="auto"/>
        </w:rPr>
        <w:t>Swanson v. H&amp;R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Block, Inc., et al. </w:t>
      </w:r>
      <w:r>
        <w:rPr>
          <w:rFonts w:ascii="Arial" w:cs="Arial" w:eastAsia="Arial" w:hAnsi="Arial"/>
          <w:sz w:val="18"/>
          <w:szCs w:val="18"/>
          <w:color w:val="auto"/>
        </w:rPr>
        <w:t>The plaintiff seeks to represent both a nationwide class and a California subclass of all persons eligible for the IRS Free File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Program who paid to use an H&amp;R Block product to file an online tax return for the 2002 through 2018 tax filing years. The plaintiff generally alleges unlawful, unfair, fraudulent and deceptive business practices and acts in connection with the IRS Free File Program in violation of the California Consumers Legal Remedies Act, California Civil Code §§1750,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False Advertising Law, California Business and Professions Code §§17500, </w:t>
      </w:r>
      <w:r>
        <w:rPr>
          <w:rFonts w:ascii="Arial" w:cs="Arial" w:eastAsia="Arial" w:hAnsi="Arial"/>
          <w:sz w:val="18"/>
          <w:szCs w:val="18"/>
          <w:i w:val="1"/>
          <w:iCs w:val="1"/>
          <w:color w:val="auto"/>
        </w:rPr>
        <w:t>et seq</w:t>
      </w:r>
      <w:r>
        <w:rPr>
          <w:rFonts w:ascii="Arial" w:cs="Arial" w:eastAsia="Arial" w:hAnsi="Arial"/>
          <w:sz w:val="18"/>
          <w:szCs w:val="18"/>
          <w:color w:val="auto"/>
        </w:rPr>
        <w:t xml:space="preserve">., California Unfair Competition Law, California Business and Professions Code §§17200, </w:t>
      </w:r>
      <w:r>
        <w:rPr>
          <w:rFonts w:ascii="Arial" w:cs="Arial" w:eastAsia="Arial" w:hAnsi="Arial"/>
          <w:sz w:val="18"/>
          <w:szCs w:val="18"/>
          <w:i w:val="1"/>
          <w:iCs w:val="1"/>
          <w:color w:val="auto"/>
        </w:rPr>
        <w:t>et seq</w:t>
      </w:r>
      <w:r>
        <w:rPr>
          <w:rFonts w:ascii="Arial" w:cs="Arial" w:eastAsia="Arial" w:hAnsi="Arial"/>
          <w:sz w:val="18"/>
          <w:szCs w:val="18"/>
          <w:color w:val="auto"/>
        </w:rPr>
        <w:t>., in addition to breach of contract and fraud. The plaintiff seeks injunctive relief, disgorgement, compensatory damages, statutory damages, punitive damages, interest, attorneys’ fees and costs. We filed a motion to stay the proceedings based on the primary jurisdiction doctrine and a motion to compel arbitration, both of which remain pending. We have not concluded that a loss related to this matter is probable, nor have we accrued a liability related to this matter.</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have also received and are responding to certain governmental inquiries relating to the IRS Free File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3114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0" w:hanging="290"/>
        <w:spacing w:after="0"/>
        <w:tabs>
          <w:tab w:leader="none" w:pos="400" w:val="left"/>
        </w:tabs>
        <w:numPr>
          <w:ilvl w:val="0"/>
          <w:numId w:val="11"/>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b w:val="1"/>
          <w:bCs w:val="1"/>
          <w:color w:val="auto"/>
        </w:rPr>
        <w:t xml:space="preserve">LITIGATION, CLAIMS, INCLUDING INDEMNIFICATION AND CONTRIBUTION CLAIMS, OR OTHER LOSS CONTINGENCIES PERTAINING TO DISCONTINUED MORTGAGE OPERATIONS </w:t>
      </w:r>
      <w:r>
        <w:rPr>
          <w:rFonts w:ascii="Arial" w:cs="Arial" w:eastAsia="Arial" w:hAnsi="Arial"/>
          <w:sz w:val="18"/>
          <w:szCs w:val="18"/>
          <w:color w:val="auto"/>
        </w:rPr>
        <w:t>– Although SCC ceased its mortgage loan origination activities in December</w:t>
      </w:r>
      <w:r>
        <w:rPr>
          <w:rFonts w:ascii="Arial" w:cs="Arial" w:eastAsia="Arial" w:hAnsi="Arial"/>
          <w:sz w:val="18"/>
          <w:szCs w:val="18"/>
          <w:b w:val="1"/>
          <w:bCs w:val="1"/>
          <w:color w:val="auto"/>
        </w:rPr>
        <w:t xml:space="preserve"> </w:t>
      </w:r>
      <w:r>
        <w:rPr>
          <w:rFonts w:ascii="Arial" w:cs="Arial" w:eastAsia="Arial" w:hAnsi="Arial"/>
          <w:sz w:val="18"/>
          <w:szCs w:val="18"/>
          <w:color w:val="auto"/>
        </w:rPr>
        <w:t>2007 and sold its loan servicing business in April 2008, SCC or the Company has been, remains, and may in the future be, subject to litigation, claims, including indemnification and contribution claims, and other loss contingencies pertaining to SCC's mortgage business activities that occurred prior to such termination and sale. These lawsuits, claims, and other loss contingencies include actions by regulators, third parties seeking indemnification or contribution, including depositors, underwriters, and securitization trustees, individual plaintiffs, and cases in which plaintiffs seek to represent a class of others alleged to be similarly situated. Among other things, these lawsuits, claims, and contingencies allege or may allege discriminatory or unfair and deceptive loan origination and servicing (including debt collection, foreclosure, and eviction) practices, other common law torts, rights to indemnification or contribution, breach of contract, violations of securities laws, and violations of a variety of federal statutes, including the Truth in Lending Act (TILA), Equal Credit Opportunity Act, Fair Housing Act, Real Estate Settlement Procedures Act (RESPA), Home Ownership &amp; Equity Protection Act (HOEPA), as well as similar state statutes. 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some of which are beyond the Company's control, and the indeterminate damages sought in some of these matters.</w:t>
      </w:r>
    </w:p>
    <w:p>
      <w:pPr>
        <w:spacing w:after="0" w:line="97" w:lineRule="exact"/>
        <w:rPr>
          <w:sz w:val="20"/>
          <w:szCs w:val="20"/>
          <w:color w:val="auto"/>
        </w:rPr>
      </w:pPr>
    </w:p>
    <w:p>
      <w:pPr>
        <w:jc w:val="both"/>
        <w:ind w:firstLine="229"/>
        <w:spacing w:after="0" w:line="251" w:lineRule="auto"/>
        <w:rPr>
          <w:sz w:val="20"/>
          <w:szCs w:val="20"/>
          <w:color w:val="auto"/>
        </w:rPr>
      </w:pPr>
      <w:r>
        <w:rPr>
          <w:rFonts w:ascii="Arial" w:cs="Arial" w:eastAsia="Arial" w:hAnsi="Arial"/>
          <w:sz w:val="18"/>
          <w:szCs w:val="18"/>
          <w:color w:val="auto"/>
        </w:rPr>
        <w:t xml:space="preserve">Mortgage loans originated by SCC were sold either as whole loans to single third-party buyers, who generally securitized such loans, or in the form of RMBSs. In connection with the sale of loans and/or RMBSs, SCC made certain representations and warranties. The statute of limitations for a contractual claim to enforce a representation and warranty obligation is generally six years or such shorter limitations period that may apply under the law of a state where the economic injury occurred. On June 11, 2015, the New York Court of Appeals, New York’s highest court, held in </w:t>
      </w:r>
      <w:r>
        <w:rPr>
          <w:rFonts w:ascii="Arial" w:cs="Arial" w:eastAsia="Arial" w:hAnsi="Arial"/>
          <w:sz w:val="18"/>
          <w:szCs w:val="18"/>
          <w:i w:val="1"/>
          <w:iCs w:val="1"/>
          <w:color w:val="auto"/>
        </w:rPr>
        <w:t>ACE Securities Corp. v. DB Structured Products, Inc.</w:t>
      </w:r>
      <w:r>
        <w:rPr>
          <w:rFonts w:ascii="Arial" w:cs="Arial" w:eastAsia="Arial" w:hAnsi="Arial"/>
          <w:sz w:val="18"/>
          <w:szCs w:val="18"/>
          <w:color w:val="auto"/>
        </w:rPr>
        <w:t>, that the six-year statute of limitations under New York law starts to run at the time the representations and warranties are made, not the date when the repurchase demand was denied. This decision applies to claims and lawsuits brought against SCC where New York law governs. New York law governs many, though not all, of the RMBS transactions into which SCC entered. However, this decision would not affect representation and warranty claims and lawsuits SCC has received or may receive, for example, where the statute of limitations has been tolled by agreement or a suit was timely filed.</w:t>
      </w:r>
    </w:p>
    <w:p>
      <w:pPr>
        <w:spacing w:after="0" w:line="194" w:lineRule="exact"/>
        <w:rPr>
          <w:sz w:val="20"/>
          <w:szCs w:val="20"/>
          <w:color w:val="auto"/>
        </w:rPr>
      </w:pPr>
    </w:p>
    <w:p>
      <w:pPr>
        <w:jc w:val="both"/>
        <w:ind w:firstLine="229"/>
        <w:spacing w:after="0" w:line="254" w:lineRule="auto"/>
        <w:rPr>
          <w:sz w:val="20"/>
          <w:szCs w:val="20"/>
          <w:color w:val="auto"/>
        </w:rPr>
      </w:pPr>
      <w:r>
        <w:rPr>
          <w:rFonts w:ascii="Arial" w:cs="Arial" w:eastAsia="Arial" w:hAnsi="Arial"/>
          <w:sz w:val="18"/>
          <w:szCs w:val="18"/>
          <w:color w:val="auto"/>
        </w:rPr>
        <w:t xml:space="preserve">In response to the statute of limitations rulings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and similar rulings in other state and federal courts, parties seeking to pursue representation and warranty claims or lawsuits have sought, and may in the future seek, to distinguish certain aspects of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pursue alternate legal theories of recovery, or assert claims against other contractual parties such as securitization trustees. For example, a 2016 ruling by a New York intermediate appellate court, followed by the federal district court in the second Homeward case described below, allowed a counterparty to pursue litigation on additional loans in the same trust even though only some of the loans complied with the condition precedent of timely pre-suit notice and opportunity to cure or repurchase. Additionally, plaintiffs in litigation to which SCC is not party have alleged breaches of an independent contractual duty to provide notice of material breaches of representations and warranties and pursued separate claims to which, they argue, the statute of limitations ruling in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case does not apply. The impact on SCC from alternative legal theories seeking to avoid or distinguish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or judicial limitations on the </w:t>
      </w:r>
      <w:r>
        <w:rPr>
          <w:rFonts w:ascii="Arial" w:cs="Arial" w:eastAsia="Arial" w:hAnsi="Arial"/>
          <w:sz w:val="18"/>
          <w:szCs w:val="18"/>
          <w:i w:val="1"/>
          <w:iCs w:val="1"/>
          <w:color w:val="auto"/>
        </w:rPr>
        <w:t>ACE</w:t>
      </w:r>
      <w:r>
        <w:rPr>
          <w:rFonts w:ascii="Arial" w:cs="Arial" w:eastAsia="Arial" w:hAnsi="Arial"/>
          <w:sz w:val="18"/>
          <w:szCs w:val="18"/>
          <w:color w:val="auto"/>
        </w:rPr>
        <w:t xml:space="preserve"> decision, is unclear. SCC has not accrued liabilities for claims not subject to a tolling arrangement or not relating back to timely filed litigation.</w:t>
      </w:r>
    </w:p>
    <w:p>
      <w:pPr>
        <w:spacing w:after="0" w:line="203"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May 31, 2012, a lawsuit was filed by Homeward Residential, Inc. (Homeward) in the Supreme Court of the State of New York, County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(Index No. 651885/2012). SCC removed the case to the United States District Court for the Southern District of New York on June 28, 2012 (Case No. 12-cv-5067). The plaintiff, in its capacity as the master servicer for Option One Mortgage Loan Trust 2006-2 and for the benefit of the trustee and the certificate holders of such trust, asserts claims for breach of contract, anticipatory breach, indemnity, and declaratory judgment in connection with alleged losses incurred as a result of the breach of representations and warranties relating to SCC and to loans sold to the trust. The trust was originally collateralized with approximately 7,500 loans. The plaintiff seeks specific performance of alleged repurchase obligations or damages to compensate the trust and its certificate holders for alleged actual and anticipated losses, as well as a repurchase of all loans due to alleged misrepresentations by SCC as to itself and as to the loans' compliance with its underwriting standards and the value of underlying real estate. In response to a motion filed by SCC, the court dismissed the plaintiff's claims for breach of the duty to cure or repurchase, anticipatory breach, indemnity,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288925</wp:posOffset>
            </wp:positionV>
            <wp:extent cx="22288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19</w:t>
      </w:r>
    </w:p>
    <w:p>
      <w:pPr>
        <w:sectPr>
          <w:pgSz w:w="11900" w:h="16838" w:orient="portrait"/>
          <w:cols w:equalWidth="0" w:num="1">
            <w:col w:w="11240"/>
          </w:cols>
          <w:pgMar w:left="320" w:top="249" w:right="3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declaratory judgment.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Discovery in the case closed on September 30, 2019. Motions for summary judgment were filed on December 6, 2019 and remain pending, with briefing on the motions continuing through March 2020. A mediation session between the parties was held on January 28, 2020, which did not result in resolution of the case. A trial date has not yet been set. We have not concluded that a loss related to this matter is probable, nor have we accrued a liability related to this matter.</w:t>
      </w:r>
    </w:p>
    <w:p>
      <w:pPr>
        <w:spacing w:after="0" w:line="100"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 xml:space="preserve">On September 28, 2012, a second lawsuit was filed by Homeward in the United States District Court for the Southern District of New York against SCC styled </w:t>
      </w:r>
      <w:r>
        <w:rPr>
          <w:rFonts w:ascii="Arial" w:cs="Arial" w:eastAsia="Arial" w:hAnsi="Arial"/>
          <w:sz w:val="18"/>
          <w:szCs w:val="18"/>
          <w:i w:val="1"/>
          <w:iCs w:val="1"/>
          <w:color w:val="auto"/>
        </w:rPr>
        <w:t>Homeward Residential, Inc. v. Sand Canyon Corporation</w:t>
      </w:r>
      <w:r>
        <w:rPr>
          <w:rFonts w:ascii="Arial" w:cs="Arial" w:eastAsia="Arial" w:hAnsi="Arial"/>
          <w:sz w:val="18"/>
          <w:szCs w:val="18"/>
          <w:color w:val="auto"/>
        </w:rPr>
        <w:t xml:space="preserve"> (Case No. 12-cv-7319). The plaintiff, in its capacity as the master servicer for Option One Mortgage Loan Trust 2006-3 and for the benefit of the trustee and the certificate holders of such trust, asserts claims for breach of contract and indemnity in connection with losses allegedly incurred as a result of the breach of representations and warranties relating to 96 loans sold to the trust. The trust was originally collateralized with approximately 7,500 loans. The plaintiff seeks specific performance of alleged repurchase obligations or damages to compensate the trust and its certificate holders for alleged actual and anticipated losses. In response to a motion filed by SCC, the court dismissed the plaintiff's claims for breach of the duty to cure or repurchase and for indemnification of its costs associated with the litigation. On September 30, 2016, the court granted a motion allowing the plaintiff to file a second amended complaint to include breach of contract claims with respect to 649 additional loans in the trust and to allow such claims with respect to other loans in the trust proven to be in material breach of SCC’s representations and warranties. SCC filed a motion for reconsideration, followed by a motion for leave to appeal the ruling, both of which were denied. On October 6, 2016, the plaintiff filed its second amended complaint. In response to a motion filed by SCC, the court dismissed the plaintiff's claim for breach of one of the representations. The case is proceeding on the remaining claims. Representatives of a holder of certificates in the trust filed a motion to intervene to add H&amp;R Block, Inc. to the lawsuit and assert claims against H&amp;R Block, Inc. based on alter ego, corporate veil-piercing, and agency law. On February 12, 2018, the court denied the motion to intervene. The settlement payments that were made in fiscal year 2018 for representation and warranty claims are related to some of the loans in this case. Discovery in the case closed on September 30, 2019. Motions for summary judgment were filed on December 6, 2019 and remain pending, with briefing on the motions continuing through March 2020. A mediation session between the parties was held on January 28, 2020, which did not result in resolution of the case. A trial date has not yet been set. We have not concluded that a loss related to this matter is probable, nor have we accrued a liability related to this matter.</w:t>
      </w:r>
    </w:p>
    <w:p>
      <w:pPr>
        <w:spacing w:after="0" w:line="99" w:lineRule="exact"/>
        <w:rPr>
          <w:sz w:val="20"/>
          <w:szCs w:val="20"/>
          <w:color w:val="auto"/>
        </w:rPr>
      </w:pPr>
    </w:p>
    <w:p>
      <w:pPr>
        <w:jc w:val="both"/>
        <w:ind w:firstLine="216"/>
        <w:spacing w:after="0" w:line="251" w:lineRule="auto"/>
        <w:rPr>
          <w:sz w:val="20"/>
          <w:szCs w:val="20"/>
          <w:color w:val="auto"/>
        </w:rPr>
      </w:pPr>
      <w:r>
        <w:rPr>
          <w:rFonts w:ascii="Arial" w:cs="Arial" w:eastAsia="Arial" w:hAnsi="Arial"/>
          <w:sz w:val="18"/>
          <w:szCs w:val="18"/>
          <w:color w:val="auto"/>
        </w:rPr>
        <w:t>Underwriters and depositors are, or have been, involved in multiple lawsuits, threatened lawsuits, and settlements related to securitization transactions in which SCC participated. A variety of claims are alleged in these matters, including violations of federal and state securities laws and common law fraud, based on alleged materially inaccurate or misleading disclosures, or that originators, depositors, servicers, or other parties breached their representations and warranties or otherwise failed to fulfill their obligations. SCC has received notices of claims for indemnification relating to such matters, including lawsuits to which underwriters or depositors are party. Based on information currently available to SCC, it believes that the 21 underwriter lawsuits in which notice of a claim has been made involve 39 securitization transactions with original investments of approximately $14 billion (of which the outstanding principal amount is approximately $2.9 billion). Additional lawsuits against the underwriters or depositors may be filed in the future, and SCC may receive additional notices of claims for indemnification or contribution from underwriters or depositors with respect to existing or new lawsuits or settlements of such lawsuits or other claims. Certain of the notices received included, and future notices may include, a reservation of rights to assert claims for contribution, which are referred to herein as "contribution claims." Contribution claims may become operative if indemnification is unavailable or insufficient to cover all of the losses and expenses involved. We have not concluded that a loss related to any of these indemnification or contribution claims is probable, nor have we accrued a liability related to any of these claims.</w:t>
      </w:r>
    </w:p>
    <w:p>
      <w:pPr>
        <w:spacing w:after="0" w:line="102"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Securitization trustees also are, or have been, involved in lawsuits related to securitization transactions in which SCC participated. Plaintiffs in these lawsuits allege, among other things, that originators, depositors, servicers, or other parties breached their representations and warranties or otherwise failed to fulfill their obligations, including that securitization trustees breached their contractual obligations, breached their fiduciary duties, or violated statutory requirements by failing to properly protect the certificate holders’ interests. SCC has received notices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2311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400" w:hanging="290"/>
        <w:spacing w:after="0"/>
        <w:tabs>
          <w:tab w:leader="none" w:pos="400" w:val="left"/>
        </w:tabs>
        <w:numPr>
          <w:ilvl w:val="0"/>
          <w:numId w:val="12"/>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securitization trustees of potential indemnification obligations, and may receive additional notices with respect to existing or new lawsuits or settlements of such lawsuits, in its capacity as originator, depositor, or servicer. We have not concluded that a loss related to any of these indemnification claims is probable, nor have we accrued a liability related to any of these claims.</w:t>
      </w:r>
    </w:p>
    <w:p>
      <w:pPr>
        <w:spacing w:after="0" w:line="94" w:lineRule="exact"/>
        <w:rPr>
          <w:sz w:val="20"/>
          <w:szCs w:val="20"/>
          <w:color w:val="auto"/>
        </w:rPr>
      </w:pPr>
    </w:p>
    <w:p>
      <w:pPr>
        <w:jc w:val="both"/>
        <w:ind w:firstLine="229"/>
        <w:spacing w:after="0" w:line="252" w:lineRule="auto"/>
        <w:rPr>
          <w:sz w:val="20"/>
          <w:szCs w:val="20"/>
          <w:color w:val="auto"/>
        </w:rPr>
      </w:pPr>
      <w:r>
        <w:rPr>
          <w:rFonts w:ascii="Arial" w:cs="Arial" w:eastAsia="Arial" w:hAnsi="Arial"/>
          <w:sz w:val="18"/>
          <w:szCs w:val="18"/>
          <w:color w:val="auto"/>
        </w:rPr>
        <w:t>If the amount that SCC is ultimately required to pay with respect to claims and litigation related to its past sales and securitizations of mortgage loans,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may also attempt to assert claims against or seek payment directly from the Company even if SCC's assets exceed its liabilities. SCC's principal assets, as of January 31, 2020, total approximately $278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spacing w:after="0" w:line="75" w:lineRule="exact"/>
        <w:rPr>
          <w:sz w:val="20"/>
          <w:szCs w:val="20"/>
          <w:color w:val="auto"/>
        </w:rPr>
      </w:pPr>
    </w:p>
    <w:p>
      <w:pPr>
        <w:jc w:val="both"/>
        <w:ind w:firstLine="216"/>
        <w:spacing w:after="0" w:line="268" w:lineRule="auto"/>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color w:val="auto"/>
        </w:rPr>
        <w:t>– We are from time to time a party to litigation, claims and other loss contingencies not discussed herein arising out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operations. These matters may include actions by state attorneys general, other state regulators, federal regulators, individual plaintiffs, and cases in which plaintiffs seek to represent others who may be similarly situated.</w:t>
      </w:r>
    </w:p>
    <w:p>
      <w:pPr>
        <w:spacing w:after="0" w:line="85" w:lineRule="exact"/>
        <w:rPr>
          <w:sz w:val="20"/>
          <w:szCs w:val="20"/>
          <w:color w:val="auto"/>
        </w:rPr>
      </w:pPr>
    </w:p>
    <w:p>
      <w:pPr>
        <w:jc w:val="both"/>
        <w:ind w:firstLine="216"/>
        <w:spacing w:after="0" w:line="256" w:lineRule="auto"/>
        <w:rPr>
          <w:sz w:val="20"/>
          <w:szCs w:val="20"/>
          <w:color w:val="auto"/>
        </w:rPr>
      </w:pPr>
      <w:r>
        <w:rPr>
          <w:rFonts w:ascii="Arial" w:cs="Arial" w:eastAsia="Arial" w:hAnsi="Arial"/>
          <w:sz w:val="18"/>
          <w:szCs w:val="18"/>
          <w:color w:val="auto"/>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pacing w:after="0" w:line="94"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285115</wp:posOffset>
            </wp:positionV>
            <wp:extent cx="22288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21</w:t>
      </w:r>
    </w:p>
    <w:p>
      <w:pPr>
        <w:sectPr>
          <w:pgSz w:w="11900" w:h="16838" w:orient="portrait"/>
          <w:cols w:equalWidth="0" w:num="1">
            <w:col w:w="11240"/>
          </w:cols>
          <w:pgMar w:left="320" w:top="249"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CONDENSED CONSOLIDATING FINANCIAL STATEMENTS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Block Financial LLC (Block Financial) is a 100% owned subsidiary of the Company. Block Financial is the Issuer and the Company is the full and unconditional Guarantor of the Senior Notes, our CLOC and other indebtedness issued from time to time. These condensed consolidating financial statements have been prepared using the equity method of accounting. Earnings of subsidiaries are, therefore, reflected in the Company's investment in subsidiaries account. The elimination entries eliminate investments in subsidiaries, related stockholders' equity and other intercompany balances and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8"/>
              </w:rPr>
              <w:t>CONDENSED CONSOLIDATING STATEMENTS OF OPERATIONS</w:t>
            </w: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January 31, 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58,231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478,704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(17,730)</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519,205</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35,598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439,061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(12,138)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462,521</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7,132</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207,620</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(5,592)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209,288</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128</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42,730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646,681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(17,730)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671,809</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(137,783)</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11,086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8,519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120,057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1,879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Interest expense on borrowings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(26,300)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(26,305)</w:t>
            </w:r>
          </w:p>
        </w:tc>
        <w:tc>
          <w:tcPr>
            <w:tcW w:w="0" w:type="dxa"/>
            <w:vAlign w:val="bottom"/>
          </w:tcPr>
          <w:p>
            <w:pPr>
              <w:spacing w:after="0"/>
              <w:rPr>
                <w:sz w:val="1"/>
                <w:szCs w:val="1"/>
                <w:color w:val="auto"/>
              </w:rPr>
            </w:pPr>
          </w:p>
        </w:tc>
      </w:tr>
      <w:tr>
        <w:trPr>
          <w:trHeight w:val="18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Income (loss) from continuing operations before</w:t>
            </w: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(137,911)</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(159,463)</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120,057</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(177,030)</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 benefit</w:t>
            </w:r>
          </w:p>
        </w:tc>
        <w:tc>
          <w:tcPr>
            <w:tcW w:w="2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(8,228)</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(40,739)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(49,004)</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income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(129,683)</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324</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(118,724)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120,057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(128,026)</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(1,037)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(1,657)</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(129,683)</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(119,344)</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120,057</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(129,683)</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(3,574)</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(3,574)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3,574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(3,574)</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(133,257)</w:t>
            </w:r>
          </w:p>
        </w:tc>
        <w:tc>
          <w:tcPr>
            <w:tcW w:w="1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(122,918)</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123,631</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(133,257)</w:t>
            </w:r>
          </w:p>
        </w:tc>
        <w:tc>
          <w:tcPr>
            <w:tcW w:w="0" w:type="dxa"/>
            <w:vAlign w:val="bottom"/>
          </w:tcPr>
          <w:p>
            <w:pPr>
              <w:spacing w:after="0"/>
              <w:rPr>
                <w:sz w:val="1"/>
                <w:szCs w:val="1"/>
                <w:color w:val="auto"/>
              </w:rPr>
            </w:pPr>
          </w:p>
        </w:tc>
      </w:tr>
      <w:tr>
        <w:trPr>
          <w:trHeight w:val="121"/>
        </w:trPr>
        <w:tc>
          <w:tcPr>
            <w:tcW w:w="3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Three months ended January 31, 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53,461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433,144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(18,221)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468,384</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34,533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396,672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(10,179)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421,026</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10,347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183,153</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(8,042)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185,458</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44,880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579,825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(18,221)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606,484</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(134,984)</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128,002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Interest expense on borrowings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(22,833)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(22,833)</w:t>
            </w:r>
          </w:p>
        </w:tc>
        <w:tc>
          <w:tcPr>
            <w:tcW w:w="0" w:type="dxa"/>
            <w:vAlign w:val="bottom"/>
          </w:tcPr>
          <w:p>
            <w:pPr>
              <w:spacing w:after="0"/>
              <w:rPr>
                <w:sz w:val="1"/>
                <w:szCs w:val="1"/>
                <w:color w:val="auto"/>
              </w:rPr>
            </w:pPr>
          </w:p>
        </w:tc>
      </w:tr>
      <w:tr>
        <w:trPr>
          <w:trHeight w:val="18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w:t>
            </w: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taxes (benefit)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(134,984)</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(5,349)</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(146,333)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128,002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(158,664)</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Income taxes (benefit)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(8,530)</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(30,430)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(38,885)</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(126,454)</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(5,424)</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(115,903)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128,002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(119,779)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(6,675)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(6,675)</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(126,454)</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(12,099)</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(115,903)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128,002</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(126,454)</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Other comprehensive income</w:t>
            </w:r>
          </w:p>
        </w:tc>
        <w:tc>
          <w:tcPr>
            <w:tcW w:w="2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1,238</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(125,216)</w:t>
            </w:r>
          </w:p>
        </w:tc>
        <w:tc>
          <w:tcPr>
            <w:tcW w:w="1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(12,099)</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(114,665)</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126,764</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(125,216)</w:t>
            </w:r>
          </w:p>
        </w:tc>
        <w:tc>
          <w:tcPr>
            <w:tcW w:w="0" w:type="dxa"/>
            <w:vAlign w:val="bottom"/>
          </w:tcPr>
          <w:p>
            <w:pPr>
              <w:spacing w:after="0"/>
              <w:rPr>
                <w:sz w:val="1"/>
                <w:szCs w:val="1"/>
                <w:color w:val="auto"/>
              </w:rPr>
            </w:pPr>
          </w:p>
        </w:tc>
      </w:tr>
      <w:tr>
        <w:trPr>
          <w:trHeight w:val="121"/>
        </w:trPr>
        <w:tc>
          <w:tcPr>
            <w:tcW w:w="3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23114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0" w:hanging="290"/>
        <w:spacing w:after="0"/>
        <w:tabs>
          <w:tab w:leader="none" w:pos="400" w:val="left"/>
        </w:tabs>
        <w:numPr>
          <w:ilvl w:val="0"/>
          <w:numId w:val="13"/>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8"/>
              </w:rPr>
              <w:t>CONDENSED CONSOLIDATING STATEMENTS OF OPERATIONS</w:t>
            </w:r>
          </w:p>
        </w:tc>
        <w:tc>
          <w:tcPr>
            <w:tcW w:w="10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86,515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768,544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(24,691)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830,368</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45,680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912,272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(12,833)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945,119</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1,666</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15,319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470,631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(11,858)</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475,758</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1,666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60,999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1,382,903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(24,691)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1,420,877</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(477,932)</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31,578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23,596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436,499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13,741</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Interest expense on borrowings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(68,656)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(68,682)</w:t>
            </w:r>
          </w:p>
        </w:tc>
        <w:tc>
          <w:tcPr>
            <w:tcW w:w="0" w:type="dxa"/>
            <w:vAlign w:val="bottom"/>
          </w:tcPr>
          <w:p>
            <w:pPr>
              <w:spacing w:after="0"/>
              <w:rPr>
                <w:sz w:val="1"/>
                <w:szCs w:val="1"/>
                <w:color w:val="auto"/>
              </w:rPr>
            </w:pPr>
          </w:p>
        </w:tc>
      </w:tr>
      <w:tr>
        <w:trPr>
          <w:trHeight w:val="18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w:t>
            </w: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(479,598)</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(11,562)</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(590,789)</w:t>
            </w: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436,499</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(645,450)</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(11,669)</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(3,047)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(173,430)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(188,146)</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(467,929)</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(8,515)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(417,359)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436,499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(457,304)</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(10,005)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(620)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(10,625)</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(467,929)</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(18,520)</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(417,979)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436,499</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(467,929)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(4,975)</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(4,975)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4,975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(4,975)</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(472,904)</w:t>
            </w:r>
          </w:p>
        </w:tc>
        <w:tc>
          <w:tcPr>
            <w:tcW w:w="1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(18,520)</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(422,954)</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441,474</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(472,904)</w:t>
            </w:r>
          </w:p>
        </w:tc>
        <w:tc>
          <w:tcPr>
            <w:tcW w:w="0" w:type="dxa"/>
            <w:vAlign w:val="bottom"/>
          </w:tcPr>
          <w:p>
            <w:pPr>
              <w:spacing w:after="0"/>
              <w:rPr>
                <w:sz w:val="1"/>
                <w:szCs w:val="1"/>
                <w:color w:val="auto"/>
              </w:rPr>
            </w:pPr>
          </w:p>
        </w:tc>
      </w:tr>
      <w:tr>
        <w:trPr>
          <w:trHeight w:val="121"/>
        </w:trPr>
        <w:tc>
          <w:tcPr>
            <w:tcW w:w="3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7"/>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H&amp;R Block, Inc.</w:t>
            </w:r>
          </w:p>
        </w:tc>
        <w:tc>
          <w:tcPr>
            <w:tcW w:w="3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81,751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706,775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(26,088)</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762,438</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Cost of revenues</w:t>
            </w:r>
          </w:p>
        </w:tc>
        <w:tc>
          <w:tcPr>
            <w:tcW w:w="24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859,759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(12,938)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893,401</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1,476</w:t>
            </w:r>
          </w:p>
        </w:tc>
        <w:tc>
          <w:tcPr>
            <w:tcW w:w="1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16,444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399,747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(13,150)</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404,517</w:t>
            </w:r>
          </w:p>
        </w:tc>
        <w:tc>
          <w:tcPr>
            <w:tcW w:w="0" w:type="dxa"/>
            <w:vAlign w:val="bottom"/>
          </w:tcPr>
          <w:p>
            <w:pPr>
              <w:spacing w:after="0"/>
              <w:rPr>
                <w:sz w:val="1"/>
                <w:szCs w:val="1"/>
                <w:color w:val="auto"/>
              </w:rPr>
            </w:pPr>
          </w:p>
        </w:tc>
      </w:tr>
      <w:tr>
        <w:trPr>
          <w:trHeight w:val="250"/>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1,476</w:t>
            </w: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63,024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1,259,506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(26,088)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1,297,918</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(465,085)</w:t>
            </w:r>
          </w:p>
        </w:tc>
        <w:tc>
          <w:tcPr>
            <w:tcW w:w="1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27,748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442,114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11,275</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Interest expense on borrowings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(65,082)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(65,214)</w:t>
            </w:r>
          </w:p>
        </w:tc>
        <w:tc>
          <w:tcPr>
            <w:tcW w:w="0" w:type="dxa"/>
            <w:vAlign w:val="bottom"/>
          </w:tcPr>
          <w:p>
            <w:pPr>
              <w:spacing w:after="0"/>
              <w:rPr>
                <w:sz w:val="1"/>
                <w:szCs w:val="1"/>
                <w:color w:val="auto"/>
              </w:rPr>
            </w:pPr>
          </w:p>
        </w:tc>
      </w:tr>
      <w:tr>
        <w:trPr>
          <w:trHeight w:val="18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Loss from continuing operations before income tax</w:t>
            </w:r>
          </w:p>
        </w:tc>
        <w:tc>
          <w:tcPr>
            <w:tcW w:w="2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benefit</w:t>
            </w: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(466,561)</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(18,607)</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(546,365)</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442,114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(589,419)</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Income tax benefit</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(11,161)</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(5,942)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(132,803)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(149,906)</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 from continuing operations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(455,400)</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(12,665)</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(413,562)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442,114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(439,513)</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Net loss from discontinued operations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(15,887)</w:t>
            </w:r>
          </w:p>
        </w:tc>
        <w:tc>
          <w:tcPr>
            <w:tcW w:w="0" w:type="dxa"/>
            <w:vAlign w:val="bottom"/>
          </w:tcPr>
          <w:p>
            <w:pPr>
              <w:spacing w:after="0"/>
              <w:rPr>
                <w:sz w:val="1"/>
                <w:szCs w:val="1"/>
                <w:color w:val="auto"/>
              </w:rPr>
            </w:pPr>
          </w:p>
        </w:tc>
      </w:tr>
      <w:tr>
        <w:trPr>
          <w:trHeight w:val="256"/>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24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(455,400)</w:t>
            </w:r>
          </w:p>
        </w:tc>
        <w:tc>
          <w:tcPr>
            <w:tcW w:w="14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(28,552)</w:t>
            </w:r>
          </w:p>
        </w:tc>
        <w:tc>
          <w:tcPr>
            <w:tcW w:w="12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(413,562)</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442,114</w:t>
            </w:r>
          </w:p>
        </w:tc>
        <w:tc>
          <w:tcPr>
            <w:tcW w:w="12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(455,400)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Other comprehensive loss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(3,339)</w:t>
            </w:r>
          </w:p>
        </w:tc>
        <w:tc>
          <w:tcPr>
            <w:tcW w:w="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(3,339)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3,339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(3,339)</w:t>
            </w: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Comprehensive loss</w:t>
            </w:r>
          </w:p>
        </w:tc>
        <w:tc>
          <w:tcPr>
            <w:tcW w:w="24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(458,739)</w:t>
            </w:r>
          </w:p>
        </w:tc>
        <w:tc>
          <w:tcPr>
            <w:tcW w:w="14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(28,552)</w:t>
            </w:r>
          </w:p>
        </w:tc>
        <w:tc>
          <w:tcPr>
            <w:tcW w:w="1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(416,901)</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445,453</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(458,739)</w:t>
            </w:r>
          </w:p>
        </w:tc>
        <w:tc>
          <w:tcPr>
            <w:tcW w:w="0" w:type="dxa"/>
            <w:vAlign w:val="bottom"/>
          </w:tcPr>
          <w:p>
            <w:pPr>
              <w:spacing w:after="0"/>
              <w:rPr>
                <w:sz w:val="1"/>
                <w:szCs w:val="1"/>
                <w:color w:val="auto"/>
              </w:rPr>
            </w:pPr>
          </w:p>
        </w:tc>
      </w:tr>
      <w:tr>
        <w:trPr>
          <w:trHeight w:val="121"/>
        </w:trPr>
        <w:tc>
          <w:tcPr>
            <w:tcW w:w="3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428625</wp:posOffset>
            </wp:positionV>
            <wp:extent cx="222885"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23</w:t>
      </w:r>
    </w:p>
    <w:p>
      <w:pPr>
        <w:sectPr>
          <w:pgSz w:w="11900" w:h="16838" w:orient="portrait"/>
          <w:cols w:equalWidth="0" w:num="1">
            <w:col w:w="11240"/>
          </w:cols>
          <w:pgMar w:left="320" w:top="249" w:right="3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2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January 31, 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6,306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186,034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192,340</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169,447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169,447</w:t>
            </w: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410,920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409,026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819,946</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2,628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114,790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120,229</w:t>
            </w:r>
          </w:p>
        </w:tc>
        <w:tc>
          <w:tcPr>
            <w:tcW w:w="0" w:type="dxa"/>
            <w:vAlign w:val="bottom"/>
          </w:tcPr>
          <w:p>
            <w:pPr>
              <w:spacing w:after="0"/>
              <w:rPr>
                <w:sz w:val="1"/>
                <w:szCs w:val="1"/>
                <w:color w:val="auto"/>
              </w:rPr>
            </w:pPr>
          </w:p>
        </w:tc>
      </w:tr>
      <w:tr>
        <w:trPr>
          <w:trHeight w:val="256"/>
        </w:trPr>
        <w:tc>
          <w:tcPr>
            <w:tcW w:w="34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419,854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879,297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1,301,962</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197,253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197,569</w:t>
            </w: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 right of use asset</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463,520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463,777</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433,074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433,074</w:t>
            </w: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838,830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838,830</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2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3,261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15,953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115,687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134,901</w:t>
            </w: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Investments in subsidiaries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2,955,158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119,213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(3,074,371)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Amounts due from affiliates</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2,212,575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3,253,034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(5,465,609)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53,975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28,342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82,317</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2,961,230</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2,702,930</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6,328,250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(8,539,980)</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3,452,430</w:t>
            </w:r>
          </w:p>
        </w:tc>
        <w:tc>
          <w:tcPr>
            <w:tcW w:w="0" w:type="dxa"/>
            <w:vAlign w:val="bottom"/>
          </w:tcPr>
          <w:p>
            <w:pPr>
              <w:spacing w:after="0"/>
              <w:rPr>
                <w:sz w:val="1"/>
                <w:szCs w:val="1"/>
                <w:color w:val="auto"/>
              </w:rPr>
            </w:pPr>
          </w:p>
        </w:tc>
      </w:tr>
      <w:tr>
        <w:trPr>
          <w:trHeight w:val="121"/>
        </w:trPr>
        <w:tc>
          <w:tcPr>
            <w:tcW w:w="3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1,952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14,407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140,407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156,766</w:t>
            </w: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1,676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115,783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117,459</w:t>
            </w:r>
          </w:p>
        </w:tc>
        <w:tc>
          <w:tcPr>
            <w:tcW w:w="0" w:type="dxa"/>
            <w:vAlign w:val="bottom"/>
          </w:tcPr>
          <w:p>
            <w:pPr>
              <w:spacing w:after="0"/>
              <w:rPr>
                <w:sz w:val="1"/>
                <w:szCs w:val="1"/>
                <w:color w:val="auto"/>
              </w:rPr>
            </w:pPr>
          </w:p>
        </w:tc>
      </w:tr>
      <w:tr>
        <w:trPr>
          <w:trHeight w:val="19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Accrued income taxes and reserves for uncertain</w:t>
            </w:r>
          </w:p>
        </w:tc>
        <w:tc>
          <w:tcPr>
            <w:tcW w:w="220" w:type="dxa"/>
            <w:vAlign w:val="bottom"/>
          </w:tcPr>
          <w:p>
            <w:pPr>
              <w:spacing w:after="0"/>
              <w:rPr>
                <w:sz w:val="16"/>
                <w:szCs w:val="16"/>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1,060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35,182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36,242</w:t>
            </w:r>
          </w:p>
        </w:tc>
        <w:tc>
          <w:tcPr>
            <w:tcW w:w="0" w:type="dxa"/>
            <w:vAlign w:val="bottom"/>
          </w:tcPr>
          <w:p>
            <w:pPr>
              <w:spacing w:after="0"/>
              <w:rPr>
                <w:sz w:val="1"/>
                <w:szCs w:val="1"/>
                <w:color w:val="auto"/>
              </w:rPr>
            </w:pPr>
          </w:p>
        </w:tc>
      </w:tr>
      <w:tr>
        <w:trPr>
          <w:trHeight w:val="178"/>
        </w:trPr>
        <w:tc>
          <w:tcPr>
            <w:tcW w:w="3400" w:type="dxa"/>
            <w:vAlign w:val="bottom"/>
            <w:gridSpan w:val="2"/>
          </w:tcPr>
          <w:p>
            <w:pPr>
              <w:ind w:left="200"/>
              <w:spacing w:after="0"/>
              <w:rPr>
                <w:sz w:val="20"/>
                <w:szCs w:val="20"/>
                <w:color w:val="auto"/>
              </w:rPr>
            </w:pPr>
            <w:r>
              <w:rPr>
                <w:rFonts w:ascii="Arial" w:cs="Arial" w:eastAsia="Arial" w:hAnsi="Arial"/>
                <w:sz w:val="14"/>
                <w:szCs w:val="14"/>
                <w:color w:val="auto"/>
              </w:rPr>
              <w:t>tax positions</w:t>
            </w:r>
          </w:p>
        </w:tc>
        <w:tc>
          <w:tcPr>
            <w:tcW w:w="22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Current portion of long-term debt</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649,022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649,022</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153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187,737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187,890</w:t>
            </w:r>
          </w:p>
        </w:tc>
        <w:tc>
          <w:tcPr>
            <w:tcW w:w="0" w:type="dxa"/>
            <w:vAlign w:val="bottom"/>
          </w:tcPr>
          <w:p>
            <w:pPr>
              <w:spacing w:after="0"/>
              <w:rPr>
                <w:sz w:val="1"/>
                <w:szCs w:val="1"/>
                <w:color w:val="auto"/>
              </w:rPr>
            </w:pPr>
          </w:p>
        </w:tc>
      </w:tr>
      <w:tr>
        <w:trPr>
          <w:trHeight w:val="27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30,695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159,547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190,242</w:t>
            </w:r>
          </w:p>
        </w:tc>
        <w:tc>
          <w:tcPr>
            <w:tcW w:w="0" w:type="dxa"/>
            <w:vAlign w:val="bottom"/>
          </w:tcPr>
          <w:p>
            <w:pPr>
              <w:spacing w:after="0"/>
              <w:rPr>
                <w:sz w:val="1"/>
                <w:szCs w:val="1"/>
                <w:color w:val="auto"/>
              </w:rPr>
            </w:pPr>
          </w:p>
        </w:tc>
      </w:tr>
      <w:tr>
        <w:trPr>
          <w:trHeight w:val="250"/>
        </w:trPr>
        <w:tc>
          <w:tcPr>
            <w:tcW w:w="3400" w:type="dxa"/>
            <w:vAlign w:val="bottom"/>
            <w:gridSpan w:val="2"/>
          </w:tcPr>
          <w:p>
            <w:pPr>
              <w:ind w:left="18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21"/>
                <w:szCs w:val="21"/>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b w:val="1"/>
                <w:bCs w:val="1"/>
                <w:color w:val="auto"/>
              </w:rPr>
              <w:t>1,952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697,013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638,656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1,337,621</w:t>
            </w: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Long-term debt and line of credit borrowings</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1,880,589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1,880,589</w:t>
            </w:r>
          </w:p>
        </w:tc>
        <w:tc>
          <w:tcPr>
            <w:tcW w:w="0" w:type="dxa"/>
            <w:vAlign w:val="bottom"/>
          </w:tcPr>
          <w:p>
            <w:pPr>
              <w:spacing w:after="0"/>
              <w:rPr>
                <w:sz w:val="1"/>
                <w:szCs w:val="1"/>
                <w:color w:val="auto"/>
              </w:rPr>
            </w:pPr>
          </w:p>
        </w:tc>
      </w:tr>
      <w:tr>
        <w:trPr>
          <w:trHeight w:val="19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Deferred tax liabilities and reserves for uncertain</w:t>
            </w:r>
          </w:p>
        </w:tc>
        <w:tc>
          <w:tcPr>
            <w:tcW w:w="220" w:type="dxa"/>
            <w:vAlign w:val="bottom"/>
          </w:tcPr>
          <w:p>
            <w:pPr>
              <w:spacing w:after="0"/>
              <w:rPr>
                <w:sz w:val="16"/>
                <w:szCs w:val="16"/>
                <w:color w:val="auto"/>
              </w:rPr>
            </w:pP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24,623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1,486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146,845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172,954</w:t>
            </w:r>
          </w:p>
        </w:tc>
        <w:tc>
          <w:tcPr>
            <w:tcW w:w="0" w:type="dxa"/>
            <w:vAlign w:val="bottom"/>
          </w:tcPr>
          <w:p>
            <w:pPr>
              <w:spacing w:after="0"/>
              <w:rPr>
                <w:sz w:val="1"/>
                <w:szCs w:val="1"/>
                <w:color w:val="auto"/>
              </w:rPr>
            </w:pPr>
          </w:p>
        </w:tc>
      </w:tr>
      <w:tr>
        <w:trPr>
          <w:trHeight w:val="178"/>
        </w:trPr>
        <w:tc>
          <w:tcPr>
            <w:tcW w:w="3400" w:type="dxa"/>
            <w:vAlign w:val="bottom"/>
            <w:gridSpan w:val="2"/>
          </w:tcPr>
          <w:p>
            <w:pPr>
              <w:ind w:left="200"/>
              <w:spacing w:after="0"/>
              <w:rPr>
                <w:sz w:val="20"/>
                <w:szCs w:val="20"/>
                <w:color w:val="auto"/>
              </w:rPr>
            </w:pPr>
            <w:r>
              <w:rPr>
                <w:rFonts w:ascii="Arial" w:cs="Arial" w:eastAsia="Arial" w:hAnsi="Arial"/>
                <w:sz w:val="14"/>
                <w:szCs w:val="14"/>
                <w:color w:val="auto"/>
              </w:rPr>
              <w:t>tax positions</w:t>
            </w:r>
          </w:p>
        </w:tc>
        <w:tc>
          <w:tcPr>
            <w:tcW w:w="2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Operating lease liabilities</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289,191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289,299</w:t>
            </w:r>
          </w:p>
        </w:tc>
        <w:tc>
          <w:tcPr>
            <w:tcW w:w="0" w:type="dxa"/>
            <w:vAlign w:val="bottom"/>
          </w:tcPr>
          <w:p>
            <w:pPr>
              <w:spacing w:after="0"/>
              <w:rPr>
                <w:sz w:val="1"/>
                <w:szCs w:val="1"/>
                <w:color w:val="auto"/>
              </w:rPr>
            </w:pPr>
          </w:p>
        </w:tc>
      </w:tr>
      <w:tr>
        <w:trPr>
          <w:trHeight w:val="264"/>
        </w:trPr>
        <w:tc>
          <w:tcPr>
            <w:tcW w:w="340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4,521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85,825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90,346</w:t>
            </w:r>
          </w:p>
        </w:tc>
        <w:tc>
          <w:tcPr>
            <w:tcW w:w="0" w:type="dxa"/>
            <w:vAlign w:val="bottom"/>
          </w:tcPr>
          <w:p>
            <w:pPr>
              <w:spacing w:after="0"/>
              <w:rPr>
                <w:sz w:val="1"/>
                <w:szCs w:val="1"/>
                <w:color w:val="auto"/>
              </w:rPr>
            </w:pPr>
          </w:p>
        </w:tc>
      </w:tr>
      <w:tr>
        <w:trPr>
          <w:trHeight w:val="27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3,253,034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2,212,575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(5,465,609)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3,279,609</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2,583,717</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3,373,092</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(5,465,609)</w:t>
            </w:r>
          </w:p>
        </w:tc>
        <w:tc>
          <w:tcPr>
            <w:tcW w:w="10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3,770,809</w:t>
            </w:r>
          </w:p>
        </w:tc>
        <w:tc>
          <w:tcPr>
            <w:tcW w:w="0" w:type="dxa"/>
            <w:vAlign w:val="bottom"/>
          </w:tcPr>
          <w:p>
            <w:pPr>
              <w:spacing w:after="0"/>
              <w:rPr>
                <w:sz w:val="1"/>
                <w:szCs w:val="1"/>
                <w:color w:val="auto"/>
              </w:rPr>
            </w:pPr>
          </w:p>
        </w:tc>
      </w:tr>
      <w:tr>
        <w:trPr>
          <w:trHeight w:val="25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 (deficiency)</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(318,379)</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119,213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2,955,158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(3,074,371)</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(318,379)</w:t>
            </w: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2,961,230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2,702,930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6,328,250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(8,539,980)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3,452,430</w:t>
            </w:r>
          </w:p>
        </w:tc>
        <w:tc>
          <w:tcPr>
            <w:tcW w:w="0" w:type="dxa"/>
            <w:vAlign w:val="bottom"/>
          </w:tcPr>
          <w:p>
            <w:pPr>
              <w:spacing w:after="0"/>
              <w:rPr>
                <w:sz w:val="1"/>
                <w:szCs w:val="1"/>
                <w:color w:val="auto"/>
              </w:rPr>
            </w:pPr>
          </w:p>
        </w:tc>
      </w:tr>
      <w:tr>
        <w:trPr>
          <w:trHeight w:val="121"/>
        </w:trPr>
        <w:tc>
          <w:tcPr>
            <w:tcW w:w="32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23114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0" w:hanging="290"/>
        <w:spacing w:after="0"/>
        <w:tabs>
          <w:tab w:leader="none" w:pos="400" w:val="left"/>
        </w:tabs>
        <w:numPr>
          <w:ilvl w:val="0"/>
          <w:numId w:val="14"/>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January 31, 2019</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198,504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203,226</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101,903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101,903</w:t>
            </w:r>
          </w:p>
        </w:tc>
      </w:tr>
      <w:tr>
        <w:trPr>
          <w:trHeight w:val="27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392,257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365,960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758,217</w:t>
            </w:r>
          </w:p>
        </w:tc>
      </w:tr>
      <w:tr>
        <w:trPr>
          <w:trHeight w:val="264"/>
        </w:trPr>
        <w:tc>
          <w:tcPr>
            <w:tcW w:w="3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2,637</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165,858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171,306</w:t>
            </w:r>
          </w:p>
        </w:tc>
      </w:tr>
      <w:tr>
        <w:trPr>
          <w:trHeight w:val="25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399,616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832,225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1,234,652</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466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220,039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220,505</w:t>
            </w:r>
          </w:p>
        </w:tc>
      </w:tr>
      <w:tr>
        <w:trPr>
          <w:trHeight w:val="27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356,952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356,952</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520,005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520,005</w:t>
            </w:r>
          </w:p>
        </w:tc>
      </w:tr>
      <w:tr>
        <w:trPr>
          <w:trHeight w:val="27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17,941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141,366</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Investments in subsidiaries</w:t>
            </w:r>
          </w:p>
        </w:tc>
        <w:tc>
          <w:tcPr>
            <w:tcW w:w="220" w:type="dxa"/>
            <w:vAlign w:val="bottom"/>
          </w:tcPr>
          <w:p>
            <w:pPr>
              <w:spacing w:after="0"/>
              <w:rPr>
                <w:sz w:val="22"/>
                <w:szCs w:val="22"/>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2,485,857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102,763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(2,588,620)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from affiliates</w:t>
            </w:r>
          </w:p>
        </w:tc>
        <w:tc>
          <w:tcPr>
            <w:tcW w:w="22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1,559,416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2,679,945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(4,239,361)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Other noncurrent assets</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57,230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38,096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95,326</w:t>
            </w:r>
          </w:p>
        </w:tc>
      </w:tr>
      <w:tr>
        <w:trPr>
          <w:trHeight w:val="250"/>
        </w:trPr>
        <w:tc>
          <w:tcPr>
            <w:tcW w:w="36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2,490,462</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2,034,669</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4,871,656</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(6,827,981)</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2,568,806</w:t>
            </w:r>
          </w:p>
        </w:tc>
      </w:tr>
      <w:tr>
        <w:trPr>
          <w:trHeight w:val="121"/>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7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14,823</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18,475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168,803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202,101</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1,333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139,569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140,902</w:t>
            </w:r>
          </w:p>
        </w:tc>
      </w:tr>
      <w:tr>
        <w:trPr>
          <w:trHeight w:val="20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income taxes and reserves for uncertain tax</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4"/>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2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47,949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49,009</w:t>
            </w:r>
          </w:p>
        </w:tc>
      </w:tr>
      <w:tr>
        <w:trPr>
          <w:trHeight w:val="264"/>
        </w:trPr>
        <w:tc>
          <w:tcPr>
            <w:tcW w:w="3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28,441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167,193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195,634</w:t>
            </w:r>
          </w:p>
        </w:tc>
      </w:tr>
      <w:tr>
        <w:trPr>
          <w:trHeight w:val="256"/>
        </w:trPr>
        <w:tc>
          <w:tcPr>
            <w:tcW w:w="36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14,823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49,309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523,514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587,646</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Long-term debt and line of credit borrowings</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1,876,989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1,876,989</w:t>
            </w:r>
          </w:p>
        </w:tc>
      </w:tr>
      <w:tr>
        <w:trPr>
          <w:trHeight w:val="20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4"/>
        </w:trPr>
        <w:tc>
          <w:tcPr>
            <w:tcW w:w="36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9,285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200,943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214,217</w:t>
            </w:r>
          </w:p>
        </w:tc>
      </w:tr>
      <w:tr>
        <w:trPr>
          <w:trHeight w:val="264"/>
        </w:trPr>
        <w:tc>
          <w:tcPr>
            <w:tcW w:w="362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2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101,926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103,545</w:t>
            </w:r>
          </w:p>
        </w:tc>
      </w:tr>
      <w:tr>
        <w:trPr>
          <w:trHeight w:val="27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2,679,945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1,559,416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(4,239,361)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2,704,053</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1,931,906</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2,385,799</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(4,239,361)</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2,782,397</w:t>
            </w:r>
          </w:p>
        </w:tc>
      </w:tr>
      <w:tr>
        <w:trPr>
          <w:trHeight w:val="250"/>
        </w:trPr>
        <w:tc>
          <w:tcPr>
            <w:tcW w:w="3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 (deficiency)</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(213,591)</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102,763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2,485,857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(2,588,620)</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(213,591)</w:t>
            </w:r>
          </w:p>
        </w:tc>
      </w:tr>
      <w:tr>
        <w:trPr>
          <w:trHeight w:val="250"/>
        </w:trPr>
        <w:tc>
          <w:tcPr>
            <w:tcW w:w="3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2,490,462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2,034,669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4,871,656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(6,827,981)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2,568,806</w:t>
            </w:r>
          </w:p>
        </w:tc>
      </w:tr>
      <w:tr>
        <w:trPr>
          <w:trHeight w:val="121"/>
        </w:trPr>
        <w:tc>
          <w:tcPr>
            <w:tcW w:w="35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960120</wp:posOffset>
            </wp:positionV>
            <wp:extent cx="222885"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25</w:t>
      </w:r>
    </w:p>
    <w:p>
      <w:pPr>
        <w:sectPr>
          <w:pgSz w:w="11900" w:h="16838" w:orient="portrait"/>
          <w:cols w:equalWidth="0" w:num="1">
            <w:col w:w="11240"/>
          </w:cols>
          <w:pgMar w:left="320" w:top="249" w:right="3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2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CONDENSED CONSOLIDATING BALANCE SHEETS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H&amp;R Block, Inc.</w:t>
            </w:r>
          </w:p>
        </w:tc>
        <w:tc>
          <w:tcPr>
            <w:tcW w:w="300" w:type="dxa"/>
            <w:vAlign w:val="bottom"/>
          </w:tcPr>
          <w:p>
            <w:pPr>
              <w:spacing w:after="0"/>
              <w:rPr>
                <w:sz w:val="16"/>
                <w:szCs w:val="16"/>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8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As of April 30, 2019</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(Issuer)</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Eliminations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&amp; cash equivalents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1,568,041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1,572,150</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Cash &amp; cash equivalents - restricted</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135,577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135,577</w:t>
            </w: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Receivables, net</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103,064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138,965</w:t>
            </w:r>
          </w:p>
        </w:tc>
      </w:tr>
      <w:tr>
        <w:trPr>
          <w:trHeight w:val="264"/>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2,812</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1,695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142,160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146,667</w:t>
            </w:r>
          </w:p>
        </w:tc>
      </w:tr>
      <w:tr>
        <w:trPr>
          <w:trHeight w:val="25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assets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41,705</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1,948,842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1,993,359</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552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211,540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212,092</w:t>
            </w: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342,493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342,493</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519,937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519,937</w:t>
            </w: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assets and income taxes receivable</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141,979</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Investments in subsidiaries</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3,378,009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137,733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(3,515,742)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from affiliates</w:t>
            </w:r>
          </w:p>
        </w:tc>
        <w:tc>
          <w:tcPr>
            <w:tcW w:w="30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1,562,958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2,815,617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(4,378,575)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Other noncurrent assets</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54,976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35,109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90,085</w:t>
            </w:r>
          </w:p>
        </w:tc>
      </w:tr>
      <w:tr>
        <w:trPr>
          <w:trHeight w:val="250"/>
        </w:trPr>
        <w:tc>
          <w:tcPr>
            <w:tcW w:w="35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Total assets</w:t>
            </w:r>
          </w:p>
        </w:tc>
        <w:tc>
          <w:tcPr>
            <w:tcW w:w="30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3,384,039</w:t>
            </w:r>
          </w:p>
        </w:tc>
        <w:tc>
          <w:tcPr>
            <w:tcW w:w="12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1,676,144</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6,134,079</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(7,894,317)</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3,299,945</w:t>
            </w:r>
          </w:p>
        </w:tc>
      </w:tr>
      <w:tr>
        <w:trPr>
          <w:trHeight w:val="121"/>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19,735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227,518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249,525</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Accrued salaries, wages and payroll taxes</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1,564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194,963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196,527</w:t>
            </w:r>
          </w:p>
        </w:tc>
      </w:tr>
      <w:tr>
        <w:trPr>
          <w:trHeight w:val="20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income taxes and reserves for uncertain</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tax positions</w:t>
            </w:r>
          </w:p>
        </w:tc>
        <w:tc>
          <w:tcPr>
            <w:tcW w:w="3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270,913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271,973</w:t>
            </w:r>
          </w:p>
        </w:tc>
      </w:tr>
      <w:tr>
        <w:trPr>
          <w:trHeight w:val="264"/>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revenue and other current liabilities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183,832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204,976</w:t>
            </w:r>
          </w:p>
        </w:tc>
      </w:tr>
      <w:tr>
        <w:trPr>
          <w:trHeight w:val="25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 current liabilities</w:t>
            </w: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43,503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877,226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923,001</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Long-term debt</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1,492,629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1,492,629</w:t>
            </w:r>
          </w:p>
        </w:tc>
      </w:tr>
      <w:tr>
        <w:trPr>
          <w:trHeight w:val="20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tax liabilities and reserves for uncertain tax</w:t>
            </w: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positions</w:t>
            </w: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24,623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1,486</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171,797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197,906</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Deferred revenue and other noncurrent liabilities</w:t>
            </w:r>
          </w:p>
        </w:tc>
        <w:tc>
          <w:tcPr>
            <w:tcW w:w="300" w:type="dxa"/>
            <w:vAlign w:val="bottom"/>
          </w:tcPr>
          <w:p>
            <w:pPr>
              <w:spacing w:after="0"/>
              <w:rPr>
                <w:sz w:val="22"/>
                <w:szCs w:val="22"/>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793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144,089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144,882</w:t>
            </w:r>
          </w:p>
        </w:tc>
      </w:tr>
      <w:tr>
        <w:trPr>
          <w:trHeight w:val="27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2,815,617</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1,562,958</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(4,378,575)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3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w:t>
            </w: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2,842,512</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1,538,411</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2,756,070</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(4,378,575)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2,758,418</w:t>
            </w:r>
          </w:p>
        </w:tc>
      </w:tr>
      <w:tr>
        <w:trPr>
          <w:trHeight w:val="25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541,527</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137,733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3,378,009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(3,515,742)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541,527</w:t>
            </w:r>
          </w:p>
        </w:tc>
      </w:tr>
      <w:tr>
        <w:trPr>
          <w:trHeight w:val="250"/>
        </w:trPr>
        <w:tc>
          <w:tcPr>
            <w:tcW w:w="3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3,384,039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1,676,144</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6,134,079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(7,894,317)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3,299,945</w:t>
            </w:r>
          </w:p>
        </w:tc>
      </w:tr>
      <w:tr>
        <w:trPr>
          <w:trHeight w:val="121"/>
        </w:trPr>
        <w:tc>
          <w:tcPr>
            <w:tcW w:w="33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260" w:type="dxa"/>
            <w:vAlign w:val="bottom"/>
            <w:tcBorders>
              <w:bottom w:val="single" w:sz="8" w:color="auto"/>
            </w:tcBorders>
            <w:shd w:val="clear" w:color="auto" w:fill="CCEEFF"/>
          </w:tcPr>
          <w:p>
            <w:pPr>
              <w:spacing w:after="0"/>
              <w:rPr>
                <w:sz w:val="10"/>
                <w:szCs w:val="10"/>
                <w:color w:val="auto"/>
              </w:rPr>
            </w:pPr>
          </w:p>
        </w:tc>
        <w:tc>
          <w:tcPr>
            <w:tcW w:w="1080" w:type="dxa"/>
            <w:vAlign w:val="bottom"/>
            <w:tcBorders>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23114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hanging="290"/>
        <w:spacing w:after="0"/>
        <w:tabs>
          <w:tab w:leader="none" w:pos="400" w:val="left"/>
        </w:tabs>
        <w:numPr>
          <w:ilvl w:val="0"/>
          <w:numId w:val="15"/>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0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CONDENSED CONSOLIDATING STATEMENTS OF CASH FLOWS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H&amp;R Block, Inc.</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7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2020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(354,155)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(1,113,636)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(1,467,791)</w:t>
            </w:r>
          </w:p>
        </w:tc>
        <w:tc>
          <w:tcPr>
            <w:tcW w:w="0" w:type="dxa"/>
            <w:vAlign w:val="bottom"/>
          </w:tcPr>
          <w:p>
            <w:pPr>
              <w:spacing w:after="0"/>
              <w:rPr>
                <w:sz w:val="1"/>
                <w:szCs w:val="1"/>
                <w:color w:val="auto"/>
              </w:rPr>
            </w:pPr>
          </w:p>
        </w:tc>
      </w:tr>
      <w:tr>
        <w:trPr>
          <w:trHeight w:val="258"/>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(66,498)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(66,510)</w:t>
            </w:r>
          </w:p>
        </w:tc>
        <w:tc>
          <w:tcPr>
            <w:tcW w:w="0" w:type="dxa"/>
            <w:vAlign w:val="bottom"/>
          </w:tcPr>
          <w:p>
            <w:pPr>
              <w:spacing w:after="0"/>
              <w:rPr>
                <w:sz w:val="1"/>
                <w:szCs w:val="1"/>
                <w:color w:val="auto"/>
              </w:rPr>
            </w:pPr>
          </w:p>
        </w:tc>
      </w:tr>
      <w:tr>
        <w:trPr>
          <w:trHeight w:val="19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Payments made for business acquisitions, net of</w:t>
            </w:r>
          </w:p>
        </w:tc>
        <w:tc>
          <w:tcPr>
            <w:tcW w:w="240" w:type="dxa"/>
            <w:vAlign w:val="bottom"/>
          </w:tcPr>
          <w:p>
            <w:pPr>
              <w:spacing w:after="0"/>
              <w:rPr>
                <w:sz w:val="16"/>
                <w:szCs w:val="16"/>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(450,282)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(450,282)</w:t>
            </w:r>
          </w:p>
        </w:tc>
        <w:tc>
          <w:tcPr>
            <w:tcW w:w="0" w:type="dxa"/>
            <w:vAlign w:val="bottom"/>
          </w:tcPr>
          <w:p>
            <w:pPr>
              <w:spacing w:after="0"/>
              <w:rPr>
                <w:sz w:val="1"/>
                <w:szCs w:val="1"/>
                <w:color w:val="auto"/>
              </w:rPr>
            </w:pPr>
          </w:p>
        </w:tc>
      </w:tr>
      <w:tr>
        <w:trPr>
          <w:trHeight w:val="178"/>
        </w:trPr>
        <w:tc>
          <w:tcPr>
            <w:tcW w:w="3500" w:type="dxa"/>
            <w:vAlign w:val="bottom"/>
            <w:gridSpan w:val="2"/>
          </w:tcPr>
          <w:p>
            <w:pPr>
              <w:ind w:left="340"/>
              <w:spacing w:after="0"/>
              <w:rPr>
                <w:sz w:val="20"/>
                <w:szCs w:val="20"/>
                <w:color w:val="auto"/>
              </w:rPr>
            </w:pPr>
            <w:r>
              <w:rPr>
                <w:rFonts w:ascii="Arial" w:cs="Arial" w:eastAsia="Arial" w:hAnsi="Arial"/>
                <w:sz w:val="14"/>
                <w:szCs w:val="14"/>
                <w:color w:val="auto"/>
              </w:rPr>
              <w:t>cash acquired</w:t>
            </w: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(32,676)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(32,890)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Payments from franchisees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14,135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469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14,604</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(649,617)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(408,952)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1,058,569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3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(10,478)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55,854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45,376</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(678,648)</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(869,623)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1,058,569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(489,702)</w:t>
            </w:r>
          </w:p>
        </w:tc>
        <w:tc>
          <w:tcPr>
            <w:tcW w:w="0" w:type="dxa"/>
            <w:vAlign w:val="bottom"/>
          </w:tcPr>
          <w:p>
            <w:pPr>
              <w:spacing w:after="0"/>
              <w:rPr>
                <w:sz w:val="1"/>
                <w:szCs w:val="1"/>
                <w:color w:val="auto"/>
              </w:rPr>
            </w:pPr>
          </w:p>
        </w:tc>
      </w:tr>
      <w:tr>
        <w:trPr>
          <w:trHeight w:val="257"/>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(285,000)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b w:val="1"/>
                <w:bCs w:val="1"/>
                <w:color w:val="auto"/>
              </w:rPr>
              <w:t>1,320,000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1,320,000</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(154,827)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(154,827)</w:t>
            </w:r>
          </w:p>
        </w:tc>
        <w:tc>
          <w:tcPr>
            <w:tcW w:w="0" w:type="dxa"/>
            <w:vAlign w:val="bottom"/>
          </w:tcPr>
          <w:p>
            <w:pPr>
              <w:spacing w:after="0"/>
              <w:rPr>
                <w:sz w:val="1"/>
                <w:szCs w:val="1"/>
                <w:color w:val="auto"/>
              </w:rPr>
            </w:pPr>
          </w:p>
        </w:tc>
      </w:tr>
      <w:tr>
        <w:trPr>
          <w:trHeight w:val="19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24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(256,199)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6"/>
                <w:szCs w:val="16"/>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(256,199)</w:t>
            </w:r>
          </w:p>
        </w:tc>
        <w:tc>
          <w:tcPr>
            <w:tcW w:w="0" w:type="dxa"/>
            <w:vAlign w:val="bottom"/>
          </w:tcPr>
          <w:p>
            <w:pPr>
              <w:spacing w:after="0"/>
              <w:rPr>
                <w:sz w:val="1"/>
                <w:szCs w:val="1"/>
                <w:color w:val="auto"/>
              </w:rPr>
            </w:pPr>
          </w:p>
        </w:tc>
      </w:tr>
      <w:tr>
        <w:trPr>
          <w:trHeight w:val="178"/>
        </w:trPr>
        <w:tc>
          <w:tcPr>
            <w:tcW w:w="3500" w:type="dxa"/>
            <w:vAlign w:val="bottom"/>
            <w:gridSpan w:val="2"/>
          </w:tcPr>
          <w:p>
            <w:pPr>
              <w:ind w:left="340"/>
              <w:spacing w:after="0"/>
              <w:rPr>
                <w:sz w:val="20"/>
                <w:szCs w:val="20"/>
                <w:color w:val="auto"/>
              </w:rPr>
            </w:pPr>
            <w:r>
              <w:rPr>
                <w:rFonts w:ascii="Arial" w:cs="Arial" w:eastAsia="Arial" w:hAnsi="Arial"/>
                <w:sz w:val="14"/>
                <w:szCs w:val="14"/>
                <w:color w:val="auto"/>
              </w:rPr>
              <w:t>surrendered</w:t>
            </w:r>
          </w:p>
        </w:tc>
        <w:tc>
          <w:tcPr>
            <w:tcW w:w="24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2,074</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2,074</w:t>
            </w:r>
          </w:p>
        </w:tc>
        <w:tc>
          <w:tcPr>
            <w:tcW w:w="0" w:type="dxa"/>
            <w:vAlign w:val="bottom"/>
          </w:tcPr>
          <w:p>
            <w:pPr>
              <w:spacing w:after="0"/>
              <w:rPr>
                <w:sz w:val="1"/>
                <w:szCs w:val="1"/>
                <w:color w:val="auto"/>
              </w:rPr>
            </w:pP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408,952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649,617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(1,058,569)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(14,136)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(14,136)</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1,035,000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635,481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(1,058,569)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611,912</w:t>
            </w:r>
          </w:p>
        </w:tc>
        <w:tc>
          <w:tcPr>
            <w:tcW w:w="0" w:type="dxa"/>
            <w:vAlign w:val="bottom"/>
          </w:tcPr>
          <w:p>
            <w:pPr>
              <w:spacing w:after="0"/>
              <w:rPr>
                <w:sz w:val="1"/>
                <w:szCs w:val="1"/>
                <w:color w:val="auto"/>
              </w:rPr>
            </w:pP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rates on cash</w:t>
            </w: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(359)</w:t>
            </w:r>
          </w:p>
        </w:tc>
        <w:tc>
          <w:tcPr>
            <w:tcW w:w="0" w:type="dxa"/>
            <w:vAlign w:val="bottom"/>
          </w:tcPr>
          <w:p>
            <w:pPr>
              <w:spacing w:after="0"/>
              <w:rPr>
                <w:sz w:val="1"/>
                <w:szCs w:val="1"/>
                <w:color w:val="auto"/>
              </w:rPr>
            </w:pPr>
          </w:p>
        </w:tc>
      </w:tr>
      <w:tr>
        <w:trPr>
          <w:trHeight w:val="17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Net increase (decrease) in cash, including restricted</w:t>
            </w:r>
          </w:p>
        </w:tc>
        <w:tc>
          <w:tcPr>
            <w:tcW w:w="240" w:type="dxa"/>
            <w:vAlign w:val="bottom"/>
          </w:tcPr>
          <w:p>
            <w:pPr>
              <w:spacing w:after="0"/>
              <w:rPr>
                <w:sz w:val="15"/>
                <w:szCs w:val="15"/>
                <w:color w:val="auto"/>
              </w:rPr>
            </w:pP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2,197</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(1,348,137)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(1,345,940)</w:t>
            </w:r>
          </w:p>
        </w:tc>
        <w:tc>
          <w:tcPr>
            <w:tcW w:w="0" w:type="dxa"/>
            <w:vAlign w:val="bottom"/>
          </w:tcPr>
          <w:p>
            <w:pPr>
              <w:spacing w:after="0"/>
              <w:rPr>
                <w:sz w:val="1"/>
                <w:szCs w:val="1"/>
                <w:color w:val="auto"/>
              </w:rPr>
            </w:pPr>
          </w:p>
        </w:tc>
      </w:tr>
      <w:tr>
        <w:trPr>
          <w:trHeight w:val="178"/>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balances</w:t>
            </w:r>
          </w:p>
        </w:tc>
        <w:tc>
          <w:tcPr>
            <w:tcW w:w="240" w:type="dxa"/>
            <w:vAlign w:val="bottom"/>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vMerge w:val="restart"/>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4,109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1,703,618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1,707,727</w:t>
            </w:r>
          </w:p>
        </w:tc>
        <w:tc>
          <w:tcPr>
            <w:tcW w:w="0" w:type="dxa"/>
            <w:vAlign w:val="bottom"/>
          </w:tcPr>
          <w:p>
            <w:pPr>
              <w:spacing w:after="0"/>
              <w:rPr>
                <w:sz w:val="1"/>
                <w:szCs w:val="1"/>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beginning of period</w:t>
            </w:r>
          </w:p>
        </w:tc>
        <w:tc>
          <w:tcPr>
            <w:tcW w:w="2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w:t>
            </w:r>
          </w:p>
        </w:tc>
        <w:tc>
          <w:tcPr>
            <w:tcW w:w="2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3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6,306</w:t>
            </w:r>
          </w:p>
        </w:tc>
        <w:tc>
          <w:tcPr>
            <w:tcW w:w="120" w:type="dxa"/>
            <w:vAlign w:val="bottom"/>
          </w:tcPr>
          <w:p>
            <w:pPr>
              <w:spacing w:after="0"/>
              <w:rPr>
                <w:sz w:val="15"/>
                <w:szCs w:val="15"/>
                <w:color w:val="auto"/>
              </w:rPr>
            </w:pP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355,481</w:t>
            </w:r>
          </w:p>
        </w:tc>
        <w:tc>
          <w:tcPr>
            <w:tcW w:w="100" w:type="dxa"/>
            <w:vAlign w:val="bottom"/>
          </w:tcPr>
          <w:p>
            <w:pPr>
              <w:spacing w:after="0"/>
              <w:rPr>
                <w:sz w:val="15"/>
                <w:szCs w:val="15"/>
                <w:color w:val="auto"/>
              </w:rPr>
            </w:pPr>
          </w:p>
        </w:tc>
        <w:tc>
          <w:tcPr>
            <w:tcW w:w="3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361,787</w:t>
            </w:r>
          </w:p>
        </w:tc>
        <w:tc>
          <w:tcPr>
            <w:tcW w:w="0" w:type="dxa"/>
            <w:vAlign w:val="bottom"/>
          </w:tcPr>
          <w:p>
            <w:pPr>
              <w:spacing w:after="0"/>
              <w:rPr>
                <w:sz w:val="1"/>
                <w:szCs w:val="1"/>
                <w:color w:val="auto"/>
              </w:rPr>
            </w:pPr>
          </w:p>
        </w:tc>
      </w:tr>
      <w:tr>
        <w:trPr>
          <w:trHeight w:val="178"/>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38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291465</wp:posOffset>
            </wp:positionV>
            <wp:extent cx="22288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27</w:t>
      </w:r>
    </w:p>
    <w:p>
      <w:pPr>
        <w:sectPr>
          <w:pgSz w:w="11900" w:h="16838" w:orient="portrait"/>
          <w:cols w:equalWidth="0" w:num="1">
            <w:col w:w="11240"/>
          </w:cols>
          <w:pgMar w:left="320" w:top="249" w:right="3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700" w:type="dxa"/>
            <w:vAlign w:val="bottom"/>
            <w:tcBorders>
              <w:bottom w:val="single" w:sz="8" w:color="auto"/>
            </w:tcBorders>
            <w:gridSpan w:val="8"/>
          </w:tcPr>
          <w:p>
            <w:pPr>
              <w:ind w:left="40"/>
              <w:spacing w:after="0"/>
              <w:rPr>
                <w:sz w:val="20"/>
                <w:szCs w:val="20"/>
                <w:color w:val="auto"/>
              </w:rPr>
            </w:pPr>
            <w:r>
              <w:rPr>
                <w:rFonts w:ascii="Arial" w:cs="Arial" w:eastAsia="Arial" w:hAnsi="Arial"/>
                <w:sz w:val="18"/>
                <w:szCs w:val="18"/>
                <w:b w:val="1"/>
                <w:bCs w:val="1"/>
                <w:color w:val="auto"/>
              </w:rPr>
              <w:t>CONDENSED CONSOLIDATING STATEMENTS OF CASH FLOWS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(in 000s)</w:t>
            </w:r>
          </w:p>
        </w:tc>
      </w:tr>
      <w:tr>
        <w:trPr>
          <w:trHeight w:val="193"/>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H&amp;R Block, Inc.</w:t>
            </w:r>
          </w:p>
        </w:tc>
        <w:tc>
          <w:tcPr>
            <w:tcW w:w="24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Block Financial</w:t>
            </w:r>
          </w:p>
        </w:tc>
        <w:tc>
          <w:tcPr>
            <w:tcW w:w="3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Consolidated</w:t>
            </w:r>
          </w:p>
        </w:tc>
      </w:tr>
      <w:tr>
        <w:trPr>
          <w:trHeight w:val="178"/>
        </w:trPr>
        <w:tc>
          <w:tcPr>
            <w:tcW w:w="33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Nine months ended January 31, 2019</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(Guarantor)</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(Issuer)</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Eliminations</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H&amp;R Block</w:t>
            </w: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operating activities</w:t>
            </w:r>
          </w:p>
        </w:tc>
        <w:tc>
          <w:tcPr>
            <w:tcW w:w="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(359,101)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(988,355)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(1,347,456)</w:t>
            </w:r>
          </w:p>
        </w:tc>
      </w:tr>
      <w:tr>
        <w:trPr>
          <w:trHeight w:val="257"/>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Cash flows from investing:</w:t>
            </w: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(79,816)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(79,982)</w:t>
            </w:r>
          </w:p>
        </w:tc>
      </w:tr>
      <w:tr>
        <w:trPr>
          <w:trHeight w:val="19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Payments made for business acquisitions, net of</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500" w:type="dxa"/>
            <w:vAlign w:val="bottom"/>
            <w:gridSpan w:val="2"/>
          </w:tcPr>
          <w:p>
            <w:pPr>
              <w:ind w:left="340"/>
              <w:spacing w:after="0"/>
              <w:rPr>
                <w:sz w:val="20"/>
                <w:szCs w:val="20"/>
                <w:color w:val="auto"/>
              </w:rPr>
            </w:pPr>
            <w:r>
              <w:rPr>
                <w:rFonts w:ascii="Arial" w:cs="Arial" w:eastAsia="Arial" w:hAnsi="Arial"/>
                <w:sz w:val="14"/>
                <w:szCs w:val="14"/>
                <w:color w:val="auto"/>
              </w:rPr>
              <w:t>cash acquired</w:t>
            </w:r>
          </w:p>
        </w:tc>
        <w:tc>
          <w:tcPr>
            <w:tcW w:w="24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(42,428)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(42,428)</w:t>
            </w: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Franchise loans funded</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(16,198)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(16,875)</w:t>
            </w: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Payments from franchisees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14,834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15,149</w:t>
            </w: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(18,579)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(254,491)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273,070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350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9,623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4,877</w:t>
            </w: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(24,855)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(367,474)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273,070</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(119,259)</w:t>
            </w:r>
          </w:p>
        </w:tc>
      </w:tr>
      <w:tr>
        <w:trPr>
          <w:trHeight w:val="258"/>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Cash flows from financing:</w:t>
            </w:r>
          </w:p>
        </w:tc>
        <w:tc>
          <w:tcPr>
            <w:tcW w:w="2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Repayments of line of credit borrowings</w:t>
            </w:r>
          </w:p>
        </w:tc>
        <w:tc>
          <w:tcPr>
            <w:tcW w:w="24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(230,000)</w:t>
            </w: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Proceeds from line of credit borrowings</w:t>
            </w:r>
          </w:p>
        </w:tc>
        <w:tc>
          <w:tcPr>
            <w:tcW w:w="240" w:type="dxa"/>
            <w:vAlign w:val="bottom"/>
          </w:tcPr>
          <w:p>
            <w:pPr>
              <w:spacing w:after="0"/>
              <w:rPr>
                <w:sz w:val="22"/>
                <w:szCs w:val="22"/>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615,000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615,000</w:t>
            </w: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(154,866)</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(154,866)</w:t>
            </w:r>
          </w:p>
        </w:tc>
      </w:tr>
      <w:tr>
        <w:trPr>
          <w:trHeight w:val="19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Repurchase of common stock, including shares</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8"/>
        </w:trPr>
        <w:tc>
          <w:tcPr>
            <w:tcW w:w="3500" w:type="dxa"/>
            <w:vAlign w:val="bottom"/>
            <w:gridSpan w:val="2"/>
          </w:tcPr>
          <w:p>
            <w:pPr>
              <w:ind w:left="340"/>
              <w:spacing w:after="0"/>
              <w:rPr>
                <w:sz w:val="20"/>
                <w:szCs w:val="20"/>
                <w:color w:val="auto"/>
              </w:rPr>
            </w:pPr>
            <w:r>
              <w:rPr>
                <w:rFonts w:ascii="Arial" w:cs="Arial" w:eastAsia="Arial" w:hAnsi="Arial"/>
                <w:sz w:val="14"/>
                <w:szCs w:val="14"/>
                <w:color w:val="auto"/>
              </w:rPr>
              <w:t>surrendered</w:t>
            </w:r>
          </w:p>
        </w:tc>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(102,152)</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(102,152)</w:t>
            </w:r>
          </w:p>
        </w:tc>
      </w:tr>
      <w:tr>
        <w:trPr>
          <w:trHeight w:val="276"/>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Proceeds from exercise of stock options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2,527</w:t>
            </w: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2,527</w:t>
            </w:r>
          </w:p>
        </w:tc>
      </w:tr>
      <w:tr>
        <w:trPr>
          <w:trHeight w:val="264"/>
        </w:trPr>
        <w:tc>
          <w:tcPr>
            <w:tcW w:w="3500" w:type="dxa"/>
            <w:vAlign w:val="bottom"/>
            <w:gridSpan w:val="2"/>
          </w:tcPr>
          <w:p>
            <w:pPr>
              <w:ind w:left="180"/>
              <w:spacing w:after="0"/>
              <w:rPr>
                <w:sz w:val="20"/>
                <w:szCs w:val="20"/>
                <w:color w:val="auto"/>
              </w:rPr>
            </w:pPr>
            <w:r>
              <w:rPr>
                <w:rFonts w:ascii="Arial" w:cs="Arial" w:eastAsia="Arial" w:hAnsi="Arial"/>
                <w:sz w:val="14"/>
                <w:szCs w:val="14"/>
                <w:color w:val="auto"/>
              </w:rPr>
              <w:t>Intercompany borrowings (payments)</w:t>
            </w:r>
          </w:p>
        </w:tc>
        <w:tc>
          <w:tcPr>
            <w:tcW w:w="240" w:type="dxa"/>
            <w:vAlign w:val="bottom"/>
          </w:tcPr>
          <w:p>
            <w:pPr>
              <w:spacing w:after="0"/>
              <w:rPr>
                <w:sz w:val="22"/>
                <w:szCs w:val="22"/>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254,491</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18,579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(273,070)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350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(20,126)</w:t>
            </w:r>
          </w:p>
        </w:tc>
      </w:tr>
      <w:tr>
        <w:trPr>
          <w:trHeight w:val="250"/>
        </w:trPr>
        <w:tc>
          <w:tcPr>
            <w:tcW w:w="35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384,332</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(273,070)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110,383</w:t>
            </w: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Effects of exchange rates on cash</w:t>
            </w:r>
          </w:p>
        </w:tc>
        <w:tc>
          <w:tcPr>
            <w:tcW w:w="24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(2,217)</w:t>
            </w:r>
          </w:p>
        </w:tc>
      </w:tr>
      <w:tr>
        <w:trPr>
          <w:trHeight w:val="17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Net increase (decrease) in cash, including restricted</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78"/>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balances</w:t>
            </w:r>
          </w:p>
        </w:tc>
        <w:tc>
          <w:tcPr>
            <w:tcW w:w="240" w:type="dxa"/>
            <w:vAlign w:val="bottom"/>
          </w:tcPr>
          <w:p>
            <w:pPr>
              <w:spacing w:after="0"/>
              <w:rPr>
                <w:sz w:val="15"/>
                <w:szCs w:val="15"/>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(1,358,925)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(1,358,549)</w:t>
            </w:r>
          </w:p>
        </w:tc>
      </w:tr>
      <w:tr>
        <w:trPr>
          <w:trHeight w:val="200"/>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Cash, cash equivalents and restricted cash,</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184"/>
        </w:trPr>
        <w:tc>
          <w:tcPr>
            <w:tcW w:w="35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beginning of period</w:t>
            </w:r>
          </w:p>
        </w:tc>
        <w:tc>
          <w:tcPr>
            <w:tcW w:w="2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4,346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1,659,332</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1,663,678</w:t>
            </w:r>
          </w:p>
        </w:tc>
      </w:tr>
      <w:tr>
        <w:trPr>
          <w:trHeight w:val="174"/>
        </w:trPr>
        <w:tc>
          <w:tcPr>
            <w:tcW w:w="3500" w:type="dxa"/>
            <w:vAlign w:val="bottom"/>
            <w:gridSpan w:val="2"/>
          </w:tcPr>
          <w:p>
            <w:pPr>
              <w:ind w:left="40"/>
              <w:spacing w:after="0"/>
              <w:rPr>
                <w:sz w:val="20"/>
                <w:szCs w:val="20"/>
                <w:color w:val="auto"/>
              </w:rPr>
            </w:pPr>
            <w:r>
              <w:rPr>
                <w:rFonts w:ascii="Arial" w:cs="Arial" w:eastAsia="Arial" w:hAnsi="Arial"/>
                <w:sz w:val="14"/>
                <w:szCs w:val="14"/>
                <w:color w:val="auto"/>
              </w:rPr>
              <w:t>Cash, cash equivalents and restricted cash, end of</w:t>
            </w:r>
          </w:p>
        </w:tc>
        <w:tc>
          <w:tcPr>
            <w:tcW w:w="2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178"/>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period</w:t>
            </w:r>
          </w:p>
        </w:tc>
        <w:tc>
          <w:tcPr>
            <w:tcW w:w="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4,722</w:t>
            </w:r>
          </w:p>
        </w:tc>
        <w:tc>
          <w:tcPr>
            <w:tcW w:w="12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300,407</w:t>
            </w:r>
          </w:p>
        </w:tc>
        <w:tc>
          <w:tcPr>
            <w:tcW w:w="100" w:type="dxa"/>
            <w:vAlign w:val="bottom"/>
          </w:tcPr>
          <w:p>
            <w:pPr>
              <w:spacing w:after="0"/>
              <w:rPr>
                <w:sz w:val="15"/>
                <w:szCs w:val="15"/>
                <w:color w:val="auto"/>
              </w:rPr>
            </w:pP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305,129</w:t>
            </w:r>
          </w:p>
        </w:tc>
      </w:tr>
      <w:tr>
        <w:trPr>
          <w:trHeight w:val="121"/>
        </w:trPr>
        <w:tc>
          <w:tcPr>
            <w:tcW w:w="3380" w:type="dxa"/>
            <w:vAlign w:val="bottom"/>
            <w:tcBorders>
              <w:top w:val="single" w:sz="8" w:color="CCEEFF"/>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40" w:type="dxa"/>
            <w:vAlign w:val="bottom"/>
            <w:tcBorders>
              <w:top w:val="single" w:sz="8" w:color="auto"/>
              <w:bottom w:val="single" w:sz="8" w:color="auto"/>
            </w:tcBorders>
            <w:shd w:val="clear" w:color="auto" w:fill="CCEEFF"/>
          </w:tcPr>
          <w:p>
            <w:pPr>
              <w:spacing w:after="0"/>
              <w:rPr>
                <w:sz w:val="10"/>
                <w:szCs w:val="10"/>
                <w:color w:val="auto"/>
              </w:rPr>
            </w:pPr>
          </w:p>
        </w:tc>
        <w:tc>
          <w:tcPr>
            <w:tcW w:w="140" w:type="dxa"/>
            <w:vAlign w:val="bottom"/>
            <w:tcBorders>
              <w:top w:val="single" w:sz="8" w:color="CCEEFF"/>
              <w:bottom w:val="single" w:sz="8" w:color="auto"/>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spacing w:after="0"/>
              <w:rPr>
                <w:sz w:val="10"/>
                <w:szCs w:val="10"/>
                <w:color w:val="auto"/>
              </w:rPr>
            </w:pPr>
          </w:p>
        </w:tc>
        <w:tc>
          <w:tcPr>
            <w:tcW w:w="122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spacing w:after="0"/>
              <w:rPr>
                <w:sz w:val="10"/>
                <w:szCs w:val="10"/>
                <w:color w:val="auto"/>
              </w:rPr>
            </w:pPr>
          </w:p>
        </w:tc>
        <w:tc>
          <w:tcPr>
            <w:tcW w:w="1120" w:type="dxa"/>
            <w:vAlign w:val="bottom"/>
            <w:tcBorders>
              <w:top w:val="single" w:sz="8" w:color="auto"/>
              <w:bottom w:val="single" w:sz="8" w:color="auto"/>
            </w:tcBorders>
            <w:shd w:val="clear" w:color="auto" w:fill="CCEEFF"/>
          </w:tcPr>
          <w:p>
            <w:pPr>
              <w:spacing w:after="0"/>
              <w:rPr>
                <w:sz w:val="10"/>
                <w:szCs w:val="10"/>
                <w:color w:val="auto"/>
              </w:rPr>
            </w:pPr>
          </w:p>
        </w:tc>
        <w:tc>
          <w:tcPr>
            <w:tcW w:w="100" w:type="dxa"/>
            <w:vAlign w:val="bottom"/>
            <w:tcBorders>
              <w:top w:val="single" w:sz="8" w:color="CCEEFF"/>
              <w:bottom w:val="single" w:sz="8" w:color="auto"/>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spacing w:after="0"/>
              <w:rPr>
                <w:sz w:val="10"/>
                <w:szCs w:val="10"/>
                <w:color w:val="auto"/>
              </w:rPr>
            </w:pPr>
          </w:p>
        </w:tc>
        <w:tc>
          <w:tcPr>
            <w:tcW w:w="1100" w:type="dxa"/>
            <w:vAlign w:val="bottom"/>
            <w:tcBorders>
              <w:top w:val="single" w:sz="8" w:color="auto"/>
              <w:bottom w:val="single" w:sz="8" w:color="auto"/>
            </w:tcBorders>
            <w:shd w:val="clear" w:color="auto" w:fill="CCEEFF"/>
          </w:tcPr>
          <w:p>
            <w:pPr>
              <w:spacing w:after="0"/>
              <w:rPr>
                <w:sz w:val="10"/>
                <w:szCs w:val="10"/>
                <w:color w:val="auto"/>
              </w:rPr>
            </w:pPr>
          </w:p>
        </w:tc>
        <w:tc>
          <w:tcPr>
            <w:tcW w:w="120" w:type="dxa"/>
            <w:vAlign w:val="bottom"/>
            <w:tcBorders>
              <w:top w:val="single" w:sz="8" w:color="CCEEFF"/>
              <w:bottom w:val="single" w:sz="8" w:color="auto"/>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23114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hanging="290"/>
        <w:spacing w:after="0"/>
        <w:tabs>
          <w:tab w:leader="none" w:pos="400" w:val="left"/>
        </w:tabs>
        <w:numPr>
          <w:ilvl w:val="0"/>
          <w:numId w:val="16"/>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19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subsidiaries provide assisted, DIY, and virtual tax preparation solutions through multiple channels (including in-person, online and mobile applications, virtual, and desktop software) and distribute H&amp;R Block-branded products and services, including those of our financial partners, to the general public primarily in the U.S., Canada, Australia, and their respective territories. Tax returns are either prepared by H&amp;R Block tax professionals (in company-owned or franchise offices, virtually or via an internet review) or prepared and filed by our clients through our DIY tax solutions. We also offer small business financial solutions through our company-owned or franchise offices and online through Wave. We report a single segment that includes all of our continuing operations.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June 28, 2019, we acquired Wave HQ Inc. (formerly known as Wave Financial Inc.) and its subsidiaries (collectively, Wave). See additional discussion in Item 1, note 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Operating Statistics (U.S.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Nine months ended January 31,</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Change</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70"/>
        </w:trPr>
        <w:tc>
          <w:tcPr>
            <w:tcW w:w="5400" w:type="dxa"/>
            <w:vAlign w:val="bottom"/>
            <w:gridSpan w:val="2"/>
          </w:tcPr>
          <w:p>
            <w:pPr>
              <w:ind w:left="40"/>
              <w:spacing w:after="0" w:line="270" w:lineRule="exact"/>
              <w:rPr>
                <w:sz w:val="20"/>
                <w:szCs w:val="20"/>
                <w:color w:val="auto"/>
              </w:rPr>
            </w:pPr>
            <w:r>
              <w:rPr>
                <w:rFonts w:ascii="Arial" w:cs="Arial" w:eastAsia="Arial" w:hAnsi="Arial"/>
                <w:sz w:val="16"/>
                <w:szCs w:val="16"/>
                <w:color w:val="auto"/>
              </w:rPr>
              <w:t xml:space="preserve">Tax returns prepared: (in 000s) </w:t>
            </w:r>
            <w:r>
              <w:rPr>
                <w:rFonts w:ascii="Arial" w:cs="Arial" w:eastAsia="Arial" w:hAnsi="Arial"/>
                <w:sz w:val="26"/>
                <w:szCs w:val="26"/>
                <w:color w:val="auto"/>
                <w:vertAlign w:val="superscript"/>
              </w:rPr>
              <w:t>(1)</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Company-owned operations</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1,476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1,310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r>
      <w:tr>
        <w:trPr>
          <w:trHeight w:val="264"/>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Franchise operations</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676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657</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2.9 %</w:t>
            </w:r>
          </w:p>
        </w:tc>
      </w:tr>
      <w:tr>
        <w:trPr>
          <w:trHeight w:val="250"/>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assisted</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2,152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1,967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9.4 %</w:t>
            </w:r>
          </w:p>
        </w:tc>
      </w:tr>
      <w:tr>
        <w:trPr>
          <w:trHeight w:val="121"/>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Desktop</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133</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3.9 %</w:t>
            </w:r>
          </w:p>
        </w:tc>
      </w:tr>
      <w:tr>
        <w:trPr>
          <w:trHeight w:val="264"/>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Online</w:t>
            </w: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1,308</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12.4 %</w:t>
            </w:r>
          </w:p>
        </w:tc>
      </w:tr>
      <w:tr>
        <w:trPr>
          <w:trHeight w:val="250"/>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DIY</w:t>
            </w: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1,441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11.5 %</w:t>
            </w:r>
          </w:p>
        </w:tc>
      </w:tr>
      <w:tr>
        <w:trPr>
          <w:trHeight w:val="122"/>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64"/>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IRS Free File</w:t>
            </w: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40.6 %</w:t>
            </w:r>
          </w:p>
        </w:tc>
      </w:tr>
      <w:tr>
        <w:trPr>
          <w:trHeight w:val="250"/>
        </w:trPr>
        <w:tc>
          <w:tcPr>
            <w:tcW w:w="540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Total U.S. Returns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3,735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11.2 %</w:t>
            </w:r>
          </w:p>
        </w:tc>
      </w:tr>
      <w:tr>
        <w:trPr>
          <w:trHeight w:val="121"/>
        </w:trPr>
        <w:tc>
          <w:tcPr>
            <w:tcW w:w="5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270"/>
        </w:trPr>
        <w:tc>
          <w:tcPr>
            <w:tcW w:w="5400" w:type="dxa"/>
            <w:vAlign w:val="bottom"/>
            <w:gridSpan w:val="2"/>
          </w:tcPr>
          <w:p>
            <w:pPr>
              <w:ind w:left="40"/>
              <w:spacing w:after="0" w:line="270" w:lineRule="exact"/>
              <w:rPr>
                <w:sz w:val="20"/>
                <w:szCs w:val="20"/>
                <w:color w:val="auto"/>
              </w:rPr>
            </w:pPr>
            <w:r>
              <w:rPr>
                <w:rFonts w:ascii="Arial" w:cs="Arial" w:eastAsia="Arial" w:hAnsi="Arial"/>
                <w:sz w:val="16"/>
                <w:szCs w:val="16"/>
                <w:color w:val="auto"/>
              </w:rPr>
              <w:t xml:space="preserve">Net Average Charge: </w:t>
            </w:r>
            <w:r>
              <w:rPr>
                <w:rFonts w:ascii="Arial" w:cs="Arial" w:eastAsia="Arial" w:hAnsi="Arial"/>
                <w:sz w:val="26"/>
                <w:szCs w:val="26"/>
                <w:color w:val="auto"/>
                <w:vertAlign w:val="superscript"/>
              </w:rPr>
              <w:t>(2)</w:t>
            </w: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Company-owned operations</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244.87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252.60</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70"/>
        </w:trPr>
        <w:tc>
          <w:tcPr>
            <w:tcW w:w="540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 xml:space="preserve">Franchise operations </w:t>
            </w:r>
            <w:r>
              <w:rPr>
                <w:rFonts w:ascii="Arial" w:cs="Arial" w:eastAsia="Arial" w:hAnsi="Arial"/>
                <w:sz w:val="26"/>
                <w:szCs w:val="26"/>
                <w:color w:val="auto"/>
                <w:vertAlign w:val="superscript"/>
              </w:rPr>
              <w:t>(3)</w:t>
            </w:r>
          </w:p>
        </w:tc>
        <w:tc>
          <w:tcPr>
            <w:tcW w:w="440" w:type="dxa"/>
            <w:vAlign w:val="bottom"/>
          </w:tcPr>
          <w:p>
            <w:pPr>
              <w:spacing w:after="0"/>
              <w:rPr>
                <w:sz w:val="23"/>
                <w:szCs w:val="23"/>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242.76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244.08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DIY</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29.17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0.02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135"/>
        </w:trPr>
        <w:tc>
          <w:tcPr>
            <w:tcW w:w="5400" w:type="dxa"/>
            <w:vAlign w:val="bottom"/>
            <w:tcBorders>
              <w:bottom w:val="single" w:sz="8" w:color="auto"/>
            </w:tcBorders>
            <w:gridSpan w:val="2"/>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r>
      <w:tr>
        <w:trPr>
          <w:trHeight w:val="257"/>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 January 31,</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 offices:</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Company-owned offices</w:t>
            </w:r>
          </w:p>
        </w:tc>
        <w:tc>
          <w:tcPr>
            <w:tcW w:w="440" w:type="dxa"/>
            <w:vAlign w:val="bottom"/>
          </w:tcPr>
          <w:p>
            <w:pPr>
              <w:spacing w:after="0"/>
              <w:rPr>
                <w:sz w:val="22"/>
                <w:szCs w:val="22"/>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6,552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6,356</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196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3.1 %</w:t>
            </w:r>
          </w:p>
        </w:tc>
      </w:tr>
      <w:tr>
        <w:trPr>
          <w:trHeight w:val="273"/>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Franchise offices</w:t>
            </w: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2,909</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3,148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50"/>
        </w:trPr>
        <w:tc>
          <w:tcPr>
            <w:tcW w:w="540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U.S. offices</w:t>
            </w: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9,461</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9,504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(0.5)%</w:t>
            </w:r>
          </w:p>
        </w:tc>
      </w:tr>
      <w:tr>
        <w:trPr>
          <w:trHeight w:val="122"/>
        </w:trPr>
        <w:tc>
          <w:tcPr>
            <w:tcW w:w="5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1460" w:type="dxa"/>
            <w:vAlign w:val="bottom"/>
            <w:tcBorders>
              <w:bottom w:val="single" w:sz="8" w:color="auto"/>
            </w:tcBorders>
            <w:shd w:val="clear" w:color="auto" w:fill="CCEEFF"/>
          </w:tcPr>
          <w:p>
            <w:pPr>
              <w:spacing w:after="0"/>
              <w:rPr>
                <w:sz w:val="10"/>
                <w:szCs w:val="10"/>
                <w:color w:val="auto"/>
              </w:rPr>
            </w:pPr>
          </w:p>
        </w:tc>
      </w:tr>
    </w:tbl>
    <w:p>
      <w:pPr>
        <w:spacing w:after="0" w:line="108" w:lineRule="exact"/>
        <w:rPr>
          <w:sz w:val="20"/>
          <w:szCs w:val="20"/>
          <w:color w:val="auto"/>
        </w:rPr>
      </w:pPr>
    </w:p>
    <w:p>
      <w:pPr>
        <w:jc w:val="both"/>
        <w:ind w:left="260" w:hanging="252"/>
        <w:spacing w:after="0" w:line="227" w:lineRule="auto"/>
        <w:tabs>
          <w:tab w:leader="none" w:pos="260" w:val="left"/>
        </w:tabs>
        <w:numPr>
          <w:ilvl w:val="0"/>
          <w:numId w:val="17"/>
        </w:numPr>
        <w:rPr>
          <w:rFonts w:ascii="Arial" w:cs="Arial" w:eastAsia="Arial" w:hAnsi="Arial"/>
          <w:sz w:val="23"/>
          <w:szCs w:val="23"/>
          <w:color w:val="auto"/>
          <w:vertAlign w:val="superscript"/>
        </w:rPr>
      </w:pPr>
      <w:r>
        <w:rPr>
          <w:rFonts w:ascii="Arial" w:cs="Arial" w:eastAsia="Arial" w:hAnsi="Arial"/>
          <w:sz w:val="14"/>
          <w:szCs w:val="14"/>
          <w:color w:val="auto"/>
        </w:rPr>
        <w:t>An assisted tax return is defined as a current or prior year individual tax return that has been accepted and paid for by the client. Also included are Tax Pro Go</w:t>
      </w:r>
      <w:r>
        <w:rPr>
          <w:rFonts w:ascii="Arial" w:cs="Arial" w:eastAsia="Arial" w:hAnsi="Arial"/>
          <w:sz w:val="22"/>
          <w:szCs w:val="22"/>
          <w:color w:val="auto"/>
          <w:vertAlign w:val="superscript"/>
        </w:rPr>
        <w:t>SM</w:t>
      </w:r>
      <w:r>
        <w:rPr>
          <w:rFonts w:ascii="Arial" w:cs="Arial" w:eastAsia="Arial" w:hAnsi="Arial"/>
          <w:sz w:val="14"/>
          <w:szCs w:val="14"/>
          <w:color w:val="auto"/>
        </w:rPr>
        <w:t>, Tax Pro Review</w:t>
      </w:r>
      <w:r>
        <w:rPr>
          <w:rFonts w:ascii="Arial" w:cs="Arial" w:eastAsia="Arial" w:hAnsi="Arial"/>
          <w:sz w:val="22"/>
          <w:szCs w:val="22"/>
          <w:color w:val="auto"/>
          <w:vertAlign w:val="superscript"/>
        </w:rPr>
        <w:t>SM</w:t>
      </w:r>
      <w:r>
        <w:rPr>
          <w:rFonts w:ascii="Arial" w:cs="Arial" w:eastAsia="Arial" w:hAnsi="Arial"/>
          <w:sz w:val="14"/>
          <w:szCs w:val="14"/>
          <w:color w:val="auto"/>
        </w:rPr>
        <w:t>, and business returns. A DIY return is defined as a return that has been electronically filed and accepted by the IRS. Also included are online returns paid and printed.</w:t>
      </w:r>
    </w:p>
    <w:p>
      <w:pPr>
        <w:spacing w:after="0" w:line="1" w:lineRule="exact"/>
        <w:rPr>
          <w:rFonts w:ascii="Arial" w:cs="Arial" w:eastAsia="Arial" w:hAnsi="Arial"/>
          <w:sz w:val="23"/>
          <w:szCs w:val="23"/>
          <w:color w:val="auto"/>
          <w:vertAlign w:val="superscript"/>
        </w:rPr>
      </w:pPr>
    </w:p>
    <w:p>
      <w:pPr>
        <w:ind w:left="260" w:hanging="252"/>
        <w:spacing w:after="0" w:line="187" w:lineRule="auto"/>
        <w:tabs>
          <w:tab w:leader="none" w:pos="260" w:val="left"/>
        </w:tabs>
        <w:numPr>
          <w:ilvl w:val="0"/>
          <w:numId w:val="17"/>
        </w:numPr>
        <w:rPr>
          <w:rFonts w:ascii="Arial" w:cs="Arial" w:eastAsia="Arial" w:hAnsi="Arial"/>
          <w:sz w:val="18"/>
          <w:szCs w:val="18"/>
          <w:color w:val="auto"/>
          <w:vertAlign w:val="superscript"/>
        </w:rPr>
      </w:pPr>
      <w:r>
        <w:rPr>
          <w:rFonts w:ascii="Arial" w:cs="Arial" w:eastAsia="Arial" w:hAnsi="Arial"/>
          <w:sz w:val="12"/>
          <w:szCs w:val="12"/>
          <w:color w:val="auto"/>
        </w:rPr>
        <w:t>Net average charge is calculated as tax preparation fees divided by tax returns prepared. For DIY, net average charge excludes IRS Free File.</w:t>
      </w:r>
    </w:p>
    <w:p>
      <w:pPr>
        <w:ind w:left="260" w:hanging="252"/>
        <w:spacing w:after="0" w:line="183" w:lineRule="auto"/>
        <w:tabs>
          <w:tab w:leader="none" w:pos="26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Net average charge related to H&amp;R Block Franchise operations represents tax preparation fees collected by H&amp;R Block franchisees divided by returns prepared in franchise offices. H&amp;R Block will recognize a portion of franchise revenues as franchise royalties based on the terms of franchise agreements.</w:t>
      </w:r>
    </w:p>
    <w:p>
      <w:pPr>
        <w:spacing w:after="0" w:line="93"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provide net average charge as a key operating metric because we consider it an important supplemental measure useful to analysts, investors, and other interested parties as it provides insights into pricing and tax return mix relative to our customer base, which are significant drivers of revenue. Our definition of net average charge may not be comparable to similarly titled measures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283210</wp:posOffset>
            </wp:positionV>
            <wp:extent cx="22288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29</w:t>
      </w:r>
    </w:p>
    <w:p>
      <w:pPr>
        <w:sectPr>
          <w:pgSz w:w="11900" w:h="16838" w:orient="portrait"/>
          <w:cols w:equalWidth="0" w:num="1">
            <w:col w:w="11240"/>
          </w:cols>
          <w:pgMar w:left="320" w:top="249" w:right="3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January 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 Change</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283,956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256,813</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27,143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10.6 %</w:t>
            </w:r>
          </w:p>
        </w:tc>
      </w:tr>
      <w:tr>
        <w:trPr>
          <w:trHeight w:val="26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U.S. royalties</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44,965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42,265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6.4 %</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34,089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31,996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2,093</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6.5 %</w:t>
            </w:r>
          </w:p>
        </w:tc>
      </w:tr>
      <w:tr>
        <w:trPr>
          <w:trHeight w:val="260"/>
        </w:trPr>
        <w:tc>
          <w:tcPr>
            <w:tcW w:w="5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International</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11,804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Refund Transfers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50,494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3,012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6.3 %</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16,657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14,980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1,677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11.2 %</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Peace of Mind® Extended Service Plan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16,954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16,596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2.2 %</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 Identity Shield®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8,138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7,655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483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6.3 %</w:t>
            </w:r>
          </w:p>
        </w:tc>
      </w:tr>
      <w:tr>
        <w:trPr>
          <w:trHeight w:val="270"/>
        </w:trPr>
        <w:tc>
          <w:tcPr>
            <w:tcW w:w="540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6"/>
                <w:szCs w:val="26"/>
                <w:color w:val="auto"/>
                <w:vertAlign w:val="superscript"/>
              </w:rPr>
              <w:t>TM</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32,741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30,924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1,817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5.9 %</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Wave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11,213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11,213</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3"/>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8,194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7,369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825</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11.2 %</w:t>
            </w:r>
          </w:p>
        </w:tc>
      </w:tr>
      <w:tr>
        <w:trPr>
          <w:trHeight w:val="250"/>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519,205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468,384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50,821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10.9 %</w:t>
            </w:r>
          </w:p>
        </w:tc>
      </w:tr>
      <w:tr>
        <w:trPr>
          <w:trHeight w:val="122"/>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Compensation and benefits: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Field wages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165,435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153,764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11,671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7.6 %</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wages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63,808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54,243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9,565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17.6 %</w:t>
            </w:r>
          </w:p>
        </w:tc>
      </w:tr>
      <w:tr>
        <w:trPr>
          <w:trHeight w:val="263"/>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Benefits and other compensation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45,397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42,778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2,619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6.1 %</w:t>
            </w:r>
          </w:p>
        </w:tc>
      </w:tr>
      <w:tr>
        <w:trPr>
          <w:trHeight w:val="256"/>
        </w:trPr>
        <w:tc>
          <w:tcPr>
            <w:tcW w:w="5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274,640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250,785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23,855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6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Occupancy</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102,788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94,407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8,381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8.9 %</w:t>
            </w:r>
          </w:p>
        </w:tc>
      </w:tr>
      <w:tr>
        <w:trPr>
          <w:trHeight w:val="28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Marketing and advertising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84,760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72,876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11,884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16.3 %</w:t>
            </w:r>
          </w:p>
        </w:tc>
      </w:tr>
      <w:tr>
        <w:trPr>
          <w:trHeight w:val="26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44,147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44,088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0.1 %</w:t>
            </w:r>
          </w:p>
        </w:tc>
      </w:tr>
      <w:tr>
        <w:trPr>
          <w:trHeight w:val="28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Bad debt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36,527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33,861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2,666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70"/>
        </w:trPr>
        <w:tc>
          <w:tcPr>
            <w:tcW w:w="54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6"/>
                <w:szCs w:val="26"/>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128,947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110,467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18,480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16.7 %</w:t>
            </w:r>
          </w:p>
        </w:tc>
      </w:tr>
      <w:tr>
        <w:trPr>
          <w:trHeight w:val="243"/>
        </w:trPr>
        <w:tc>
          <w:tcPr>
            <w:tcW w:w="54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671,809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606,484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65,325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4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1,879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(17.2)%</w:t>
            </w:r>
          </w:p>
        </w:tc>
      </w:tr>
      <w:tr>
        <w:trPr>
          <w:trHeight w:val="273"/>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on borrowings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(26,305)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(22,833)</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4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Pretax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(177,030)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(18,366)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(11.6)%</w:t>
            </w:r>
          </w:p>
        </w:tc>
      </w:tr>
      <w:tr>
        <w:trPr>
          <w:trHeight w:val="273"/>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(49,004)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10,119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26.0 %</w:t>
            </w:r>
          </w:p>
        </w:tc>
      </w:tr>
      <w:tr>
        <w:trPr>
          <w:trHeight w:val="24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Net loss from continuing operations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(128,026)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(119,779)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(8,247)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273"/>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(6,675)</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5,018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75.2 %</w:t>
            </w:r>
          </w:p>
        </w:tc>
      </w:tr>
      <w:tr>
        <w:trPr>
          <w:trHeight w:val="250"/>
        </w:trPr>
        <w:tc>
          <w:tcPr>
            <w:tcW w:w="5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(129,683)</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(126,454)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(2.6)%</w:t>
            </w:r>
          </w:p>
        </w:tc>
      </w:tr>
      <w:tr>
        <w:trPr>
          <w:trHeight w:val="121"/>
        </w:trPr>
        <w:tc>
          <w:tcPr>
            <w:tcW w:w="5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264"/>
        </w:trPr>
        <w:tc>
          <w:tcPr>
            <w:tcW w:w="54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AND DILUTED LOSS PER SHARE: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Continuing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66"/>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Discontinued operations</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75.0 %</w:t>
            </w:r>
          </w:p>
        </w:tc>
      </w:tr>
      <w:tr>
        <w:trPr>
          <w:trHeight w:val="25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Consolidated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(0.67)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119"/>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70"/>
        </w:trPr>
        <w:tc>
          <w:tcPr>
            <w:tcW w:w="5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6"/>
                <w:szCs w:val="26"/>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(106,578)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(91,743)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0"/>
          <w:szCs w:val="10"/>
          <w:color w:val="auto"/>
        </w:rPr>
      </w:pPr>
      <w:r>
        <w:rPr>
          <w:rFonts w:ascii="Arial" w:cs="Arial" w:eastAsia="Arial" w:hAnsi="Arial"/>
          <w:sz w:val="13"/>
          <w:szCs w:val="13"/>
          <w:color w:val="auto"/>
        </w:rPr>
        <w:t>We reclassified $10.0 million of supplies expense from its own financial statement line to other expenses for fiscal year 2019 to conform to the current year presentation.</w:t>
      </w:r>
    </w:p>
    <w:p>
      <w:pPr>
        <w:ind w:left="180" w:hanging="172"/>
        <w:spacing w:after="0"/>
        <w:tabs>
          <w:tab w:leader="none" w:pos="180" w:val="left"/>
        </w:tabs>
        <w:numPr>
          <w:ilvl w:val="0"/>
          <w:numId w:val="18"/>
        </w:numPr>
        <w:rPr>
          <w:rFonts w:ascii="Arial" w:cs="Arial" w:eastAsia="Arial" w:hAnsi="Arial"/>
          <w:sz w:val="10"/>
          <w:szCs w:val="10"/>
          <w:color w:val="auto"/>
        </w:rPr>
      </w:pPr>
      <w:r>
        <w:rPr>
          <w:rFonts w:ascii="Arial" w:cs="Arial" w:eastAsia="Arial" w:hAnsi="Arial"/>
          <w:sz w:val="13"/>
          <w:szCs w:val="13"/>
          <w:color w:val="auto"/>
        </w:rPr>
        <w:t>See "Non-GAAP Financial Information" at the end of this item for a reconciliation of non-GAAP measures.</w:t>
      </w:r>
    </w:p>
    <w:p>
      <w:pPr>
        <w:spacing w:after="0" w:line="90" w:lineRule="exact"/>
        <w:rPr>
          <w:sz w:val="20"/>
          <w:szCs w:val="20"/>
          <w:color w:val="auto"/>
        </w:rPr>
      </w:pPr>
    </w:p>
    <w:p>
      <w:pPr>
        <w:ind w:right="5360"/>
        <w:spacing w:after="0" w:line="411" w:lineRule="auto"/>
        <w:rPr>
          <w:sz w:val="20"/>
          <w:szCs w:val="20"/>
          <w:color w:val="auto"/>
        </w:rPr>
      </w:pPr>
      <w:r>
        <w:rPr>
          <w:rFonts w:ascii="Arial" w:cs="Arial" w:eastAsia="Arial" w:hAnsi="Arial"/>
          <w:sz w:val="17"/>
          <w:szCs w:val="17"/>
          <w:b w:val="1"/>
          <w:bCs w:val="1"/>
          <w:color w:val="auto"/>
        </w:rPr>
        <w:t xml:space="preserve">Three months ended January 31, 2020 compared to January 31, 2019 </w:t>
      </w:r>
      <w:r>
        <w:rPr>
          <w:rFonts w:ascii="Arial" w:cs="Arial" w:eastAsia="Arial" w:hAnsi="Arial"/>
          <w:sz w:val="17"/>
          <w:szCs w:val="17"/>
          <w:color w:val="auto"/>
        </w:rPr>
        <w:t>Revenues increased $50.8 million, or 10.9%, from the prior year period.</w:t>
      </w:r>
    </w:p>
    <w:p>
      <w:pPr>
        <w:spacing w:after="0" w:line="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Revenues for U.S. assisted tax preparation increased $27.1 million, or 10.6% primarily due to higher tax return volumes and slightly offset by lower net average charge. U.S. Royalties increased $2.7 million, or 6.4% mostly due to higher franchise tax return volume. Revenues from U.S. DIY tax preparation increased $2.1 million, or 6.5%, primarily due to higher online volumes. Revenues from Refund Transfers increased $3.0 million, or 6.3%, due to higher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23114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00" w:hanging="290"/>
        <w:spacing w:after="0"/>
        <w:tabs>
          <w:tab w:leader="none" w:pos="400" w:val="left"/>
        </w:tabs>
        <w:numPr>
          <w:ilvl w:val="0"/>
          <w:numId w:val="19"/>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Revenues of $11.2 million were recognized by Wave, which we acquired on June 28, 2019, and therefore were not included in our results of operations in the prior year period.</w:t>
      </w:r>
    </w:p>
    <w:p>
      <w:pPr>
        <w:spacing w:after="0" w:line="90"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Total operating expenses increased $65.3 million, or 10.8%, from the prior year. Field wages increased $11.7 million, or 7.6% primarily due to higher wages due to the increase in return volumes. Other wages increased $9.6 million, or 17.6%, primarily due to higher information technology wages, and the acquisition of Wave. Marketing expenses increased $11.9 million, or 16.3%, due to the timing of online advertising expenses. Occupancy increased $8.4 million, or 8.9%, primarily due to facilities repairs, telecommunication expenses and higher rental rates.</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$18.5 million, or 16.7%.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Three months ended January 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Change</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Change</w:t>
            </w:r>
          </w:p>
        </w:tc>
      </w:tr>
      <w:tr>
        <w:trPr>
          <w:trHeight w:val="257"/>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Consulting and outsourced services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32,124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24,812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7,312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29.5 %</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Bank partner fees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29,448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23,461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5,987</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25.5 %</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Client claims and refunds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6,604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6,063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Employee travel and related expenses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10,921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9,309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1,612</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17.3 %</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Technology-related expenses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19,199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14,255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4,944</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34.7 %</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Credit card/bank charges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10,627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7,353</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224.6 %</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3,309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Legal fees and settlements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4,838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4,842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(0.1)%</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6,412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9,950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63"/>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5,465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9,821</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(44.4)%</w:t>
            </w:r>
          </w:p>
        </w:tc>
      </w:tr>
      <w:tr>
        <w:trPr>
          <w:trHeight w:val="250"/>
        </w:trPr>
        <w:tc>
          <w:tcPr>
            <w:tcW w:w="4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128,947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110,467</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18,480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16.7 %</w:t>
            </w:r>
          </w:p>
        </w:tc>
      </w:tr>
      <w:tr>
        <w:trPr>
          <w:trHeight w:val="122"/>
        </w:trPr>
        <w:tc>
          <w:tcPr>
            <w:tcW w:w="4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Consulting expenses increased $7.3 million due primarily to additional resources for our technology initiatives, while technology-related expenses increased $4.9 million primarily due to expenses related to cloud computing services. Bank partner fees increased $6.0 million due to higher Refund Advance origination fees. Credit card and bank charges increased $7.4 million as a result of the acquisition of Wave.</w:t>
      </w:r>
    </w:p>
    <w:p>
      <w:pPr>
        <w:spacing w:after="0" w:line="9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recorded an income tax benefit in the current year of $49.0 million compared to $38.9 million in the prior year. See Item 1, note 7 to the consolidated financial statements for additional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280670</wp:posOffset>
            </wp:positionV>
            <wp:extent cx="22288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31</w:t>
      </w:r>
    </w:p>
    <w:p>
      <w:pPr>
        <w:sectPr>
          <w:pgSz w:w="11900" w:h="16838" w:orient="portrait"/>
          <w:cols w:equalWidth="0" w:num="1">
            <w:col w:w="11240"/>
          </w:cols>
          <w:pgMar w:left="320" w:top="249" w:right="3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Consolidated - Financial Results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4"/>
                <w:szCs w:val="14"/>
                <w:color w:val="auto"/>
              </w:rPr>
              <w:t>(in 000s, except per share amounts)</w:t>
            </w:r>
          </w:p>
        </w:tc>
      </w:tr>
      <w:tr>
        <w:trPr>
          <w:trHeight w:val="263"/>
        </w:trPr>
        <w:tc>
          <w:tcPr>
            <w:tcW w:w="5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 Change</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 Change</w:t>
            </w: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U.S. assisted tax preparation</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358,174</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329,569</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28,605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8.7 %</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U.S. royalties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59,644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57,898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1,746</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U.S. DIY tax preparation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42,040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37,771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4,269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11.3 %</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97,311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96,980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Refund Transfers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52,794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49,466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3,328</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6.7 %</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Emerald Card</w:t>
            </w:r>
            <w:r>
              <w:rPr>
                <w:rFonts w:ascii="Arial" w:cs="Arial" w:eastAsia="Arial" w:hAnsi="Arial"/>
                <w:sz w:val="16"/>
                <w:szCs w:val="16"/>
                <w:b w:val="1"/>
                <w:bCs w:val="1"/>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39,128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38,704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Peace of Mind® Extended Service Plan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75,451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77,491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(2,040)</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(2.6)%</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Tax Identity Shield®</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17,308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17,639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70"/>
        </w:trPr>
        <w:tc>
          <w:tcPr>
            <w:tcW w:w="5400" w:type="dxa"/>
            <w:vAlign w:val="bottom"/>
            <w:gridSpan w:val="2"/>
          </w:tcPr>
          <w:p>
            <w:pPr>
              <w:ind w:left="180"/>
              <w:spacing w:after="0" w:line="270" w:lineRule="exact"/>
              <w:rPr>
                <w:sz w:val="20"/>
                <w:szCs w:val="20"/>
                <w:color w:val="auto"/>
              </w:rPr>
            </w:pPr>
            <w:r>
              <w:rPr>
                <w:rFonts w:ascii="Arial" w:cs="Arial" w:eastAsia="Arial" w:hAnsi="Arial"/>
                <w:sz w:val="16"/>
                <w:szCs w:val="16"/>
                <w:color w:val="auto"/>
              </w:rPr>
              <w:t>Interest and fee income on Emerald Advance</w:t>
            </w:r>
            <w:r>
              <w:rPr>
                <w:rFonts w:ascii="Arial" w:cs="Arial" w:eastAsia="Arial" w:hAnsi="Arial"/>
                <w:sz w:val="26"/>
                <w:szCs w:val="26"/>
                <w:color w:val="auto"/>
                <w:vertAlign w:val="superscript"/>
              </w:rPr>
              <w:t>TM</w:t>
            </w: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33,780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31,768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2,012</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6.3 %</w:t>
            </w:r>
          </w:p>
        </w:tc>
      </w:tr>
      <w:tr>
        <w:trPr>
          <w:trHeight w:val="27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Wave</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25,740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25,740</w:t>
            </w:r>
          </w:p>
        </w:tc>
        <w:tc>
          <w:tcPr>
            <w:tcW w:w="156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3"/>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28,998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25,152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3,846</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15.3 %</w:t>
            </w:r>
          </w:p>
        </w:tc>
      </w:tr>
      <w:tr>
        <w:trPr>
          <w:trHeight w:val="250"/>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Total revenues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830,368</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762,438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67,930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8.9 %</w:t>
            </w:r>
          </w:p>
        </w:tc>
      </w:tr>
      <w:tr>
        <w:trPr>
          <w:trHeight w:val="122"/>
        </w:trPr>
        <w:tc>
          <w:tcPr>
            <w:tcW w:w="5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spacing w:after="0"/>
              <w:rPr>
                <w:sz w:val="10"/>
                <w:szCs w:val="10"/>
                <w:color w:val="auto"/>
              </w:rPr>
            </w:pPr>
          </w:p>
        </w:tc>
      </w:tr>
      <w:tr>
        <w:trPr>
          <w:trHeight w:val="27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Compensation and benefits: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0"/>
        </w:trPr>
        <w:tc>
          <w:tcPr>
            <w:tcW w:w="5400" w:type="dxa"/>
            <w:vAlign w:val="bottom"/>
            <w:gridSpan w:val="2"/>
          </w:tcPr>
          <w:p>
            <w:pPr>
              <w:ind w:left="180"/>
              <w:spacing w:after="0"/>
              <w:rPr>
                <w:sz w:val="20"/>
                <w:szCs w:val="20"/>
                <w:color w:val="auto"/>
              </w:rPr>
            </w:pPr>
            <w:r>
              <w:rPr>
                <w:rFonts w:ascii="Arial" w:cs="Arial" w:eastAsia="Arial" w:hAnsi="Arial"/>
                <w:sz w:val="16"/>
                <w:szCs w:val="16"/>
                <w:color w:val="auto"/>
              </w:rPr>
              <w:t>Field wages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280,231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262,792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17,439</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6.6 %</w:t>
            </w:r>
          </w:p>
        </w:tc>
      </w:tr>
      <w:tr>
        <w:trPr>
          <w:trHeight w:val="28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wages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178,389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152,111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26,278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17.3 %</w:t>
            </w:r>
          </w:p>
        </w:tc>
      </w:tr>
      <w:tr>
        <w:trPr>
          <w:trHeight w:val="263"/>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Benefits and other compensation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100,579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89,887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10,692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11.9 %</w:t>
            </w:r>
          </w:p>
        </w:tc>
      </w:tr>
      <w:tr>
        <w:trPr>
          <w:trHeight w:val="256"/>
        </w:trPr>
        <w:tc>
          <w:tcPr>
            <w:tcW w:w="5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559,199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504,790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54,409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10.8 %</w:t>
            </w:r>
          </w:p>
        </w:tc>
      </w:tr>
      <w:tr>
        <w:trPr>
          <w:trHeight w:val="26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Occupancy</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292,470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290,013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2,457</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0.8 %</w:t>
            </w:r>
          </w:p>
        </w:tc>
      </w:tr>
      <w:tr>
        <w:trPr>
          <w:trHeight w:val="28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Marketing and advertising</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101,190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88,356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12,834</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14.5 %</w:t>
            </w:r>
          </w:p>
        </w:tc>
      </w:tr>
      <w:tr>
        <w:trPr>
          <w:trHeight w:val="260"/>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125,409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126,013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(0.5)%</w:t>
            </w:r>
          </w:p>
        </w:tc>
      </w:tr>
      <w:tr>
        <w:trPr>
          <w:trHeight w:val="280"/>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Bad debt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37,594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4,403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13.3 %</w:t>
            </w:r>
          </w:p>
        </w:tc>
      </w:tr>
      <w:tr>
        <w:trPr>
          <w:trHeight w:val="270"/>
        </w:trPr>
        <w:tc>
          <w:tcPr>
            <w:tcW w:w="54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6"/>
                <w:szCs w:val="26"/>
                <w:color w:val="auto"/>
                <w:vertAlign w:val="superscript"/>
              </w:rPr>
              <w:t>(1)</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305,015</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255,555</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49,460</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19.4 %</w:t>
            </w:r>
          </w:p>
        </w:tc>
      </w:tr>
      <w:tr>
        <w:trPr>
          <w:trHeight w:val="243"/>
        </w:trPr>
        <w:tc>
          <w:tcPr>
            <w:tcW w:w="540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1,420,877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1,297,918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122,959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9.5 %</w:t>
            </w:r>
          </w:p>
        </w:tc>
      </w:tr>
      <w:tr>
        <w:trPr>
          <w:trHeight w:val="24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b w:val="1"/>
                <w:bCs w:val="1"/>
                <w:color w:val="auto"/>
              </w:rPr>
              <w:t>13,741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11,275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2,466</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21.9 %</w:t>
            </w:r>
          </w:p>
        </w:tc>
      </w:tr>
      <w:tr>
        <w:trPr>
          <w:trHeight w:val="273"/>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 on borrowings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(68,682)</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(65,214)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4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Pretax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(645,450)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(56,031)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(9.5)%</w:t>
            </w:r>
          </w:p>
        </w:tc>
      </w:tr>
      <w:tr>
        <w:trPr>
          <w:trHeight w:val="273"/>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(188,146)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(149,906)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38,240</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25.5 %</w:t>
            </w:r>
          </w:p>
        </w:tc>
      </w:tr>
      <w:tr>
        <w:trPr>
          <w:trHeight w:val="247"/>
        </w:trPr>
        <w:tc>
          <w:tcPr>
            <w:tcW w:w="5400" w:type="dxa"/>
            <w:vAlign w:val="bottom"/>
            <w:gridSpan w:val="2"/>
          </w:tcPr>
          <w:p>
            <w:pPr>
              <w:ind w:left="40"/>
              <w:spacing w:after="0"/>
              <w:rPr>
                <w:sz w:val="20"/>
                <w:szCs w:val="20"/>
                <w:color w:val="auto"/>
              </w:rPr>
            </w:pPr>
            <w:r>
              <w:rPr>
                <w:rFonts w:ascii="Arial" w:cs="Arial" w:eastAsia="Arial" w:hAnsi="Arial"/>
                <w:sz w:val="16"/>
                <w:szCs w:val="16"/>
                <w:color w:val="auto"/>
              </w:rPr>
              <w:t>Net loss from continuing operations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(457,304)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(17,791)</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273"/>
        </w:trPr>
        <w:tc>
          <w:tcPr>
            <w:tcW w:w="5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discontinued operations</w:t>
            </w: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(10,625)</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5,262</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33.1 %</w:t>
            </w:r>
          </w:p>
        </w:tc>
      </w:tr>
      <w:tr>
        <w:trPr>
          <w:trHeight w:val="250"/>
        </w:trPr>
        <w:tc>
          <w:tcPr>
            <w:tcW w:w="5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(467,929)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(455,400)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(12,529)</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(2.8)%</w:t>
            </w:r>
          </w:p>
        </w:tc>
      </w:tr>
      <w:tr>
        <w:trPr>
          <w:trHeight w:val="121"/>
        </w:trPr>
        <w:tc>
          <w:tcPr>
            <w:tcW w:w="5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r>
      <w:tr>
        <w:trPr>
          <w:trHeight w:val="264"/>
        </w:trPr>
        <w:tc>
          <w:tcPr>
            <w:tcW w:w="5400" w:type="dxa"/>
            <w:vAlign w:val="bottom"/>
            <w:gridSpan w:val="2"/>
          </w:tcPr>
          <w:p>
            <w:pPr>
              <w:ind w:left="40"/>
              <w:spacing w:after="0"/>
              <w:rPr>
                <w:sz w:val="20"/>
                <w:szCs w:val="20"/>
                <w:color w:val="auto"/>
              </w:rPr>
            </w:pPr>
            <w:r>
              <w:rPr>
                <w:rFonts w:ascii="Arial" w:cs="Arial" w:eastAsia="Arial" w:hAnsi="Arial"/>
                <w:sz w:val="14"/>
                <w:szCs w:val="14"/>
                <w:b w:val="1"/>
                <w:bCs w:val="1"/>
                <w:color w:val="auto"/>
              </w:rPr>
              <w:t>BASIC AND DILUTED LOSS PER SHARE: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76"/>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Continuing operations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64"/>
        </w:trPr>
        <w:tc>
          <w:tcPr>
            <w:tcW w:w="540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Discontinued operations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0.03</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37.5 %</w:t>
            </w:r>
          </w:p>
        </w:tc>
      </w:tr>
      <w:tr>
        <w:trPr>
          <w:trHeight w:val="250"/>
        </w:trPr>
        <w:tc>
          <w:tcPr>
            <w:tcW w:w="5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70"/>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540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6"/>
                <w:szCs w:val="16"/>
                <w:color w:val="auto"/>
              </w:rPr>
              <w:t xml:space="preserve">EBITDA from continuing operations </w:t>
            </w:r>
            <w:r>
              <w:rPr>
                <w:rFonts w:ascii="Arial" w:cs="Arial" w:eastAsia="Arial" w:hAnsi="Arial"/>
                <w:sz w:val="26"/>
                <w:szCs w:val="26"/>
                <w:color w:val="auto"/>
                <w:vertAlign w:val="superscript"/>
              </w:rPr>
              <w:t>(2)</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(451,359)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(398,192)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(53,167)</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8"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3"/>
          <w:szCs w:val="13"/>
          <w:color w:val="auto"/>
        </w:rPr>
        <w:t>We reclassified $15.3 million of supplies expense from its own financial statement line to other expenses for fiscal year 2019 to conform to the current year presentation.</w:t>
      </w:r>
    </w:p>
    <w:p>
      <w:pPr>
        <w:ind w:left="160" w:hanging="152"/>
        <w:spacing w:after="0"/>
        <w:tabs>
          <w:tab w:leader="none" w:pos="160" w:val="left"/>
        </w:tabs>
        <w:numPr>
          <w:ilvl w:val="0"/>
          <w:numId w:val="20"/>
        </w:numPr>
        <w:rPr>
          <w:rFonts w:ascii="Arial" w:cs="Arial" w:eastAsia="Arial" w:hAnsi="Arial"/>
          <w:sz w:val="10"/>
          <w:szCs w:val="10"/>
          <w:color w:val="auto"/>
        </w:rPr>
      </w:pPr>
      <w:r>
        <w:rPr>
          <w:rFonts w:ascii="Arial" w:cs="Arial" w:eastAsia="Arial" w:hAnsi="Arial"/>
          <w:sz w:val="13"/>
          <w:szCs w:val="13"/>
          <w:color w:val="auto"/>
        </w:rPr>
        <w:t>See "Non-GAAP FInancial Information" at the end of this item for a reconciliation of non-GAAP measures.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January 31, 2020 compared to January 31, 2019</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Revenues increased $67.9 million, or 8.9%, from the prior year period. U.S. assisted tax preparation fees increased $28.6 million, or 8.7%, due to higher tax return volumes and slightly offset by lower net average charge. Revenues from U.S. DIY tax preparation increased $4.3 million, or 11.3%, primarily due to higher online volumes. Revenues from Refund Transfers increased $3.3 million, or 6.7%, due to higher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23114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ectPr>
          <w:pgSz w:w="11900" w:h="16838" w:orient="portrait"/>
          <w:cols w:equalWidth="0" w:num="1">
            <w:col w:w="11240"/>
          </w:cols>
          <w:pgMar w:left="320" w:top="249"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ind w:left="400" w:hanging="290"/>
        <w:spacing w:after="0"/>
        <w:tabs>
          <w:tab w:leader="none" w:pos="400" w:val="left"/>
        </w:tabs>
        <w:numPr>
          <w:ilvl w:val="0"/>
          <w:numId w:val="21"/>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type w:val="continuous"/>
        </w:sectPr>
      </w:pPr>
    </w:p>
    <w:bookmarkStart w:id="34" w:name="page35"/>
    <w:bookmarkEnd w:id="34"/>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Revenues of $25.7 million were recognized by Wave, which we acquired on June 28, 2019, and therefore were not included in our results of operations in the prior year period.</w:t>
      </w:r>
    </w:p>
    <w:p>
      <w:pPr>
        <w:spacing w:after="0" w:line="90"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Total operating expenses increased $123.0 million, or 9.5%, from the prior year period. Field wages increased $17.4 million, or 6.6%, primarily due to higher wages due to the increase in return volumes. Other wages increased $26.3 million, or 17.3%, primarily due to higher information technology wages and the acquisition of Wave. Benefits and other compensation increased $10.7 million, or 11.9% primarily due to higher stock based compensation, retirement savings plan contributions and employee insurance expenses. Marketing expense increased $12.8 million, or 14.5%, due to the timing of online advertising expenses. Bad debt increased $4.4 million, or 13.3%, due to higher refund transfer volumes.</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Other expenses increased $49.5 million, or 19.4%. The components of other expenses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 Change</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 Change</w:t>
            </w:r>
          </w:p>
        </w:tc>
      </w:tr>
      <w:tr>
        <w:trPr>
          <w:trHeight w:val="257"/>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Consulting and outsourced services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74,597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63,444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11,153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17.6 %</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Bank partner fees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32,303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26,294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6,009</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22.9 %</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Client claims and refunds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25,305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28,783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(12.1)%</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Employee travel and related expenses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33,159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29,515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3,644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12.3 %</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Technology-related expenses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50,178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44,932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5,246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11.7 %</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Credit card/bank charges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24,455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16,035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190.4 %</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Insurance</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11,548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r>
      <w:tr>
        <w:trPr>
          <w:trHeight w:val="260"/>
        </w:trPr>
        <w:tc>
          <w:tcPr>
            <w:tcW w:w="4980" w:type="dxa"/>
            <w:vAlign w:val="bottom"/>
            <w:gridSpan w:val="2"/>
          </w:tcPr>
          <w:p>
            <w:pPr>
              <w:ind w:left="40"/>
              <w:spacing w:after="0"/>
              <w:rPr>
                <w:sz w:val="20"/>
                <w:szCs w:val="20"/>
                <w:color w:val="auto"/>
              </w:rPr>
            </w:pPr>
            <w:r>
              <w:rPr>
                <w:rFonts w:ascii="Arial" w:cs="Arial" w:eastAsia="Arial" w:hAnsi="Arial"/>
                <w:sz w:val="16"/>
                <w:szCs w:val="16"/>
                <w:color w:val="auto"/>
              </w:rPr>
              <w:t>Legal fees and settlements</w:t>
            </w:r>
          </w:p>
        </w:tc>
        <w:tc>
          <w:tcPr>
            <w:tcW w:w="320" w:type="dxa"/>
            <w:vAlign w:val="bottom"/>
          </w:tcPr>
          <w:p>
            <w:pPr>
              <w:spacing w:after="0"/>
              <w:rPr>
                <w:sz w:val="22"/>
                <w:szCs w:val="22"/>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21,139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8,331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12,808</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153.7 %</w:t>
            </w:r>
          </w:p>
        </w:tc>
      </w:tr>
      <w:tr>
        <w:trPr>
          <w:trHeight w:val="280"/>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Supplies</w:t>
            </w: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14,958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63"/>
        </w:trPr>
        <w:tc>
          <w:tcPr>
            <w:tcW w:w="49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17,373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19,514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(11.0)%</w:t>
            </w:r>
          </w:p>
        </w:tc>
      </w:tr>
      <w:tr>
        <w:trPr>
          <w:trHeight w:val="250"/>
        </w:trPr>
        <w:tc>
          <w:tcPr>
            <w:tcW w:w="4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305,015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255,555</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49,460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19.4 %</w:t>
            </w:r>
          </w:p>
        </w:tc>
      </w:tr>
      <w:tr>
        <w:trPr>
          <w:trHeight w:val="122"/>
        </w:trPr>
        <w:tc>
          <w:tcPr>
            <w:tcW w:w="48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Consulting and outsourced services increased $11.2 million primarily due to additional resources for our technology initiatives. Bank partner fees increased $6.0 million due to higher Refund Advance origination fees. Credit card and bank charges increased $16.0 million as a result of the acquisition of Wave, while legal fees increased $12.8 million due to fees associated with ongoing legal matters, as discussed in Item 1, note 11 to the consolidated financial statements.</w:t>
      </w:r>
    </w:p>
    <w:p>
      <w:pPr>
        <w:spacing w:after="0" w:line="9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recorded an income tax benefit in the current year of $188.1 million compared to $149.9 million in the prior year. See Item 1, note 7 to the consolidated financial statements for additional discussion.</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Total U.S. return volume increased 1.4% through February 28, 2020 compared to the prior year period due to an increase in DIY online and IRS Free File returns, which was slightly offset by a decrease in assisted returns. Our business is highly seasonal and results for the nine months ended January 31, as well as results for the period ended February 28, may not be indicative of results for the entire fiscal year.</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These comments should be read in conjunction with the consolidated balance sheets and consolidated statements of cash flows included in Part 1, Item 1.</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RESOURCES AND LIQUIDITY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 Our primary sources of capital and liquidity include cash from operations (including changes in working capital), draws on</w:t>
      </w:r>
      <w:r>
        <w:rPr>
          <w:rFonts w:ascii="Arial" w:cs="Arial" w:eastAsia="Arial" w:hAnsi="Arial"/>
          <w:sz w:val="18"/>
          <w:szCs w:val="18"/>
          <w:b w:val="1"/>
          <w:bCs w:val="1"/>
          <w:color w:val="auto"/>
        </w:rPr>
        <w:t xml:space="preserve"> </w:t>
      </w:r>
      <w:r>
        <w:rPr>
          <w:rFonts w:ascii="Arial" w:cs="Arial" w:eastAsia="Arial" w:hAnsi="Arial"/>
          <w:sz w:val="18"/>
          <w:szCs w:val="18"/>
          <w:color w:val="auto"/>
        </w:rPr>
        <w:t>our CLOC, and issuances of debt. We use our sources of liquidity primarily to fund working capital, service and repay debt, pay dividends, repurchase shares of our common stock, and acquire businesses.</w:t>
      </w:r>
    </w:p>
    <w:p>
      <w:pPr>
        <w:spacing w:after="0" w:line="85"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operations are highly seasonal and substantially all of our revenues and cash flow are generated during the period from February through April. Therefore, we require the use of cash to fund losses and working capital needs, periodically resulting in a working capital deficit, from May through January. We typically rely on available cash balances from the prior tax season and borrowings to meet our off-season liquidity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284480</wp:posOffset>
            </wp:positionV>
            <wp:extent cx="222885"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33</w:t>
      </w:r>
    </w:p>
    <w:p>
      <w:pPr>
        <w:sectPr>
          <w:pgSz w:w="11900" w:h="16838" w:orient="portrait"/>
          <w:cols w:equalWidth="0" w:num="1">
            <w:col w:w="11240"/>
          </w:cols>
          <w:pgMar w:left="320" w:top="249" w:right="3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Given the likely availability of a number of liquidity options discussed herein, we believe that, in the absence of any unexpected developments, our existing sources of capital as of January 31, 2020 are sufficient to meet our operating, investing and financing needs.</w:t>
      </w:r>
    </w:p>
    <w:p>
      <w:pPr>
        <w:spacing w:after="0" w:line="68" w:lineRule="exact"/>
        <w:rPr>
          <w:sz w:val="20"/>
          <w:szCs w:val="20"/>
          <w:color w:val="auto"/>
        </w:rPr>
      </w:pPr>
    </w:p>
    <w:p>
      <w:pPr>
        <w:jc w:val="both"/>
        <w:ind w:right="20" w:firstLine="243"/>
        <w:spacing w:after="0" w:line="287" w:lineRule="auto"/>
        <w:rPr>
          <w:sz w:val="20"/>
          <w:szCs w:val="20"/>
          <w:color w:val="auto"/>
        </w:rPr>
      </w:pPr>
      <w:r>
        <w:rPr>
          <w:rFonts w:ascii="Arial" w:cs="Arial" w:eastAsia="Arial" w:hAnsi="Arial"/>
          <w:sz w:val="18"/>
          <w:szCs w:val="18"/>
          <w:b w:val="1"/>
          <w:bCs w:val="1"/>
          <w:color w:val="auto"/>
        </w:rPr>
        <w:t xml:space="preserve">DISCUSSION OF CONSOLIDATED STATEMENTS OF CASH FLOWS </w:t>
      </w:r>
      <w:r>
        <w:rPr>
          <w:rFonts w:ascii="Arial" w:cs="Arial" w:eastAsia="Arial" w:hAnsi="Arial"/>
          <w:sz w:val="18"/>
          <w:szCs w:val="18"/>
          <w:color w:val="auto"/>
        </w:rPr>
        <w:t>– The following table summarizes our statements of cash flows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nine months ended January 31, 2020 and 2019. See Item 1 for the complete consolidated statements of cash flows for these periods.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63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Nine months ended January 31,</w:t>
            </w: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2019</w:t>
            </w:r>
          </w:p>
        </w:tc>
      </w:tr>
      <w:tr>
        <w:trPr>
          <w:trHeight w:val="270"/>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provided by (used in):</w:t>
            </w: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0"/>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Operating activities</w:t>
            </w:r>
          </w:p>
        </w:tc>
        <w:tc>
          <w:tcPr>
            <w:tcW w:w="800" w:type="dxa"/>
            <w:vAlign w:val="bottom"/>
          </w:tcPr>
          <w:p>
            <w:pPr>
              <w:jc w:val="right"/>
              <w:ind w:right="599"/>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(1,467,791)</w:t>
            </w:r>
          </w:p>
        </w:tc>
        <w:tc>
          <w:tcPr>
            <w:tcW w:w="120" w:type="dxa"/>
            <w:vAlign w:val="bottom"/>
          </w:tcPr>
          <w:p>
            <w:pPr>
              <w:spacing w:after="0"/>
              <w:rPr>
                <w:sz w:val="22"/>
                <w:szCs w:val="22"/>
                <w:color w:val="auto"/>
              </w:rPr>
            </w:pP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(1,347,456)</w:t>
            </w:r>
          </w:p>
        </w:tc>
      </w:tr>
      <w:tr>
        <w:trPr>
          <w:trHeight w:val="280"/>
        </w:trPr>
        <w:tc>
          <w:tcPr>
            <w:tcW w:w="64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Investing activities</w:t>
            </w:r>
          </w:p>
        </w:tc>
        <w:tc>
          <w:tcPr>
            <w:tcW w:w="8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(489,702)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(119,259)</w:t>
            </w:r>
          </w:p>
        </w:tc>
      </w:tr>
      <w:tr>
        <w:trPr>
          <w:trHeight w:val="260"/>
        </w:trPr>
        <w:tc>
          <w:tcPr>
            <w:tcW w:w="6400" w:type="dxa"/>
            <w:vAlign w:val="bottom"/>
            <w:gridSpan w:val="2"/>
          </w:tcPr>
          <w:p>
            <w:pPr>
              <w:ind w:left="180"/>
              <w:spacing w:after="0"/>
              <w:rPr>
                <w:sz w:val="20"/>
                <w:szCs w:val="20"/>
                <w:color w:val="auto"/>
              </w:rPr>
            </w:pPr>
            <w:r>
              <w:rPr>
                <w:rFonts w:ascii="Arial" w:cs="Arial" w:eastAsia="Arial" w:hAnsi="Arial"/>
                <w:sz w:val="16"/>
                <w:szCs w:val="16"/>
                <w:color w:val="auto"/>
              </w:rPr>
              <w:t>Financing activities</w:t>
            </w:r>
          </w:p>
        </w:tc>
        <w:tc>
          <w:tcPr>
            <w:tcW w:w="80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b w:val="1"/>
                <w:bCs w:val="1"/>
                <w:color w:val="auto"/>
              </w:rPr>
              <w:t>611,912</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110,383</w:t>
            </w:r>
          </w:p>
        </w:tc>
      </w:tr>
      <w:tr>
        <w:trPr>
          <w:trHeight w:val="273"/>
        </w:trPr>
        <w:tc>
          <w:tcPr>
            <w:tcW w:w="64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Effects of exchange rates on cash</w:t>
            </w:r>
          </w:p>
        </w:tc>
        <w:tc>
          <w:tcPr>
            <w:tcW w:w="8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(359)</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r>
      <w:tr>
        <w:trPr>
          <w:trHeight w:val="250"/>
        </w:trPr>
        <w:tc>
          <w:tcPr>
            <w:tcW w:w="64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(1,345,940)</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(1,358,549)</w:t>
            </w:r>
          </w:p>
        </w:tc>
      </w:tr>
      <w:tr>
        <w:trPr>
          <w:trHeight w:val="122"/>
        </w:trPr>
        <w:tc>
          <w:tcPr>
            <w:tcW w:w="630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156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1560" w:type="dxa"/>
            <w:vAlign w:val="bottom"/>
            <w:tcBorders>
              <w:bottom w:val="single" w:sz="8" w:color="auto"/>
            </w:tcBorders>
            <w:shd w:val="clear" w:color="auto" w:fill="CCEEFF"/>
          </w:tcPr>
          <w:p>
            <w:pPr>
              <w:spacing w:after="0"/>
              <w:rPr>
                <w:sz w:val="10"/>
                <w:szCs w:val="10"/>
                <w:color w:val="auto"/>
              </w:rPr>
            </w:pPr>
          </w:p>
        </w:tc>
      </w:tr>
    </w:tbl>
    <w:p>
      <w:pPr>
        <w:spacing w:after="0" w:line="85"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Operating Activities. </w:t>
      </w:r>
      <w:r>
        <w:rPr>
          <w:rFonts w:ascii="Arial" w:cs="Arial" w:eastAsia="Arial" w:hAnsi="Arial"/>
          <w:sz w:val="18"/>
          <w:szCs w:val="18"/>
          <w:color w:val="auto"/>
        </w:rPr>
        <w:t>Cash used in operations increased, primarily due to the timing of payments for accounts payable,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salaries, wages and payroll taxes combined with an increase in receivables, which is slightly offset by a decline in prepaid expenses.</w:t>
      </w:r>
    </w:p>
    <w:p>
      <w:pPr>
        <w:spacing w:after="0" w:line="6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Cash used in investing activities totaled $489.7 million for the nine months ended January 31, 2020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$119.3 million in the prior year period. This change resulted primarily from the acquisition of Wave, partially offset by the receipt of cash on an available-for-sale debt security in the current year.</w:t>
      </w:r>
    </w:p>
    <w:p>
      <w:pPr>
        <w:spacing w:after="0" w:line="6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Financing Activities. </w:t>
      </w:r>
      <w:r>
        <w:rPr>
          <w:rFonts w:ascii="Arial" w:cs="Arial" w:eastAsia="Arial" w:hAnsi="Arial"/>
          <w:sz w:val="18"/>
          <w:szCs w:val="18"/>
          <w:color w:val="auto"/>
        </w:rPr>
        <w:t>Cash provided by financing activities totaled $611.9 million for the nine months ended January 31, 2020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$110.4 million in the prior year period. This change resulted primarily from borrowings on our CLOC partially offset by higher share repurchases completed in the current year.</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 xml:space="preserve">CASH REQUIREMENTS </w:t>
      </w:r>
      <w:r>
        <w:rPr>
          <w:rFonts w:ascii="Arial" w:cs="Arial" w:eastAsia="Arial" w:hAnsi="Arial"/>
          <w:sz w:val="18"/>
          <w:szCs w:val="18"/>
          <w:color w:val="auto"/>
        </w:rPr>
        <w:t>–</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8"/>
          <w:szCs w:val="18"/>
          <w:b w:val="1"/>
          <w:bCs w:val="1"/>
          <w:color w:val="auto"/>
        </w:rPr>
        <w:t xml:space="preserve">Dividends and Share Repurchases. </w:t>
      </w:r>
      <w:r>
        <w:rPr>
          <w:rFonts w:ascii="Arial" w:cs="Arial" w:eastAsia="Arial" w:hAnsi="Arial"/>
          <w:sz w:val="18"/>
          <w:szCs w:val="18"/>
          <w:color w:val="auto"/>
        </w:rPr>
        <w:t>Returning capital to shareholders in the form of dividends and the repurchase of outstanding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has historically been a significant component of our capital allocation plan.</w:t>
      </w:r>
    </w:p>
    <w:p>
      <w:pPr>
        <w:spacing w:after="0" w:line="67" w:lineRule="exact"/>
        <w:rPr>
          <w:sz w:val="20"/>
          <w:szCs w:val="20"/>
          <w:color w:val="auto"/>
        </w:rPr>
      </w:pPr>
    </w:p>
    <w:p>
      <w:pPr>
        <w:jc w:val="both"/>
        <w:ind w:right="20" w:firstLine="243"/>
        <w:spacing w:after="0" w:line="256" w:lineRule="auto"/>
        <w:rPr>
          <w:sz w:val="20"/>
          <w:szCs w:val="20"/>
          <w:color w:val="auto"/>
        </w:rPr>
      </w:pPr>
      <w:r>
        <w:rPr>
          <w:rFonts w:ascii="Arial" w:cs="Arial" w:eastAsia="Arial" w:hAnsi="Arial"/>
          <w:sz w:val="18"/>
          <w:szCs w:val="18"/>
          <w:color w:val="auto"/>
        </w:rPr>
        <w:t>We have consistently paid quarterly dividends. Dividends paid totaled $154.8 million and $154.9 million for the nine months ended January 31, 2020 and 2019, respectively. Although we have historically paid dividends and plan to continue to do so, there can be no assurances that circumstances will not change in the future that could affect our ability or decisions to pay dividends.</w:t>
      </w:r>
    </w:p>
    <w:p>
      <w:pPr>
        <w:spacing w:after="0" w:line="9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Our current share repurchase program has remaining authorization of $751.8 million which is effective through June 2022. Although we may continue to repurchase shares, there is no assurance that we will purchase up to the full Board authorization.</w:t>
      </w:r>
    </w:p>
    <w:p>
      <w:pPr>
        <w:spacing w:after="0" w:line="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color w:val="auto"/>
        </w:rPr>
        <w:t xml:space="preserve">Capital Investment. </w:t>
      </w:r>
      <w:r>
        <w:rPr>
          <w:rFonts w:ascii="Arial" w:cs="Arial" w:eastAsia="Arial" w:hAnsi="Arial"/>
          <w:sz w:val="18"/>
          <w:szCs w:val="18"/>
          <w:color w:val="auto"/>
        </w:rPr>
        <w:t>Capital expenditures totaled $66.5 million and $80.0 million for the nine months ended January 31, 2020 and 2019,</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Our capital expenditures relate primarily to recurring improvements to retail offices, as well as investments in computers, software and related assets. In addition to our capital expenditures, we also made payments to acquire businesses. We acquired Wave and franchisee and competitor businesses totaling $450.3 million in the current year compared to franchisee and competitor businesses totaling $42.4 million in the prior year. See Item 1, note 1 and note 5 for additional information on our acquisitions.</w:t>
      </w:r>
    </w:p>
    <w:p>
      <w:pPr>
        <w:spacing w:after="0" w:line="71"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FINANCING RESOURCES </w:t>
      </w:r>
      <w:r>
        <w:rPr>
          <w:rFonts w:ascii="Arial" w:cs="Arial" w:eastAsia="Arial" w:hAnsi="Arial"/>
          <w:sz w:val="18"/>
          <w:szCs w:val="18"/>
          <w:color w:val="auto"/>
        </w:rPr>
        <w:t>– We had an outstanding balance of $1.0 billion under the CLOC as of January 31, 2020. Amounts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 were limited by the debt-to-EBITDA covenant to approximately $751 million as of January 31, 2020. See Item 1, note 6 to the consolidated financial statements.</w:t>
      </w:r>
    </w:p>
    <w:p>
      <w:pPr>
        <w:spacing w:after="0" w:line="8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Our Senior Notes due in October 2020 are classified as a current liability as of January 31, 2020. We are considering various financing options in regard to the maturing Senior Notes and anticipate these options will provide adequate liquidity to fund the cash requirements at or prior to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23114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00" w:hanging="290"/>
        <w:spacing w:after="0"/>
        <w:tabs>
          <w:tab w:leader="none" w:pos="400" w:val="left"/>
        </w:tabs>
        <w:numPr>
          <w:ilvl w:val="0"/>
          <w:numId w:val="22"/>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If we elect to obtain new debt or refinance existing debt in the future, the terms and availability of such financing may be impacted by economic and financial market conditions, as well as our financial condition, results of operations, and credit ratings at the time we seek additional financing. Though we expect to be able to obtain any desired debt financing in the future, there can be no assurances that we will be able to obtain such financing on terms that will be acceptable or advantageous to us.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ratings for debt issued by Block Financial as of January 31, 2020 and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As of</w:t>
            </w:r>
          </w:p>
        </w:tc>
        <w:tc>
          <w:tcPr>
            <w:tcW w:w="23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January 31, 2020</w:t>
            </w: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April 30, 2019</w:t>
            </w:r>
          </w:p>
        </w:tc>
        <w:tc>
          <w:tcPr>
            <w:tcW w:w="1020" w:type="dxa"/>
            <w:vAlign w:val="bottom"/>
            <w:tcBorders>
              <w:bottom w:val="single" w:sz="8" w:color="auto"/>
            </w:tcBorders>
          </w:tcPr>
          <w:p>
            <w:pPr>
              <w:spacing w:after="0"/>
              <w:rPr>
                <w:sz w:val="19"/>
                <w:szCs w:val="19"/>
                <w:color w:val="auto"/>
              </w:rPr>
            </w:pPr>
          </w:p>
        </w:tc>
      </w:tr>
      <w:tr>
        <w:trPr>
          <w:trHeight w:val="263"/>
        </w:trPr>
        <w:tc>
          <w:tcPr>
            <w:tcW w:w="2180" w:type="dxa"/>
            <w:vAlign w:val="bottom"/>
            <w:tcBorders>
              <w:bottom w:val="single" w:sz="8" w:color="auto"/>
            </w:tcBorders>
          </w:tcPr>
          <w:p>
            <w:pPr>
              <w:spacing w:after="0"/>
              <w:rPr>
                <w:sz w:val="22"/>
                <w:szCs w:val="22"/>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Short-term</w:t>
            </w: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Long-term</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Outlook</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Short-term</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Long-term</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Outlook</w:t>
            </w: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P-3</w:t>
            </w:r>
          </w:p>
        </w:tc>
        <w:tc>
          <w:tcPr>
            <w:tcW w:w="1680" w:type="dxa"/>
            <w:vAlign w:val="bottom"/>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Baa3</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Negative</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P-3</w:t>
            </w:r>
          </w:p>
        </w:tc>
        <w:tc>
          <w:tcPr>
            <w:tcW w:w="15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Baa3</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Negative</w:t>
            </w:r>
          </w:p>
        </w:tc>
      </w:tr>
      <w:tr>
        <w:trPr>
          <w:trHeight w:val="264"/>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S&amp;P</w:t>
            </w: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A-2</w:t>
            </w: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BBB</w:t>
            </w: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Stable</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A-2</w:t>
            </w:r>
          </w:p>
        </w:tc>
        <w:tc>
          <w:tcPr>
            <w:tcW w:w="15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BBB</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Stable</w:t>
            </w:r>
          </w:p>
        </w:tc>
      </w:tr>
    </w:tbl>
    <w:p>
      <w:pPr>
        <w:spacing w:after="0" w:line="107" w:lineRule="exact"/>
        <w:rPr>
          <w:sz w:val="20"/>
          <w:szCs w:val="20"/>
          <w:color w:val="auto"/>
        </w:rPr>
      </w:pPr>
    </w:p>
    <w:p>
      <w:pPr>
        <w:jc w:val="both"/>
        <w:ind w:firstLine="229"/>
        <w:spacing w:after="0" w:line="261" w:lineRule="auto"/>
        <w:rPr>
          <w:sz w:val="20"/>
          <w:szCs w:val="20"/>
          <w:color w:val="auto"/>
        </w:rPr>
      </w:pPr>
      <w:r>
        <w:rPr>
          <w:rFonts w:ascii="Arial" w:cs="Arial" w:eastAsia="Arial" w:hAnsi="Arial"/>
          <w:sz w:val="18"/>
          <w:szCs w:val="18"/>
          <w:color w:val="auto"/>
        </w:rPr>
        <w:t>Other than described above, there have been no material changes in our borrowings from those reported as of April 30, 2019 in our Annual Report on Form 10-K.</w:t>
      </w:r>
    </w:p>
    <w:p>
      <w:pPr>
        <w:spacing w:after="0" w:line="68" w:lineRule="exact"/>
        <w:rPr>
          <w:sz w:val="20"/>
          <w:szCs w:val="20"/>
          <w:color w:val="auto"/>
        </w:rPr>
      </w:pPr>
    </w:p>
    <w:p>
      <w:pPr>
        <w:jc w:val="both"/>
        <w:ind w:firstLine="229"/>
        <w:spacing w:after="0" w:line="287" w:lineRule="auto"/>
        <w:rPr>
          <w:sz w:val="20"/>
          <w:szCs w:val="20"/>
          <w:color w:val="auto"/>
        </w:rPr>
      </w:pPr>
      <w:r>
        <w:rPr>
          <w:rFonts w:ascii="Arial" w:cs="Arial" w:eastAsia="Arial" w:hAnsi="Arial"/>
          <w:sz w:val="18"/>
          <w:szCs w:val="18"/>
          <w:b w:val="1"/>
          <w:bCs w:val="1"/>
          <w:color w:val="auto"/>
        </w:rPr>
        <w:t xml:space="preserve">CASH AND OTHER ASSETS </w:t>
      </w:r>
      <w:r>
        <w:rPr>
          <w:rFonts w:ascii="Arial" w:cs="Arial" w:eastAsia="Arial" w:hAnsi="Arial"/>
          <w:sz w:val="18"/>
          <w:szCs w:val="18"/>
          <w:color w:val="auto"/>
        </w:rPr>
        <w:t>– As of January 31, 2020, we held cash and cash equivalents, excluding restricted amounts, of $192.3</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including $103.7 million held by our foreign subsidiaries.</w:t>
      </w:r>
    </w:p>
    <w:p>
      <w:pPr>
        <w:spacing w:after="0" w:line="45" w:lineRule="exact"/>
        <w:rPr>
          <w:sz w:val="20"/>
          <w:szCs w:val="20"/>
          <w:color w:val="auto"/>
        </w:rPr>
      </w:pPr>
    </w:p>
    <w:p>
      <w:pPr>
        <w:jc w:val="both"/>
        <w:ind w:firstLine="229"/>
        <w:spacing w:after="0" w:line="268" w:lineRule="auto"/>
        <w:rPr>
          <w:sz w:val="20"/>
          <w:szCs w:val="20"/>
          <w:color w:val="auto"/>
        </w:rPr>
      </w:pPr>
      <w:r>
        <w:rPr>
          <w:rFonts w:ascii="Arial" w:cs="Arial" w:eastAsia="Arial" w:hAnsi="Arial"/>
          <w:sz w:val="18"/>
          <w:szCs w:val="18"/>
          <w:b w:val="1"/>
          <w:bCs w:val="1"/>
          <w:color w:val="auto"/>
        </w:rPr>
        <w:t xml:space="preserve">Foreign Operations. </w:t>
      </w:r>
      <w:r>
        <w:rPr>
          <w:rFonts w:ascii="Arial" w:cs="Arial" w:eastAsia="Arial" w:hAnsi="Arial"/>
          <w:sz w:val="18"/>
          <w:szCs w:val="18"/>
          <w:color w:val="auto"/>
        </w:rPr>
        <w:t>When necessary, our international businesses are funded by our U.S. operations. To mitigate foreign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rate risk, we sometimes enter into foreign exchange forward contracts. There were no forward contracts outstanding as of January 31, 2020.</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do not currently intend to repatriate any non-borrowed funds held by our foreign subsidiaries.</w:t>
      </w:r>
    </w:p>
    <w:p>
      <w:pPr>
        <w:spacing w:after="0" w:line="117"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The impact of changes in foreign exchange rates during the period on our international cash balances resulted in a decrease of $0.4 million during the nine months ended January 31, 2020 compared to a decrease of $2.2 million in the prior year.</w:t>
      </w:r>
    </w:p>
    <w:p>
      <w:pPr>
        <w:spacing w:after="0" w:line="6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8"/>
          <w:szCs w:val="18"/>
          <w:b w:val="1"/>
          <w:bCs w:val="1"/>
          <w:color w:val="auto"/>
        </w:rPr>
        <w:t xml:space="preserve">CONTRACTUAL OBLIGATIONS AND COMMERCIAL COMMITMENTS </w:t>
      </w:r>
      <w:r>
        <w:rPr>
          <w:rFonts w:ascii="Arial" w:cs="Arial" w:eastAsia="Arial" w:hAnsi="Arial"/>
          <w:sz w:val="18"/>
          <w:szCs w:val="18"/>
          <w:color w:val="auto"/>
        </w:rPr>
        <w:t>– EAs are originated by Axos. We purchase a 90%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at par, in all EAs originated by Axos in accordance with our participation agreement. At January 31, 2020, the principal balance of purchased participation interests totaled $367.8 million.</w:t>
      </w:r>
    </w:p>
    <w:p>
      <w:pPr>
        <w:spacing w:after="0" w:line="85"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have provided limited guarantees under our Refund Advance Program Agreement of up to $7.5 million related to loans to clients prior to the IRS accepting electronic filing, with additional limited guarantees for the remaining loans, up to $57 million in the aggregate, which would cover certain incremental loan losses. See Item 1, note 9 to the consolidated financial statements for additional discussion.</w:t>
      </w:r>
    </w:p>
    <w:p>
      <w:pPr>
        <w:spacing w:after="0" w:line="94"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Other than as described above, there have been no material changes in our contractual obligations and commercial commitments from those reported as of April 30, 2019 in our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13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in our regulatory environment from what was reported as of April 30, 2019 in our Annual Report on Form 10-K.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spacing w:after="0" w:line="94"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color w:val="auto"/>
        </w:rPr>
        <w:t>We consider our non-GAAP financial measures to be performance measures and a useful metric for management and investors to evaluate and compare the ongoing operating performance of our business.</w:t>
      </w:r>
    </w:p>
    <w:p>
      <w:pPr>
        <w:spacing w:after="0" w:line="90" w:lineRule="exact"/>
        <w:rPr>
          <w:sz w:val="20"/>
          <w:szCs w:val="20"/>
          <w:color w:val="auto"/>
        </w:rPr>
      </w:pPr>
    </w:p>
    <w:p>
      <w:pPr>
        <w:jc w:val="both"/>
        <w:ind w:firstLine="243"/>
        <w:spacing w:after="0" w:line="256" w:lineRule="auto"/>
        <w:rPr>
          <w:sz w:val="20"/>
          <w:szCs w:val="20"/>
          <w:color w:val="auto"/>
        </w:rPr>
      </w:pPr>
      <w:r>
        <w:rPr>
          <w:rFonts w:ascii="Arial" w:cs="Arial" w:eastAsia="Arial" w:hAnsi="Arial"/>
          <w:sz w:val="18"/>
          <w:szCs w:val="18"/>
          <w:color w:val="auto"/>
        </w:rPr>
        <w:t>We make adjustments for certain non -GAAP financial measures related to amortization of intangibles from acquisitions. We believe removing the impacts of amortization of acquired intangibles provides a more meaningful indicator of performance and will assist in understanding our financial results.</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may consider whether other significant items that arise in the future should be excluded from our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297815</wp:posOffset>
            </wp:positionV>
            <wp:extent cx="22288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35</w:t>
      </w:r>
    </w:p>
    <w:p>
      <w:pPr>
        <w:sectPr>
          <w:pgSz w:w="11900" w:h="16838" w:orient="portrait"/>
          <w:cols w:equalWidth="0" w:num="1">
            <w:col w:w="11240"/>
          </w:cols>
          <w:pgMar w:left="320" w:top="249"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measure the performance of our business using a variety of metrics, including earnings before interest, taxes, depreciation and amortization (EBITDA) from continuing operations, EBITDA margin from continuing operations, adjusted diluted earnings per share from continuing operations and free cash flow. We also use EBITDA from continuing operations and pretax income of continuing operations, each subject to permitted adjustments, as performance metrics in incentive compensation calculations for our employees.</w:t>
      </w:r>
    </w:p>
    <w:p>
      <w:pPr>
        <w:spacing w:after="0" w:line="9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is a reconciliation of net loss to EBITDA from continuing operations, which is a non-GAAP financial measure: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w:t>
            </w:r>
          </w:p>
        </w:tc>
      </w:tr>
      <w:tr>
        <w:trPr>
          <w:trHeight w:val="263"/>
        </w:trPr>
        <w:tc>
          <w:tcPr>
            <w:tcW w:w="4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color w:val="auto"/>
              </w:rPr>
              <w:t>Three months ended January 31,</w:t>
            </w:r>
          </w:p>
        </w:tc>
        <w:tc>
          <w:tcPr>
            <w:tcW w:w="240" w:type="dxa"/>
            <w:vAlign w:val="bottom"/>
            <w:tcBorders>
              <w:bottom w:val="single" w:sz="8" w:color="auto"/>
            </w:tcBorders>
          </w:tcPr>
          <w:p>
            <w:pPr>
              <w:spacing w:after="0"/>
              <w:rPr>
                <w:sz w:val="22"/>
                <w:szCs w:val="22"/>
                <w:color w:val="auto"/>
              </w:rPr>
            </w:pPr>
          </w:p>
        </w:tc>
        <w:tc>
          <w:tcPr>
            <w:tcW w:w="27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6"/>
                <w:szCs w:val="16"/>
                <w:color w:val="auto"/>
              </w:rPr>
              <w:t>Nine months ended January 31,</w:t>
            </w:r>
          </w:p>
        </w:tc>
      </w:tr>
      <w:tr>
        <w:trPr>
          <w:trHeight w:val="263"/>
        </w:trPr>
        <w:tc>
          <w:tcPr>
            <w:tcW w:w="4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2019</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 as reported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(129,683)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(126,454)</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(467,929)</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(455,400)</w:t>
            </w:r>
          </w:p>
        </w:tc>
      </w:tr>
      <w:tr>
        <w:trPr>
          <w:trHeight w:val="263"/>
        </w:trPr>
        <w:tc>
          <w:tcPr>
            <w:tcW w:w="5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Discontinued operations, net</w:t>
            </w: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1,657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6,675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10,625</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15,887</w:t>
            </w:r>
          </w:p>
        </w:tc>
      </w:tr>
      <w:tr>
        <w:trPr>
          <w:trHeight w:val="257"/>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 - as reported</w:t>
            </w:r>
          </w:p>
        </w:tc>
        <w:tc>
          <w:tcPr>
            <w:tcW w:w="2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(128,026)</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(119,779)</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(457,304)</w:t>
            </w:r>
          </w:p>
        </w:tc>
        <w:tc>
          <w:tcPr>
            <w:tcW w:w="10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(439,513)</w:t>
            </w:r>
          </w:p>
        </w:tc>
      </w:tr>
      <w:tr>
        <w:trPr>
          <w:trHeight w:val="254"/>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Add back:</w:t>
            </w:r>
          </w:p>
        </w:tc>
        <w:tc>
          <w:tcPr>
            <w:tcW w:w="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80"/>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of continuing operations</w:t>
            </w: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(49,004)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(188,146)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(149,906)</w:t>
            </w:r>
          </w:p>
        </w:tc>
      </w:tr>
      <w:tr>
        <w:trPr>
          <w:trHeight w:val="260"/>
        </w:trPr>
        <w:tc>
          <w:tcPr>
            <w:tcW w:w="5080" w:type="dxa"/>
            <w:vAlign w:val="bottom"/>
            <w:gridSpan w:val="2"/>
          </w:tcPr>
          <w:p>
            <w:pPr>
              <w:ind w:left="180"/>
              <w:spacing w:after="0"/>
              <w:rPr>
                <w:sz w:val="20"/>
                <w:szCs w:val="20"/>
                <w:color w:val="auto"/>
              </w:rPr>
            </w:pPr>
            <w:r>
              <w:rPr>
                <w:rFonts w:ascii="Arial" w:cs="Arial" w:eastAsia="Arial" w:hAnsi="Arial"/>
                <w:sz w:val="16"/>
                <w:szCs w:val="16"/>
                <w:color w:val="auto"/>
              </w:rPr>
              <w:t>Interest expense of continuing operations</w:t>
            </w: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26,305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22,833</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68,682</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65,214</w:t>
            </w:r>
          </w:p>
        </w:tc>
      </w:tr>
      <w:tr>
        <w:trPr>
          <w:trHeight w:val="273"/>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 of continuing operations</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44,147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44,088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125,409</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126,013</w:t>
            </w:r>
          </w:p>
        </w:tc>
      </w:tr>
      <w:tr>
        <w:trPr>
          <w:trHeight w:val="250"/>
        </w:trPr>
        <w:tc>
          <w:tcPr>
            <w:tcW w:w="49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21,448</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28,036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5,945</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41,321</w:t>
            </w:r>
          </w:p>
        </w:tc>
      </w:tr>
      <w:tr>
        <w:trPr>
          <w:trHeight w:val="25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EBITDA from continuing operations</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(106,578)</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(91,743)</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(451,359)</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(398,192)</w:t>
            </w:r>
          </w:p>
        </w:tc>
      </w:tr>
      <w:tr>
        <w:trPr>
          <w:trHeight w:val="122"/>
        </w:trPr>
        <w:tc>
          <w:tcPr>
            <w:tcW w:w="4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pacing w:after="0" w:line="107" w:lineRule="exact"/>
        <w:rPr>
          <w:sz w:val="20"/>
          <w:szCs w:val="20"/>
          <w:color w:val="auto"/>
        </w:rPr>
      </w:pPr>
    </w:p>
    <w:p>
      <w:pPr>
        <w:jc w:val="both"/>
        <w:ind w:right="20" w:firstLine="243"/>
        <w:spacing w:after="0" w:line="261" w:lineRule="auto"/>
        <w:rPr>
          <w:sz w:val="20"/>
          <w:szCs w:val="20"/>
          <w:color w:val="auto"/>
        </w:rPr>
      </w:pPr>
      <w:r>
        <w:rPr>
          <w:rFonts w:ascii="Arial" w:cs="Arial" w:eastAsia="Arial" w:hAnsi="Arial"/>
          <w:sz w:val="18"/>
          <w:szCs w:val="18"/>
          <w:color w:val="auto"/>
        </w:rPr>
        <w:t>The following is a reconciliation of our results from continuing operations to our adjusted results from continuing operations, which are non-GAAP financial measures:</w:t>
      </w:r>
    </w:p>
    <w:p>
      <w:pPr>
        <w:spacing w:after="0" w:line="149" w:lineRule="exact"/>
        <w:rPr>
          <w:sz w:val="20"/>
          <w:szCs w:val="20"/>
          <w:color w:val="auto"/>
        </w:rPr>
      </w:pPr>
    </w:p>
    <w:p>
      <w:pPr>
        <w:ind w:left="8820"/>
        <w:spacing w:after="0"/>
        <w:rPr>
          <w:sz w:val="20"/>
          <w:szCs w:val="20"/>
          <w:color w:val="auto"/>
        </w:rPr>
      </w:pPr>
      <w:r>
        <w:rPr>
          <w:rFonts w:ascii="Arial" w:cs="Arial" w:eastAsia="Arial" w:hAnsi="Arial"/>
          <w:sz w:val="14"/>
          <w:szCs w:val="14"/>
          <w:color w:val="auto"/>
        </w:rPr>
        <w:t>(in 000s,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color w:val="auto"/>
              </w:rPr>
              <w:t>Three months ended January 31,</w:t>
            </w: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color w:val="auto"/>
              </w:rPr>
              <w:t>Nine months ended January 31,</w:t>
            </w:r>
          </w:p>
        </w:tc>
      </w:tr>
      <w:tr>
        <w:trPr>
          <w:trHeight w:val="263"/>
        </w:trPr>
        <w:tc>
          <w:tcPr>
            <w:tcW w:w="4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2019</w:t>
            </w:r>
          </w:p>
        </w:tc>
      </w:tr>
      <w:tr>
        <w:trPr>
          <w:trHeight w:val="270"/>
        </w:trPr>
        <w:tc>
          <w:tcPr>
            <w:tcW w:w="4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loss from continuing operations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(128,026)</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(119,779)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(457,304)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(439,513)</w:t>
            </w:r>
          </w:p>
        </w:tc>
      </w:tr>
      <w:tr>
        <w:trPr>
          <w:trHeight w:val="122"/>
        </w:trPr>
        <w:tc>
          <w:tcPr>
            <w:tcW w:w="4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w:t>
            </w: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60"/>
        </w:trPr>
        <w:tc>
          <w:tcPr>
            <w:tcW w:w="5080" w:type="dxa"/>
            <w:vAlign w:val="bottom"/>
            <w:gridSpan w:val="2"/>
          </w:tcPr>
          <w:p>
            <w:pPr>
              <w:ind w:left="180"/>
              <w:spacing w:after="0"/>
              <w:rPr>
                <w:sz w:val="20"/>
                <w:szCs w:val="20"/>
                <w:color w:val="auto"/>
              </w:rPr>
            </w:pPr>
            <w:r>
              <w:rPr>
                <w:rFonts w:ascii="Arial" w:cs="Arial" w:eastAsia="Arial" w:hAnsi="Arial"/>
                <w:sz w:val="16"/>
                <w:szCs w:val="16"/>
                <w:color w:val="auto"/>
              </w:rPr>
              <w:t>Amortization of intangibles related to acquisitions (pretax)</w:t>
            </w:r>
          </w:p>
        </w:tc>
        <w:tc>
          <w:tcPr>
            <w:tcW w:w="22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19,179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16,142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rPr>
              <w:t>54,997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46,453</w:t>
            </w:r>
          </w:p>
        </w:tc>
      </w:tr>
      <w:tr>
        <w:trPr>
          <w:trHeight w:val="280"/>
        </w:trPr>
        <w:tc>
          <w:tcPr>
            <w:tcW w:w="5080" w:type="dxa"/>
            <w:vAlign w:val="bottom"/>
            <w:gridSpan w:val="2"/>
            <w:shd w:val="clear" w:color="auto" w:fill="CCEEFF"/>
          </w:tcPr>
          <w:p>
            <w:pPr>
              <w:ind w:left="40"/>
              <w:spacing w:after="0" w:line="280" w:lineRule="exact"/>
              <w:rPr>
                <w:sz w:val="20"/>
                <w:szCs w:val="20"/>
                <w:color w:val="auto"/>
              </w:rPr>
            </w:pPr>
            <w:r>
              <w:rPr>
                <w:rFonts w:ascii="Arial" w:cs="Arial" w:eastAsia="Arial" w:hAnsi="Arial"/>
                <w:sz w:val="16"/>
                <w:szCs w:val="16"/>
                <w:color w:val="auto"/>
              </w:rPr>
              <w:t xml:space="preserve">Tax effect of adjustments </w:t>
            </w:r>
            <w:r>
              <w:rPr>
                <w:rFonts w:ascii="Arial" w:cs="Arial" w:eastAsia="Arial" w:hAnsi="Arial"/>
                <w:sz w:val="26"/>
                <w:szCs w:val="26"/>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(4,956)</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(3,820)</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(13,667)</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(11,116)</w:t>
            </w:r>
          </w:p>
        </w:tc>
      </w:tr>
      <w:tr>
        <w:trPr>
          <w:trHeight w:val="244"/>
        </w:trPr>
        <w:tc>
          <w:tcPr>
            <w:tcW w:w="5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Adjusted net loss from continuing operations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(113,803)</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(107,457)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(415,974)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(404,176)</w:t>
            </w:r>
          </w:p>
        </w:tc>
      </w:tr>
      <w:tr>
        <w:trPr>
          <w:trHeight w:val="121"/>
        </w:trPr>
        <w:tc>
          <w:tcPr>
            <w:tcW w:w="4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r>
        <w:trPr>
          <w:trHeight w:val="260"/>
        </w:trPr>
        <w:tc>
          <w:tcPr>
            <w:tcW w:w="5080" w:type="dxa"/>
            <w:vAlign w:val="bottom"/>
            <w:gridSpan w:val="2"/>
          </w:tcPr>
          <w:p>
            <w:pPr>
              <w:ind w:left="40"/>
              <w:spacing w:after="0"/>
              <w:rPr>
                <w:sz w:val="20"/>
                <w:szCs w:val="20"/>
                <w:color w:val="auto"/>
              </w:rPr>
            </w:pPr>
            <w:r>
              <w:rPr>
                <w:rFonts w:ascii="Arial" w:cs="Arial" w:eastAsia="Arial" w:hAnsi="Arial"/>
                <w:sz w:val="16"/>
                <w:szCs w:val="16"/>
                <w:color w:val="auto"/>
              </w:rPr>
              <w:t>Diluted loss per share (GAAP)</w:t>
            </w: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(0.66)</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(0.58)</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(2.31)</w:t>
            </w:r>
          </w:p>
        </w:tc>
        <w:tc>
          <w:tcPr>
            <w:tcW w:w="10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3"/>
        </w:trPr>
        <w:tc>
          <w:tcPr>
            <w:tcW w:w="5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net of tax</w:t>
            </w: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0.07</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0.21</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0.17</w:t>
            </w:r>
          </w:p>
        </w:tc>
      </w:tr>
      <w:tr>
        <w:trPr>
          <w:trHeight w:val="250"/>
        </w:trPr>
        <w:tc>
          <w:tcPr>
            <w:tcW w:w="50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Adjusted loss per share (non-GAAP)</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(0.59)</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(0.52)</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(2.10)</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r>
      <w:tr>
        <w:trPr>
          <w:trHeight w:val="121"/>
        </w:trPr>
        <w:tc>
          <w:tcPr>
            <w:tcW w:w="4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60" w:hanging="252"/>
        <w:spacing w:after="0"/>
        <w:tabs>
          <w:tab w:leader="none" w:pos="260" w:val="left"/>
        </w:tabs>
        <w:numPr>
          <w:ilvl w:val="0"/>
          <w:numId w:val="23"/>
        </w:numPr>
        <w:rPr>
          <w:rFonts w:ascii="Arial" w:cs="Arial" w:eastAsia="Arial" w:hAnsi="Arial"/>
          <w:sz w:val="10"/>
          <w:szCs w:val="10"/>
          <w:color w:val="auto"/>
        </w:rPr>
      </w:pPr>
      <w:r>
        <w:rPr>
          <w:rFonts w:ascii="Arial" w:cs="Arial" w:eastAsia="Arial" w:hAnsi="Arial"/>
          <w:sz w:val="13"/>
          <w:szCs w:val="13"/>
          <w:color w:val="auto"/>
        </w:rPr>
        <w:t>Tax effect of adjustments is computed as the pretax effect of the adjustments multiplied by our effective tax rate before discrete items.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3114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400" w:hanging="290"/>
        <w:spacing w:after="0"/>
        <w:tabs>
          <w:tab w:leader="none" w:pos="400" w:val="left"/>
        </w:tabs>
        <w:numPr>
          <w:ilvl w:val="0"/>
          <w:numId w:val="24"/>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underlying any of the above. 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spacing w:after="0" w:line="96" w:lineRule="exact"/>
        <w:rPr>
          <w:sz w:val="20"/>
          <w:szCs w:val="20"/>
          <w:color w:val="auto"/>
        </w:rPr>
      </w:pPr>
    </w:p>
    <w:p>
      <w:pPr>
        <w:jc w:val="both"/>
        <w:ind w:firstLine="243"/>
        <w:spacing w:after="0" w:line="252" w:lineRule="auto"/>
        <w:rPr>
          <w:sz w:val="20"/>
          <w:szCs w:val="20"/>
          <w:color w:val="auto"/>
        </w:rPr>
      </w:pPr>
      <w:r>
        <w:rPr>
          <w:rFonts w:ascii="Arial" w:cs="Arial" w:eastAsia="Arial" w:hAnsi="Arial"/>
          <w:sz w:val="18"/>
          <w:szCs w:val="18"/>
          <w:color w:val="auto"/>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and future actions of the Company. Investors should understand that it is not possible to predict or identify all such factors and, consequently, should not consider any such list to be a complete set of all potential risks or uncertainties.</w:t>
      </w:r>
    </w:p>
    <w:p>
      <w:pPr>
        <w:spacing w:after="0" w:line="9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Details about risks, uncertainties and assumptions that could affect various aspects of our business are included throughout our Annual Report on Form 10-K for the fiscal year ended April 30, 2019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April 30, 2019.</w:t>
      </w:r>
    </w:p>
    <w:p>
      <w:pPr>
        <w:spacing w:after="0" w:line="7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market risks from those reported at April 30, 2019 in our Annual Report on Form 10-K.</w:t>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tab/>
        <w:t>CONTROLS AND PROCEDURES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 As of the end of the period covered by this Form 10-Q,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 There were no changes during the last fiscal quarter that</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materially affected, or are reasonably likely to materially affect, our internal control over financial reporting.</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tab/>
        <w:t>LEGAL PROCEEDINGS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our material pending legal proceedings, see discussion in Part I, Item 1, note 11 to the consolidated financial statements.</w:t>
      </w:r>
    </w:p>
    <w:p>
      <w:pPr>
        <w:spacing w:after="0" w:line="9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our risk factors from those reported at April 30, 2019 in our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297815</wp:posOffset>
            </wp:positionV>
            <wp:extent cx="22288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37</w:t>
      </w:r>
    </w:p>
    <w:p>
      <w:pPr>
        <w:sectPr>
          <w:pgSz w:w="11900" w:h="16838" w:orient="portrait"/>
          <w:cols w:equalWidth="0" w:num="1">
            <w:col w:w="11240"/>
          </w:cols>
          <w:pgMar w:left="320" w:top="249" w:right="3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purchases of H&amp;R Block common stock during the third quarter of fiscal year 2020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color w:val="auto"/>
              </w:rPr>
              <w:t>(in 000s, except per share amounts)</w:t>
            </w:r>
          </w:p>
        </w:tc>
      </w:tr>
      <w:tr>
        <w:trPr>
          <w:trHeight w:val="271"/>
        </w:trPr>
        <w:tc>
          <w:tcPr>
            <w:tcW w:w="2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60" w:type="dxa"/>
            <w:vAlign w:val="bottom"/>
          </w:tcPr>
          <w:p>
            <w:pPr>
              <w:jc w:val="right"/>
              <w:ind w:right="39"/>
              <w:spacing w:after="0"/>
              <w:rPr>
                <w:sz w:val="20"/>
                <w:szCs w:val="20"/>
                <w:color w:val="auto"/>
              </w:rPr>
            </w:pPr>
            <w:r>
              <w:rPr>
                <w:rFonts w:ascii="Arial" w:cs="Arial" w:eastAsia="Arial" w:hAnsi="Arial"/>
                <w:sz w:val="16"/>
                <w:szCs w:val="16"/>
                <w:color w:val="auto"/>
              </w:rPr>
              <w:t>Total Number of Shares</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500" w:type="dxa"/>
            <w:vAlign w:val="bottom"/>
          </w:tcPr>
          <w:p>
            <w:pPr>
              <w:jc w:val="right"/>
              <w:ind w:right="20"/>
              <w:spacing w:after="0"/>
              <w:rPr>
                <w:sz w:val="20"/>
                <w:szCs w:val="20"/>
                <w:color w:val="auto"/>
              </w:rPr>
            </w:pPr>
            <w:r>
              <w:rPr>
                <w:rFonts w:ascii="Arial" w:cs="Arial" w:eastAsia="Arial" w:hAnsi="Arial"/>
                <w:sz w:val="16"/>
                <w:szCs w:val="16"/>
                <w:color w:val="auto"/>
              </w:rPr>
              <w:t>Maximum Dollar Value of</w:t>
            </w:r>
          </w:p>
        </w:tc>
      </w:tr>
      <w:tr>
        <w:trPr>
          <w:trHeight w:val="189"/>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Average</w:t>
            </w: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Purchased as Part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jc w:val="right"/>
              <w:ind w:right="80"/>
              <w:spacing w:after="0"/>
              <w:rPr>
                <w:sz w:val="20"/>
                <w:szCs w:val="20"/>
                <w:color w:val="auto"/>
              </w:rPr>
            </w:pPr>
            <w:r>
              <w:rPr>
                <w:rFonts w:ascii="Arial" w:cs="Arial" w:eastAsia="Arial" w:hAnsi="Arial"/>
                <w:sz w:val="16"/>
                <w:szCs w:val="16"/>
                <w:color w:val="auto"/>
              </w:rPr>
              <w:t>Shares that May Yet Be</w:t>
            </w:r>
          </w:p>
        </w:tc>
      </w:tr>
      <w:tr>
        <w:trPr>
          <w:trHeight w:val="186"/>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jc w:val="right"/>
              <w:ind w:right="19"/>
              <w:spacing w:after="0"/>
              <w:rPr>
                <w:sz w:val="20"/>
                <w:szCs w:val="20"/>
                <w:color w:val="auto"/>
              </w:rPr>
            </w:pPr>
            <w:r>
              <w:rPr>
                <w:rFonts w:ascii="Arial" w:cs="Arial" w:eastAsia="Arial" w:hAnsi="Arial"/>
                <w:sz w:val="16"/>
                <w:szCs w:val="16"/>
                <w:color w:val="auto"/>
              </w:rPr>
              <w:t>Total Number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Price Paid</w:t>
            </w:r>
          </w:p>
        </w:tc>
        <w:tc>
          <w:tcPr>
            <w:tcW w:w="2460" w:type="dxa"/>
            <w:vAlign w:val="bottom"/>
          </w:tcPr>
          <w:p>
            <w:pPr>
              <w:jc w:val="right"/>
              <w:ind w:right="79"/>
              <w:spacing w:after="0"/>
              <w:rPr>
                <w:sz w:val="20"/>
                <w:szCs w:val="20"/>
                <w:color w:val="auto"/>
              </w:rPr>
            </w:pPr>
            <w:r>
              <w:rPr>
                <w:rFonts w:ascii="Arial" w:cs="Arial" w:eastAsia="Arial" w:hAnsi="Arial"/>
                <w:sz w:val="16"/>
                <w:szCs w:val="16"/>
                <w:color w:val="auto"/>
              </w:rPr>
              <w:t>Publicly Announced Plans</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tcPr>
          <w:p>
            <w:pPr>
              <w:jc w:val="right"/>
              <w:ind w:right="80"/>
              <w:spacing w:after="0"/>
              <w:rPr>
                <w:sz w:val="20"/>
                <w:szCs w:val="20"/>
                <w:color w:val="auto"/>
              </w:rPr>
            </w:pPr>
            <w:r>
              <w:rPr>
                <w:rFonts w:ascii="Arial" w:cs="Arial" w:eastAsia="Arial" w:hAnsi="Arial"/>
                <w:sz w:val="16"/>
                <w:szCs w:val="16"/>
                <w:color w:val="auto"/>
              </w:rPr>
              <w:t>Purchased Under the Plans</w:t>
            </w:r>
          </w:p>
        </w:tc>
      </w:tr>
      <w:tr>
        <w:trPr>
          <w:trHeight w:val="217"/>
        </w:trPr>
        <w:tc>
          <w:tcPr>
            <w:tcW w:w="2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20" w:type="dxa"/>
            <w:vAlign w:val="bottom"/>
            <w:tcBorders>
              <w:bottom w:val="single" w:sz="8" w:color="auto"/>
            </w:tcBorders>
          </w:tcPr>
          <w:p>
            <w:pPr>
              <w:jc w:val="right"/>
              <w:ind w:right="19"/>
              <w:spacing w:after="0" w:line="216" w:lineRule="exact"/>
              <w:rPr>
                <w:sz w:val="20"/>
                <w:szCs w:val="20"/>
                <w:color w:val="auto"/>
              </w:rPr>
            </w:pPr>
            <w:r>
              <w:rPr>
                <w:rFonts w:ascii="Arial" w:cs="Arial" w:eastAsia="Arial" w:hAnsi="Arial"/>
                <w:sz w:val="16"/>
                <w:szCs w:val="16"/>
                <w:color w:val="auto"/>
              </w:rPr>
              <w:t xml:space="preserve">Shares Purchased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per Share</w:t>
            </w:r>
          </w:p>
        </w:tc>
        <w:tc>
          <w:tcPr>
            <w:tcW w:w="12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tcPr>
          <w:p>
            <w:pPr>
              <w:jc w:val="right"/>
              <w:ind w:right="39"/>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jc w:val="right"/>
              <w:ind w:right="20"/>
              <w:spacing w:after="0" w:line="216" w:lineRule="exact"/>
              <w:rPr>
                <w:sz w:val="20"/>
                <w:szCs w:val="20"/>
                <w:color w:val="auto"/>
              </w:rPr>
            </w:pPr>
            <w:r>
              <w:rPr>
                <w:rFonts w:ascii="Arial" w:cs="Arial" w:eastAsia="Arial" w:hAnsi="Arial"/>
                <w:sz w:val="16"/>
                <w:szCs w:val="16"/>
                <w:color w:val="auto"/>
              </w:rPr>
              <w:t xml:space="preserve">or Programs </w:t>
            </w:r>
            <w:r>
              <w:rPr>
                <w:rFonts w:ascii="Arial" w:cs="Arial" w:eastAsia="Arial" w:hAnsi="Arial"/>
                <w:sz w:val="25"/>
                <w:szCs w:val="25"/>
                <w:color w:val="auto"/>
                <w:vertAlign w:val="superscript"/>
              </w:rPr>
              <w:t>(2)</w:t>
            </w:r>
          </w:p>
        </w:tc>
      </w:tr>
      <w:tr>
        <w:trPr>
          <w:trHeight w:val="250"/>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November 1 - November 30</w:t>
            </w:r>
          </w:p>
        </w:tc>
        <w:tc>
          <w:tcPr>
            <w:tcW w:w="1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246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25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817,568</w:t>
            </w:r>
          </w:p>
        </w:tc>
      </w:tr>
      <w:tr>
        <w:trPr>
          <w:trHeight w:val="260"/>
        </w:trPr>
        <w:tc>
          <w:tcPr>
            <w:tcW w:w="2720" w:type="dxa"/>
            <w:vAlign w:val="bottom"/>
            <w:gridSpan w:val="2"/>
          </w:tcPr>
          <w:p>
            <w:pPr>
              <w:ind w:left="40"/>
              <w:spacing w:after="0"/>
              <w:rPr>
                <w:sz w:val="20"/>
                <w:szCs w:val="20"/>
                <w:color w:val="auto"/>
              </w:rPr>
            </w:pPr>
            <w:r>
              <w:rPr>
                <w:rFonts w:ascii="Arial" w:cs="Arial" w:eastAsia="Arial" w:hAnsi="Arial"/>
                <w:sz w:val="16"/>
                <w:szCs w:val="16"/>
                <w:color w:val="auto"/>
              </w:rPr>
              <w:t>December 1 - December 31</w:t>
            </w:r>
          </w:p>
        </w:tc>
        <w:tc>
          <w:tcPr>
            <w:tcW w:w="1920" w:type="dxa"/>
            <w:vAlign w:val="bottom"/>
          </w:tcPr>
          <w:p>
            <w:pPr>
              <w:jc w:val="right"/>
              <w:ind w:right="19"/>
              <w:spacing w:after="0"/>
              <w:rPr>
                <w:sz w:val="20"/>
                <w:szCs w:val="20"/>
                <w:color w:val="auto"/>
              </w:rPr>
            </w:pPr>
            <w:r>
              <w:rPr>
                <w:rFonts w:ascii="Arial" w:cs="Arial" w:eastAsia="Arial" w:hAnsi="Arial"/>
                <w:sz w:val="16"/>
                <w:szCs w:val="16"/>
                <w:b w:val="1"/>
                <w:bCs w:val="1"/>
                <w:color w:val="auto"/>
              </w:rPr>
              <w:t>1,945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9"/>
              <w:spacing w:after="0"/>
              <w:rPr>
                <w:sz w:val="20"/>
                <w:szCs w:val="20"/>
                <w:color w:val="auto"/>
              </w:rPr>
            </w:pPr>
            <w:r>
              <w:rPr>
                <w:rFonts w:ascii="Arial" w:cs="Arial" w:eastAsia="Arial" w:hAnsi="Arial"/>
                <w:sz w:val="16"/>
                <w:szCs w:val="16"/>
                <w:b w:val="1"/>
                <w:bCs w:val="1"/>
                <w:color w:val="auto"/>
              </w:rPr>
              <w:t>23.29</w:t>
            </w:r>
          </w:p>
        </w:tc>
        <w:tc>
          <w:tcPr>
            <w:tcW w:w="120" w:type="dxa"/>
            <w:vAlign w:val="bottom"/>
          </w:tcPr>
          <w:p>
            <w:pPr>
              <w:spacing w:after="0"/>
              <w:rPr>
                <w:sz w:val="22"/>
                <w:szCs w:val="22"/>
                <w:color w:val="auto"/>
              </w:rPr>
            </w:pPr>
          </w:p>
        </w:tc>
        <w:tc>
          <w:tcPr>
            <w:tcW w:w="2460" w:type="dxa"/>
            <w:vAlign w:val="bottom"/>
          </w:tcPr>
          <w:p>
            <w:pPr>
              <w:jc w:val="right"/>
              <w:ind w:right="39"/>
              <w:spacing w:after="0"/>
              <w:rPr>
                <w:sz w:val="20"/>
                <w:szCs w:val="20"/>
                <w:color w:val="auto"/>
              </w:rPr>
            </w:pPr>
            <w:r>
              <w:rPr>
                <w:rFonts w:ascii="Arial" w:cs="Arial" w:eastAsia="Arial" w:hAnsi="Arial"/>
                <w:sz w:val="16"/>
                <w:szCs w:val="16"/>
                <w:b w:val="1"/>
                <w:bCs w:val="1"/>
                <w:color w:val="auto"/>
              </w:rPr>
              <w:t>1,945</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2500" w:type="dxa"/>
            <w:vAlign w:val="bottom"/>
          </w:tcPr>
          <w:p>
            <w:pPr>
              <w:jc w:val="right"/>
              <w:ind w:right="20"/>
              <w:spacing w:after="0"/>
              <w:rPr>
                <w:sz w:val="20"/>
                <w:szCs w:val="20"/>
                <w:color w:val="auto"/>
              </w:rPr>
            </w:pPr>
            <w:r>
              <w:rPr>
                <w:rFonts w:ascii="Arial" w:cs="Arial" w:eastAsia="Arial" w:hAnsi="Arial"/>
                <w:sz w:val="16"/>
                <w:szCs w:val="16"/>
                <w:b w:val="1"/>
                <w:bCs w:val="1"/>
                <w:color w:val="auto"/>
              </w:rPr>
              <w:t>772,278</w:t>
            </w:r>
          </w:p>
        </w:tc>
      </w:tr>
      <w:tr>
        <w:trPr>
          <w:trHeight w:val="273"/>
        </w:trPr>
        <w:tc>
          <w:tcPr>
            <w:tcW w:w="2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January 1 - January 31</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874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23.43</w:t>
            </w:r>
          </w:p>
        </w:tc>
        <w:tc>
          <w:tcPr>
            <w:tcW w:w="120" w:type="dxa"/>
            <w:vAlign w:val="bottom"/>
            <w:shd w:val="clear" w:color="auto" w:fill="CCEEFF"/>
          </w:tcPr>
          <w:p>
            <w:pPr>
              <w:spacing w:after="0"/>
              <w:rPr>
                <w:sz w:val="23"/>
                <w:szCs w:val="23"/>
                <w:color w:val="auto"/>
              </w:rPr>
            </w:pPr>
          </w:p>
        </w:tc>
        <w:tc>
          <w:tcPr>
            <w:tcW w:w="2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872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w:t>
            </w:r>
          </w:p>
        </w:tc>
        <w:tc>
          <w:tcPr>
            <w:tcW w:w="250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751,837</w:t>
            </w:r>
          </w:p>
        </w:tc>
      </w:tr>
      <w:tr>
        <w:trPr>
          <w:trHeight w:val="250"/>
        </w:trPr>
        <w:tc>
          <w:tcPr>
            <w:tcW w:w="2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2,819</w:t>
            </w:r>
          </w:p>
        </w:tc>
        <w:tc>
          <w:tcPr>
            <w:tcW w:w="30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b w:val="1"/>
                <w:bCs w:val="1"/>
                <w:color w:val="auto"/>
              </w:rPr>
              <w:t>23.33</w:t>
            </w:r>
          </w:p>
        </w:tc>
        <w:tc>
          <w:tcPr>
            <w:tcW w:w="120" w:type="dxa"/>
            <w:vAlign w:val="bottom"/>
            <w:tcBorders>
              <w:bottom w:val="single" w:sz="8" w:color="CCEEFF"/>
            </w:tcBorders>
          </w:tcPr>
          <w:p>
            <w:pPr>
              <w:spacing w:after="0"/>
              <w:rPr>
                <w:sz w:val="21"/>
                <w:szCs w:val="21"/>
                <w:color w:val="auto"/>
              </w:rPr>
            </w:pPr>
          </w:p>
        </w:tc>
        <w:tc>
          <w:tcPr>
            <w:tcW w:w="2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2,817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500" w:type="dxa"/>
            <w:vAlign w:val="bottom"/>
            <w:tcBorders>
              <w:bottom w:val="single" w:sz="8" w:color="CCEEFF"/>
            </w:tcBorders>
          </w:tcPr>
          <w:p>
            <w:pPr>
              <w:spacing w:after="0"/>
              <w:rPr>
                <w:sz w:val="21"/>
                <w:szCs w:val="21"/>
                <w:color w:val="auto"/>
              </w:rPr>
            </w:pPr>
          </w:p>
        </w:tc>
      </w:tr>
      <w:tr>
        <w:trPr>
          <w:trHeight w:val="121"/>
        </w:trPr>
        <w:tc>
          <w:tcPr>
            <w:tcW w:w="2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500" w:type="dxa"/>
            <w:vAlign w:val="bottom"/>
            <w:shd w:val="clear" w:color="auto" w:fill="CCEEFF"/>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60" w:hanging="325"/>
        <w:spacing w:after="0" w:line="190"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We purchased approximately 2 thousand shares in connection with funding employee income tax withholding obligations arising upon the lapse of restrictions on restricted share units.</w:t>
      </w:r>
    </w:p>
    <w:p>
      <w:pPr>
        <w:spacing w:after="0" w:line="1" w:lineRule="exact"/>
        <w:rPr>
          <w:rFonts w:ascii="Arial" w:cs="Arial" w:eastAsia="Arial" w:hAnsi="Arial"/>
          <w:sz w:val="24"/>
          <w:szCs w:val="24"/>
          <w:color w:val="auto"/>
          <w:vertAlign w:val="superscript"/>
        </w:rPr>
      </w:pPr>
    </w:p>
    <w:p>
      <w:pPr>
        <w:ind w:left="360" w:right="20" w:hanging="325"/>
        <w:spacing w:after="0" w:line="190" w:lineRule="auto"/>
        <w:tabs>
          <w:tab w:leader="none" w:pos="360" w:val="left"/>
        </w:tabs>
        <w:numPr>
          <w:ilvl w:val="0"/>
          <w:numId w:val="25"/>
        </w:numPr>
        <w:rPr>
          <w:rFonts w:ascii="Arial" w:cs="Arial" w:eastAsia="Arial" w:hAnsi="Arial"/>
          <w:sz w:val="24"/>
          <w:szCs w:val="24"/>
          <w:color w:val="auto"/>
          <w:vertAlign w:val="superscript"/>
        </w:rPr>
      </w:pPr>
      <w:r>
        <w:rPr>
          <w:rFonts w:ascii="Arial" w:cs="Arial" w:eastAsia="Arial" w:hAnsi="Arial"/>
          <w:sz w:val="14"/>
          <w:szCs w:val="14"/>
          <w:color w:val="auto"/>
        </w:rPr>
        <w:t>In September 2015, we announced that our Board of Directors approved a $3.5 billion share repurchase program, effective through June 2019. In June 2019, our Board of Directors extended the share repurchase program through June 2022.</w:t>
      </w:r>
    </w:p>
    <w:p>
      <w:pPr>
        <w:spacing w:after="0" w:line="7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9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9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tab/>
        <w:t>EXHIBITS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numbered in accordance with the Exhibit Table of Item 601 of Regulation S-K: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10.1</w:t>
            </w:r>
          </w:p>
        </w:tc>
        <w:tc>
          <w:tcPr>
            <w:tcW w:w="792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42">
              <w:r>
                <w:rPr>
                  <w:rFonts w:ascii="Arial" w:cs="Arial" w:eastAsia="Arial" w:hAnsi="Arial"/>
                  <w:sz w:val="18"/>
                  <w:szCs w:val="18"/>
                  <w:color w:val="0000FF"/>
                  <w:w w:val="99"/>
                </w:rPr>
                <w:t>H&amp;R Block, Inc. 2000 Employee Stock Purchase Plan, as amended and restated on March 2, 2020.</w:t>
              </w:r>
            </w:hyperlink>
          </w:p>
        </w:tc>
        <w:tc>
          <w:tcPr>
            <w:tcW w:w="2500" w:type="dxa"/>
            <w:vAlign w:val="bottom"/>
            <w:gridSpan w:val="3"/>
          </w:tcPr>
          <w:p>
            <w:pPr>
              <w:spacing w:after="0"/>
              <w:rPr>
                <w:sz w:val="18"/>
                <w:szCs w:val="18"/>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0420" w:type="dxa"/>
            <w:vAlign w:val="bottom"/>
            <w:gridSpan w:val="6"/>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Certification by Chief Executive Officer pursuant to Section 302 of the Sarbanes-Oxley Act of 2002.</w:t>
              </w:r>
            </w:hyperlink>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78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Certification by Chief Financial Officer pursuant to Section 302 of the Sarbanes-Oxley Act of 2002.</w:t>
              </w:r>
            </w:hyperlink>
          </w:p>
        </w:tc>
        <w:tc>
          <w:tcPr>
            <w:tcW w:w="2560" w:type="dxa"/>
            <w:vAlign w:val="bottom"/>
            <w:gridSpan w:val="4"/>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7800" w:type="dxa"/>
            <w:vAlign w:val="bottom"/>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0380" w:type="dxa"/>
            <w:vAlign w:val="bottom"/>
            <w:tcBorders>
              <w:bottom w:val="single" w:sz="8" w:color="0000FF"/>
            </w:tcBorders>
            <w:gridSpan w:val="5"/>
          </w:tcPr>
          <w:p>
            <w:pPr>
              <w:spacing w:after="0" w:line="196"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by Chief Executive Officer pursuant to 18 U.S.C. 1350, as adopted by Section 906 of the Sarbanes-Oxley Act of 2002.</w:t>
              </w:r>
            </w:hyperlink>
          </w:p>
        </w:tc>
        <w:tc>
          <w:tcPr>
            <w:tcW w:w="40" w:type="dxa"/>
            <w:vAlign w:val="bottom"/>
          </w:tcPr>
          <w:p>
            <w:pPr>
              <w:spacing w:after="0"/>
              <w:rPr>
                <w:sz w:val="17"/>
                <w:szCs w:val="17"/>
                <w:color w:val="auto"/>
              </w:rPr>
            </w:pPr>
          </w:p>
        </w:tc>
      </w:tr>
      <w:tr>
        <w:trPr>
          <w:trHeight w:val="196"/>
        </w:trPr>
        <w:tc>
          <w:tcPr>
            <w:tcW w:w="8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0320" w:type="dxa"/>
            <w:vAlign w:val="bottom"/>
            <w:tcBorders>
              <w:bottom w:val="single" w:sz="8" w:color="0000FF"/>
            </w:tcBorders>
            <w:gridSpan w:val="4"/>
          </w:tcPr>
          <w:p>
            <w:pPr>
              <w:spacing w:after="0" w:line="196"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Certification by Chief Financial Officer pursuant to 18 U.S.C. 1350, as adopted by Section 906 of the Sarbanes-Oxley Act of 2002.</w:t>
              </w:r>
            </w:hyperlink>
          </w:p>
        </w:tc>
        <w:tc>
          <w:tcPr>
            <w:tcW w:w="100" w:type="dxa"/>
            <w:vAlign w:val="bottom"/>
            <w:gridSpan w:val="2"/>
          </w:tcPr>
          <w:p>
            <w:pPr>
              <w:spacing w:after="0"/>
              <w:rPr>
                <w:sz w:val="17"/>
                <w:szCs w:val="17"/>
                <w:color w:val="auto"/>
              </w:rPr>
            </w:pPr>
          </w:p>
        </w:tc>
      </w:tr>
      <w:tr>
        <w:trPr>
          <w:trHeight w:val="23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420" w:type="dxa"/>
            <w:vAlign w:val="bottom"/>
            <w:gridSpan w:val="6"/>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 are</w:t>
            </w:r>
          </w:p>
        </w:tc>
      </w:tr>
    </w:tbl>
    <w:p>
      <w:pPr>
        <w:ind w:left="820"/>
        <w:spacing w:after="0"/>
        <w:rPr>
          <w:sz w:val="20"/>
          <w:szCs w:val="20"/>
          <w:color w:val="auto"/>
        </w:rPr>
      </w:pPr>
      <w:r>
        <w:rPr>
          <w:rFonts w:ascii="Arial" w:cs="Arial" w:eastAsia="Arial" w:hAnsi="Arial"/>
          <w:sz w:val="18"/>
          <w:szCs w:val="18"/>
          <w:color w:val="auto"/>
        </w:rPr>
        <w:t>embedded within the Inline XBRL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101.SCH Inline XBRL Taxonomy Extension Schema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101.CAL Inline XBRL Extension Calculation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101.LAB  Inline XBRL Taxonomy Extension Label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101.PRE Inline XBRL Taxonomy Extension Presentation Linkbase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101.DEF Inline XBRL Taxonomy Extension Definition Linkbase</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23114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1140" cy="13716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400" w:hanging="290"/>
        <w:spacing w:after="0"/>
        <w:tabs>
          <w:tab w:leader="none" w:pos="400" w:val="left"/>
        </w:tabs>
        <w:numPr>
          <w:ilvl w:val="0"/>
          <w:numId w:val="26"/>
        </w:numPr>
        <w:rPr>
          <w:rFonts w:ascii="Arial" w:cs="Arial" w:eastAsia="Arial" w:hAnsi="Arial"/>
          <w:sz w:val="14"/>
          <w:szCs w:val="14"/>
          <w:color w:val="FFFFFF"/>
          <w:highlight w:val="black"/>
        </w:rPr>
      </w:pPr>
      <w:r>
        <w:rPr>
          <w:rFonts w:ascii="Arial" w:cs="Arial" w:eastAsia="Arial" w:hAnsi="Arial"/>
          <w:sz w:val="14"/>
          <w:szCs w:val="14"/>
          <w:color w:val="auto"/>
        </w:rPr>
        <w:t xml:space="preserve">Q3 FY2020 Form 10-Q | </w:t>
      </w:r>
      <w:r>
        <w:rPr>
          <w:rFonts w:ascii="Arial" w:cs="Arial" w:eastAsia="Arial" w:hAnsi="Arial"/>
          <w:sz w:val="14"/>
          <w:szCs w:val="14"/>
          <w:b w:val="1"/>
          <w:bCs w:val="1"/>
          <w:color w:val="auto"/>
        </w:rPr>
        <w:t>H&amp;R Block, Inc.</w:t>
      </w:r>
    </w:p>
    <w:p>
      <w:pPr>
        <w:sectPr>
          <w:pgSz w:w="11900" w:h="16838" w:orient="portrait"/>
          <w:cols w:equalWidth="0" w:num="1">
            <w:col w:w="11240"/>
          </w:cols>
          <w:pgMar w:left="320" w:top="249" w:right="3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3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5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H&amp;R BLOCK, INC.</w:t>
      </w:r>
    </w:p>
    <w:p>
      <w:pPr>
        <w:spacing w:after="0" w:line="37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Jeffrey J. Jones II</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March 9, 2020</w:t>
      </w:r>
    </w:p>
    <w:p>
      <w:pPr>
        <w:spacing w:after="0" w:line="37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Tony G. Bowen</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March 9, 2020</w:t>
      </w:r>
    </w:p>
    <w:p>
      <w:pPr>
        <w:spacing w:after="0" w:line="374"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Kellie J. Logerwell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Kellie J. Logerwell</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Accounting Officer</w:t>
      </w:r>
    </w:p>
    <w:p>
      <w:pPr>
        <w:spacing w:after="0" w:line="50"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March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6914515</wp:posOffset>
            </wp:positionH>
            <wp:positionV relativeFrom="paragraph">
              <wp:posOffset>306070</wp:posOffset>
            </wp:positionV>
            <wp:extent cx="22288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2885" cy="13716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 xml:space="preserve">H&amp;R Block, Inc. </w:t>
      </w:r>
      <w:r>
        <w:rPr>
          <w:rFonts w:ascii="Arial" w:cs="Arial" w:eastAsia="Arial" w:hAnsi="Arial"/>
          <w:sz w:val="14"/>
          <w:szCs w:val="14"/>
          <w:color w:val="auto"/>
        </w:rPr>
        <w:t>| Q3 FY2020 Form 10-Q</w:t>
      </w:r>
      <w:r>
        <w:rPr>
          <w:rFonts w:ascii="Arial" w:cs="Arial" w:eastAsia="Arial" w:hAnsi="Arial"/>
          <w:sz w:val="14"/>
          <w:szCs w:val="14"/>
          <w:b w:val="1"/>
          <w:bCs w:val="1"/>
          <w:color w:val="auto"/>
        </w:rPr>
        <w:t xml:space="preserve">  </w:t>
      </w:r>
      <w:r>
        <w:rPr>
          <w:rFonts w:ascii="Arial" w:cs="Arial" w:eastAsia="Arial" w:hAnsi="Arial"/>
          <w:sz w:val="14"/>
          <w:szCs w:val="14"/>
          <w:color w:val="FFFFFF"/>
          <w:highlight w:val="black"/>
        </w:rPr>
        <w:t>39</w:t>
      </w:r>
    </w:p>
    <w:p>
      <w:pPr>
        <w:sectPr>
          <w:pgSz w:w="11900" w:h="16838" w:orient="portrait"/>
          <w:cols w:equalWidth="0" w:num="1">
            <w:col w:w="11220"/>
          </w:cols>
          <w:pgMar w:left="320" w:top="249" w:right="3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u w:val="single" w:color="auto"/>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H&amp;R BLOCK, INC.</w:t>
      </w:r>
    </w:p>
    <w:p>
      <w:pPr>
        <w:jc w:val="center"/>
        <w:spacing w:after="0"/>
        <w:rPr>
          <w:sz w:val="20"/>
          <w:szCs w:val="20"/>
          <w:color w:val="auto"/>
        </w:rPr>
      </w:pPr>
      <w:r>
        <w:rPr>
          <w:rFonts w:ascii="Arial" w:cs="Arial" w:eastAsia="Arial" w:hAnsi="Arial"/>
          <w:sz w:val="20"/>
          <w:szCs w:val="20"/>
          <w:color w:val="auto"/>
        </w:rPr>
        <w:t>2000 EMPLOYEE STOCK PURCHASE PLAN</w:t>
      </w:r>
    </w:p>
    <w:p>
      <w:pPr>
        <w:jc w:val="center"/>
        <w:spacing w:after="0"/>
        <w:rPr>
          <w:sz w:val="20"/>
          <w:szCs w:val="20"/>
          <w:color w:val="auto"/>
        </w:rPr>
      </w:pPr>
      <w:r>
        <w:rPr>
          <w:rFonts w:ascii="Arial" w:cs="Arial" w:eastAsia="Arial" w:hAnsi="Arial"/>
          <w:sz w:val="20"/>
          <w:szCs w:val="20"/>
          <w:color w:val="auto"/>
        </w:rPr>
        <w:t>(as amended and restated effective January 1, 2020)</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PURPOSE OF PLAN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H&amp;R Block, Inc. 2000 Employee Stock Purchase Plan (the "Plan") is designed to encourage and assist employees of the subsidiaries of H&amp;R Block, Inc. (collectively H&amp;R Block, Inc. ("Block") and such subsidiaries shall be referred to as the "Company") to acquire an equity interest in Block through the purchase of shares of Block common stock, without par value ("Common Stock"). This Plan is intended to constitute an "employee stock purchase plan" within the meaning of Section 423 of the Internal Revenue Code (the "Code").</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ADMINISTRATION OF THE PLAN</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Plan shall be administered by Block's Board of Directors (the "Board") or by a committee of the Board (the "Committee") appointed by the Board and serving at its pleasure (the Board or any such Committee being herein referred to as the "Administrator"). Until such time as the Board shall determine otherwise, the Compensation Committee of the Board shall serve as Administrator. The Administrator shall have full power and authority, not inconsistent with the express provisions of the Plan, to administer and interpret the Plan, including the authority to:</w:t>
      </w:r>
    </w:p>
    <w:p>
      <w:pPr>
        <w:spacing w:after="0" w:line="208" w:lineRule="exact"/>
        <w:rPr>
          <w:sz w:val="20"/>
          <w:szCs w:val="20"/>
          <w:color w:val="auto"/>
        </w:rPr>
      </w:pPr>
    </w:p>
    <w:p>
      <w:pPr>
        <w:ind w:left="1060" w:hanging="404"/>
        <w:spacing w:after="0"/>
        <w:tabs>
          <w:tab w:leader="none" w:pos="1060" w:val="left"/>
        </w:tabs>
        <w:numPr>
          <w:ilvl w:val="0"/>
          <w:numId w:val="27"/>
        </w:numPr>
        <w:rPr>
          <w:rFonts w:ascii="Arial" w:cs="Arial" w:eastAsia="Arial" w:hAnsi="Arial"/>
          <w:sz w:val="20"/>
          <w:szCs w:val="20"/>
          <w:color w:val="auto"/>
        </w:rPr>
      </w:pPr>
      <w:r>
        <w:rPr>
          <w:rFonts w:ascii="Arial" w:cs="Arial" w:eastAsia="Arial" w:hAnsi="Arial"/>
          <w:sz w:val="20"/>
          <w:szCs w:val="20"/>
          <w:color w:val="auto"/>
        </w:rPr>
        <w:t>grant options and authorize the issuance of shares;</w:t>
      </w:r>
    </w:p>
    <w:p>
      <w:pPr>
        <w:ind w:left="1300" w:hanging="644"/>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make and amend all rules, regulations, guidelines, procedures and policies for administering the Plan;</w:t>
      </w:r>
    </w:p>
    <w:p>
      <w:pPr>
        <w:ind w:left="1300" w:hanging="644"/>
        <w:spacing w:after="0"/>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decide all questions and settle all disputes that may arise in connection with the Plan;</w:t>
      </w:r>
    </w:p>
    <w:p>
      <w:pPr>
        <w:jc w:val="both"/>
        <w:ind w:left="1300" w:hanging="644"/>
        <w:spacing w:after="0" w:line="239" w:lineRule="auto"/>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appoint persons and entities to act as designated representatives on its behalf in administering the Plan pursuant to its provisions (in which case the term "Administrator" as used herein shall include such persons or entities to the extent of such appointment);</w:t>
      </w:r>
    </w:p>
    <w:p>
      <w:pPr>
        <w:spacing w:after="0" w:line="1" w:lineRule="exact"/>
        <w:rPr>
          <w:rFonts w:ascii="Arial" w:cs="Arial" w:eastAsia="Arial" w:hAnsi="Arial"/>
          <w:sz w:val="20"/>
          <w:szCs w:val="20"/>
          <w:color w:val="auto"/>
        </w:rPr>
      </w:pPr>
    </w:p>
    <w:p>
      <w:pPr>
        <w:ind w:left="1300" w:hanging="644"/>
        <w:spacing w:after="0" w:line="239" w:lineRule="auto"/>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establish accounts with a person or entity appointed pursuant to (iv) above ("Custodian") to hold Common Stock purchased under the Plan ("Stock Account");</w:t>
      </w:r>
    </w:p>
    <w:p>
      <w:pPr>
        <w:ind w:left="1300" w:hanging="644"/>
        <w:spacing w:after="0" w:line="239" w:lineRule="auto"/>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cause Block to enter into a written agreement with the Custodian setting forth the terms and conditions upon which Stock Accounts shall be governed ("Custodial Agreement"); and</w:t>
      </w:r>
    </w:p>
    <w:p>
      <w:pPr>
        <w:jc w:val="both"/>
        <w:ind w:left="1300" w:hanging="644"/>
        <w:spacing w:after="0" w:line="243" w:lineRule="auto"/>
        <w:tabs>
          <w:tab w:leader="none" w:pos="13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require Participants to hold shares of Common Stock under the Plan in Stock Accounts (in which case each Participant's decision to participate in the Plan shall constitute the appointment of such Custodian as custodial agent for the purpose of holding such shares) until such time as shall be specified in the Custodial Agreement.</w:t>
      </w:r>
    </w:p>
    <w:p>
      <w:pPr>
        <w:spacing w:after="0" w:line="206" w:lineRule="exact"/>
        <w:rPr>
          <w:sz w:val="20"/>
          <w:szCs w:val="20"/>
          <w:color w:val="auto"/>
        </w:rPr>
      </w:pPr>
    </w:p>
    <w:p>
      <w:pPr>
        <w:ind w:right="260" w:firstLine="648"/>
        <w:spacing w:after="0" w:line="464" w:lineRule="auto"/>
        <w:rPr>
          <w:sz w:val="20"/>
          <w:szCs w:val="20"/>
          <w:color w:val="auto"/>
        </w:rPr>
      </w:pPr>
      <w:r>
        <w:rPr>
          <w:rFonts w:ascii="Arial" w:cs="Arial" w:eastAsia="Arial" w:hAnsi="Arial"/>
          <w:sz w:val="20"/>
          <w:szCs w:val="20"/>
          <w:color w:val="auto"/>
        </w:rPr>
        <w:t xml:space="preserve">All interpretations, decisions and determinations made by the Administrator shall be binding on all persons concerned. SECTION 3. </w:t>
      </w:r>
      <w:r>
        <w:rPr>
          <w:rFonts w:ascii="Arial" w:cs="Arial" w:eastAsia="Arial" w:hAnsi="Arial"/>
          <w:sz w:val="20"/>
          <w:szCs w:val="20"/>
          <w:u w:val="single" w:color="auto"/>
          <w:color w:val="auto"/>
        </w:rPr>
        <w:t>NATURE AND NUMBER OF SHARES</w:t>
      </w:r>
    </w:p>
    <w:p>
      <w:pPr>
        <w:spacing w:after="0" w:line="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Common Stock subject to issuance under the terms of the Plan shall be authorized but unissued shares or previously issued shares reacquired and held by the Company. The aggregate number of shares that may be issued under the Plan shall not exceed 6,000,000 shares of Common Stock.</w:t>
      </w:r>
    </w:p>
    <w:p>
      <w:pPr>
        <w:spacing w:after="0" w:line="20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In the event of any reorganization, recapitalization, stock split, reverse stock split, stock dividend, combination of shares, exchange of shares, merger, consolidation, offering of rights or other similar change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 w:right="339" w:bottom="1440" w:gutter="0" w:footer="0" w:header="0"/>
        </w:sectPr>
      </w:pPr>
    </w:p>
    <w:bookmarkStart w:id="42" w:name="page43"/>
    <w:bookmarkEnd w:id="42"/>
    <w:p>
      <w:pPr>
        <w:jc w:val="both"/>
        <w:spacing w:after="0" w:line="243" w:lineRule="auto"/>
        <w:rPr>
          <w:sz w:val="20"/>
          <w:szCs w:val="20"/>
          <w:color w:val="auto"/>
        </w:rPr>
      </w:pPr>
      <w:r>
        <w:rPr>
          <w:rFonts w:ascii="Arial" w:cs="Arial" w:eastAsia="Arial" w:hAnsi="Arial"/>
          <w:sz w:val="20"/>
          <w:szCs w:val="20"/>
          <w:color w:val="auto"/>
        </w:rPr>
        <w:t>in the capital structure of the Company, the Board or the Committee may make such adjustment, if any, as it deems appropriate in the number, kind and purchase price of the shares available for purchase under the Plan and in the maximum number of shares which may be issued under the Plan.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ELIGIBILITY</w:t>
      </w:r>
    </w:p>
    <w:p>
      <w:pPr>
        <w:spacing w:after="0" w:line="229"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0"/>
          <w:szCs w:val="20"/>
          <w:color w:val="auto"/>
        </w:rPr>
        <w:t>Each individual employed by a Participating Subsidiary (as hereinafter defined), except as provided below, shall be eligible to participate in the Plan ("Employee"). The following individuals shall be excluded from participation:</w:t>
      </w:r>
    </w:p>
    <w:p>
      <w:pPr>
        <w:spacing w:after="0" w:line="204" w:lineRule="exact"/>
        <w:rPr>
          <w:sz w:val="20"/>
          <w:szCs w:val="20"/>
          <w:color w:val="auto"/>
        </w:rPr>
      </w:pPr>
    </w:p>
    <w:p>
      <w:pPr>
        <w:ind w:firstLine="656"/>
        <w:spacing w:after="0" w:line="246" w:lineRule="auto"/>
        <w:tabs>
          <w:tab w:leader="none" w:pos="953" w:val="left"/>
        </w:tabs>
        <w:numPr>
          <w:ilvl w:val="0"/>
          <w:numId w:val="28"/>
        </w:numPr>
        <w:rPr>
          <w:rFonts w:ascii="Arial" w:cs="Arial" w:eastAsia="Arial" w:hAnsi="Arial"/>
          <w:sz w:val="20"/>
          <w:szCs w:val="20"/>
          <w:color w:val="auto"/>
        </w:rPr>
      </w:pPr>
      <w:r>
        <w:rPr>
          <w:rFonts w:ascii="Arial" w:cs="Arial" w:eastAsia="Arial" w:hAnsi="Arial"/>
          <w:sz w:val="20"/>
          <w:szCs w:val="20"/>
          <w:color w:val="auto"/>
        </w:rPr>
        <w:t>Persons who, as of the date of grant of an Option, have been continuously employed by the Participating Subsidiary for less than twelve (12) consecutive months;</w:t>
      </w:r>
    </w:p>
    <w:p>
      <w:pPr>
        <w:spacing w:after="0" w:line="203" w:lineRule="exact"/>
        <w:rPr>
          <w:rFonts w:ascii="Arial" w:cs="Arial" w:eastAsia="Arial" w:hAnsi="Arial"/>
          <w:sz w:val="20"/>
          <w:szCs w:val="20"/>
          <w:color w:val="auto"/>
        </w:rPr>
      </w:pPr>
    </w:p>
    <w:p>
      <w:pPr>
        <w:jc w:val="both"/>
        <w:ind w:firstLine="656"/>
        <w:spacing w:after="0" w:line="243" w:lineRule="auto"/>
        <w:tabs>
          <w:tab w:leader="none" w:pos="952" w:val="left"/>
        </w:tabs>
        <w:numPr>
          <w:ilvl w:val="0"/>
          <w:numId w:val="28"/>
        </w:numPr>
        <w:rPr>
          <w:rFonts w:ascii="Arial" w:cs="Arial" w:eastAsia="Arial" w:hAnsi="Arial"/>
          <w:sz w:val="20"/>
          <w:szCs w:val="20"/>
          <w:color w:val="auto"/>
        </w:rPr>
      </w:pPr>
      <w:r>
        <w:rPr>
          <w:rFonts w:ascii="Arial" w:cs="Arial" w:eastAsia="Arial" w:hAnsi="Arial"/>
          <w:sz w:val="20"/>
          <w:szCs w:val="20"/>
          <w:color w:val="auto"/>
        </w:rPr>
        <w:t>Persons who, immediately upon the grant of an Option, own directly or indirectly, or hold options or rights to acquire, an aggregate of five percent (5%) or more of the total combined voting power or value of all outstanding shares of all classes of Block or any Subsidiary; and</w:t>
      </w:r>
    </w:p>
    <w:p>
      <w:pPr>
        <w:spacing w:after="0" w:line="205" w:lineRule="exact"/>
        <w:rPr>
          <w:rFonts w:ascii="Arial" w:cs="Arial" w:eastAsia="Arial" w:hAnsi="Arial"/>
          <w:sz w:val="20"/>
          <w:szCs w:val="20"/>
          <w:color w:val="auto"/>
        </w:rPr>
      </w:pPr>
    </w:p>
    <w:p>
      <w:pPr>
        <w:ind w:right="20" w:firstLine="656"/>
        <w:spacing w:after="0" w:line="246" w:lineRule="auto"/>
        <w:tabs>
          <w:tab w:leader="none" w:pos="947" w:val="left"/>
        </w:tabs>
        <w:numPr>
          <w:ilvl w:val="0"/>
          <w:numId w:val="28"/>
        </w:numPr>
        <w:rPr>
          <w:rFonts w:ascii="Arial" w:cs="Arial" w:eastAsia="Arial" w:hAnsi="Arial"/>
          <w:sz w:val="20"/>
          <w:szCs w:val="20"/>
          <w:color w:val="auto"/>
        </w:rPr>
      </w:pPr>
      <w:r>
        <w:rPr>
          <w:rFonts w:ascii="Arial" w:cs="Arial" w:eastAsia="Arial" w:hAnsi="Arial"/>
          <w:sz w:val="20"/>
          <w:szCs w:val="20"/>
          <w:color w:val="auto"/>
        </w:rPr>
        <w:t>Persons who are customarily employed by the Company less than twenty (20) hours per week or for not more than five (5) months in any calendar year.</w:t>
      </w:r>
    </w:p>
    <w:p>
      <w:pPr>
        <w:spacing w:after="0" w:line="204"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For purposes of the Plan, a "Subsidiary" is any corporation or other entity in which Block owns, directly or indirectly, stock (or other ownership interests) possessing fifty percent (50%) or more of the total combined voting power of all classes of stock (or other ownership interests). A "Participating Subsidiary" is any Subsidiary meeting the requirements above that is designated by the Administrator as a subsidiary whose employees are eligible to participate in the Plan.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ENROLLMENT AND WITHDRAWAL</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Each eligible Employee may enroll or re-enroll in the Plan as of the first day of any Option Period (as hereinafter defined) after the Employee first becomes eligible to participate. To enroll, an Employee must complete and sign an enrollment form (including a payroll deduction authorization) in a form acceptable to the Administrator and submit it to the Company, or use such other means to enroll as is authorized by the Administrator, at least 15 calendar days prior to the commencement of such Option Period or by such other date as the Administrator may prescribe. Participation in the Plan is voluntary. A "Participant" shall be an Employee enrolled in the Plan.</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 Participant will automatically be enrolled in all future Option Periods unless the Participant elects otherwise during an open enrollment period. If a Participant withdraws from the Plan, he or she will cease to be a Participant and may only participate in future Option Periods if he or she re-enrolls in the Plan during an open enrollment period in accordance with the preceding paragraph.</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6. </w:t>
      </w:r>
      <w:r>
        <w:rPr>
          <w:rFonts w:ascii="Arial" w:cs="Arial" w:eastAsia="Arial" w:hAnsi="Arial"/>
          <w:sz w:val="20"/>
          <w:szCs w:val="20"/>
          <w:u w:val="single" w:color="auto"/>
          <w:color w:val="auto"/>
        </w:rPr>
        <w:t>GRANT OF OPTIONS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Under the Plan, each "Option Period" shall be a period of approximately six (6) months beginning on January 1 and July 1, respectively, and ending on June 30 and December 31, respectively, or such other period (not to exceed 5 years) as the Board or the Committee may designate from time to time.</w:t>
      </w:r>
    </w:p>
    <w:p>
      <w:pPr>
        <w:spacing w:after="0" w:line="20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Each person who is a Participant on the first day of an Option Period (the "Grant Date") will as of such day be granted an option for the Period (the "Option"). Such Option will be for the number of whole and fractional shares of Common Stock to be determined by dividing (i) the balance credited to the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352" w:right="339" w:bottom="1440" w:gutter="0" w:footer="0" w:header="0"/>
        </w:sectPr>
      </w:pPr>
    </w:p>
    <w:bookmarkStart w:id="43" w:name="page44"/>
    <w:bookmarkEnd w:id="43"/>
    <w:p>
      <w:pPr>
        <w:jc w:val="both"/>
        <w:spacing w:after="0"/>
        <w:rPr>
          <w:sz w:val="20"/>
          <w:szCs w:val="20"/>
          <w:color w:val="auto"/>
        </w:rPr>
      </w:pPr>
      <w:r>
        <w:rPr>
          <w:rFonts w:ascii="Arial" w:cs="Arial" w:eastAsia="Arial" w:hAnsi="Arial"/>
          <w:sz w:val="20"/>
          <w:szCs w:val="20"/>
          <w:color w:val="auto"/>
        </w:rPr>
        <w:t>Participant's Payment Account (as defined in Section 7(b)) during such Option Period by means of payroll deduction (or such other means deemed acceptable by the Administrator) as of the Purchase Date (as determined under Section 8 below), by (ii) the purchase price per share of the Common Stock as determined under Section 8. In addition to other limitations imposed under the Plan, the maximum number of whole and fractional shares of Common Stock that may be purchased with payments made by a Participant during an Option Period equals $25,000 divided by the fair market value of the Common Stock on the Grant Date.</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Administrator will reduce, on a proportionate basis, the number of shares of Common Stock receivable by each Participant upon exercise of his or her Option for an Option Period in the event that the number of shares then available under the Plan is otherwise insufficient, and will return to Participant without interest any remaining unused balance in the Participant's Payment Account as soon as administratively practicable.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METHOD OF PAYMENT</w:t>
      </w:r>
    </w:p>
    <w:p>
      <w:pPr>
        <w:spacing w:after="0" w:line="216" w:lineRule="exact"/>
        <w:rPr>
          <w:sz w:val="20"/>
          <w:szCs w:val="20"/>
          <w:color w:val="auto"/>
        </w:rPr>
      </w:pPr>
    </w:p>
    <w:p>
      <w:pPr>
        <w:jc w:val="both"/>
        <w:ind w:firstLine="656"/>
        <w:spacing w:after="0" w:line="243" w:lineRule="auto"/>
        <w:tabs>
          <w:tab w:leader="none" w:pos="958"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Form of Payment</w:t>
      </w:r>
      <w:r>
        <w:rPr>
          <w:rFonts w:ascii="Arial" w:cs="Arial" w:eastAsia="Arial" w:hAnsi="Arial"/>
          <w:sz w:val="20"/>
          <w:szCs w:val="20"/>
          <w:color w:val="auto"/>
        </w:rPr>
        <w:t>. Payment for shares shall be made in installments through after-tax payroll deductions over the Option Period, with such deductions taken from paychecks dated during the Option Period, or in such other form of payment deemed acceptable by the Administrator.</w:t>
      </w:r>
    </w:p>
    <w:p>
      <w:pPr>
        <w:spacing w:after="0" w:line="20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Subject to the limits below and in Section 6, each Participant may elect through payroll withholding during the Option Period (or such other means deemed acceptable by the Company) to have credited to his or her Payment Account an amount not less than one percent, and not greater than ten percent (10%) of Compensation (as defined below); provided that the Administrator from time to time before an enrollment date may establish limits other than those herein described for all purchases to occur during the relevant Option Period.</w:t>
      </w:r>
    </w:p>
    <w:p>
      <w:pPr>
        <w:spacing w:after="0" w:line="209"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0"/>
          <w:szCs w:val="20"/>
          <w:color w:val="auto"/>
        </w:rPr>
        <w:t>For purposes of the Plan, "Compensation" shall mean all compensation paid to the Participant by the Company and currently includible in his or her income, including such amounts as commissions, overtime, and other amounts includible in the general definition of compensation provided in Treasury Regulation §1.415-2(d)(1), plus any amount that would be so included but for the fact that it was contributed to (a) a qualified plan pursuant to an elective deferral under Section 401(k) of the Code,</w:t>
      </w:r>
    </w:p>
    <w:p>
      <w:pPr>
        <w:spacing w:after="0" w:line="2" w:lineRule="exact"/>
        <w:rPr>
          <w:sz w:val="20"/>
          <w:szCs w:val="20"/>
          <w:color w:val="auto"/>
        </w:rPr>
      </w:pPr>
    </w:p>
    <w:p>
      <w:pPr>
        <w:jc w:val="both"/>
        <w:ind w:firstLine="8"/>
        <w:spacing w:after="0"/>
        <w:tabs>
          <w:tab w:leader="none" w:pos="312" w:val="left"/>
        </w:tabs>
        <w:numPr>
          <w:ilvl w:val="0"/>
          <w:numId w:val="30"/>
        </w:numPr>
        <w:rPr>
          <w:rFonts w:ascii="Arial" w:cs="Arial" w:eastAsia="Arial" w:hAnsi="Arial"/>
          <w:sz w:val="20"/>
          <w:szCs w:val="20"/>
          <w:color w:val="auto"/>
        </w:rPr>
      </w:pPr>
      <w:r>
        <w:rPr>
          <w:rFonts w:ascii="Arial" w:cs="Arial" w:eastAsia="Arial" w:hAnsi="Arial"/>
          <w:sz w:val="20"/>
          <w:szCs w:val="20"/>
          <w:color w:val="auto"/>
        </w:rPr>
        <w:t>a nonqualified deferred compensation plan, and/or (c) a cafeteria plan on a before-tax basis pursuant to an election under Section 125 of the Code, but not including (i) payments under stock option plans and other employee benefit plans or other amounts excluded from the definition of compensation provided in the Treasury Regulations under Section 415 of the Code, (ii) bonuses or compensation paid under short-term incentive plans, and (iii) reimbursements or other expense allowances, fringe benefits (cash and noncash), moving expenses, payments of benefits under nonqualified deferred compensation plans, and welfare benefits.</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 Participant shall have thirty (30) days from the date of the first written statement confirming the Participant’s elected amount to be withheld to advise the Administrator in writing that the Participant’s elected amount was not properly implemented. If a Participant fails to inform the Administrator within such 30-day period, such Participant shall be deemed to have selected the amount to be withheld from Compensation that was implemented until another election is received and a new Option Period begins.</w:t>
      </w:r>
    </w:p>
    <w:p>
      <w:pPr>
        <w:spacing w:after="0" w:line="209" w:lineRule="exact"/>
        <w:rPr>
          <w:sz w:val="20"/>
          <w:szCs w:val="20"/>
          <w:color w:val="auto"/>
        </w:rPr>
      </w:pPr>
    </w:p>
    <w:p>
      <w:pPr>
        <w:jc w:val="both"/>
        <w:ind w:firstLine="656"/>
        <w:spacing w:after="0" w:line="241" w:lineRule="auto"/>
        <w:tabs>
          <w:tab w:leader="none" w:pos="972"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Accounts</w:t>
      </w:r>
      <w:r>
        <w:rPr>
          <w:rFonts w:ascii="Arial" w:cs="Arial" w:eastAsia="Arial" w:hAnsi="Arial"/>
          <w:sz w:val="20"/>
          <w:szCs w:val="20"/>
          <w:color w:val="auto"/>
        </w:rPr>
        <w:t>. A "Payment Account" means the book entry account maintained by the Company or Administrator to record the amount of Participant's payments made pursuant to Section 7(a). All payments by each Participant shall be credited to such Participant's Payment Account pending the purchase of Common Stock in accordance with the provisions of the Plan. All such amounts in the Payment Account</w:t>
      </w: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52" w:right="339" w:bottom="1440" w:gutter="0" w:footer="0" w:header="0"/>
        </w:sectPr>
      </w:pPr>
    </w:p>
    <w:bookmarkStart w:id="44" w:name="page45"/>
    <w:bookmarkEnd w:id="44"/>
    <w:p>
      <w:pPr>
        <w:spacing w:after="0" w:line="246" w:lineRule="auto"/>
        <w:rPr>
          <w:sz w:val="20"/>
          <w:szCs w:val="20"/>
          <w:color w:val="auto"/>
        </w:rPr>
      </w:pPr>
      <w:r>
        <w:rPr>
          <w:rFonts w:ascii="Arial" w:cs="Arial" w:eastAsia="Arial" w:hAnsi="Arial"/>
          <w:sz w:val="20"/>
          <w:szCs w:val="20"/>
          <w:color w:val="auto"/>
        </w:rPr>
        <w:t>shall be assets of the Company and may be used by the Company for any corporate purpose. No interest will be paid on amounts credited to a Participant's Payment Account.</w:t>
      </w:r>
    </w:p>
    <w:p>
      <w:pPr>
        <w:spacing w:after="0" w:line="204" w:lineRule="exact"/>
        <w:rPr>
          <w:sz w:val="20"/>
          <w:szCs w:val="20"/>
          <w:color w:val="auto"/>
        </w:rPr>
      </w:pPr>
    </w:p>
    <w:p>
      <w:pPr>
        <w:jc w:val="both"/>
        <w:ind w:firstLine="656"/>
        <w:spacing w:after="0"/>
        <w:tabs>
          <w:tab w:leader="none" w:pos="934" w:val="left"/>
        </w:tabs>
        <w:numPr>
          <w:ilvl w:val="0"/>
          <w:numId w:val="32"/>
        </w:numPr>
        <w:rPr>
          <w:rFonts w:ascii="Arial" w:cs="Arial" w:eastAsia="Arial" w:hAnsi="Arial"/>
          <w:sz w:val="20"/>
          <w:szCs w:val="20"/>
          <w:color w:val="auto"/>
        </w:rPr>
      </w:pPr>
      <w:r>
        <w:rPr>
          <w:rFonts w:ascii="Arial" w:cs="Arial" w:eastAsia="Arial" w:hAnsi="Arial"/>
          <w:sz w:val="20"/>
          <w:szCs w:val="20"/>
          <w:u w:val="single" w:color="auto"/>
          <w:color w:val="auto"/>
        </w:rPr>
        <w:t>Limits on Purchase</w:t>
      </w:r>
      <w:r>
        <w:rPr>
          <w:rFonts w:ascii="Arial" w:cs="Arial" w:eastAsia="Arial" w:hAnsi="Arial"/>
          <w:sz w:val="20"/>
          <w:szCs w:val="20"/>
          <w:color w:val="auto"/>
        </w:rPr>
        <w:t>. In no event shall the rights of any Participant to purchase shares (under this Plan and under any other stock purchase plans of Block or any Subsidiary) accrue at a rate that exceeds $25,000 as measured by the fair market value of such shares (determined in the case of each such share as of the date of grant of the related option) for each calendar year in which such option is outstanding at any time. If, in any calendar year, a Participant holds two or more options (under this Plan and under any other stock purchase plans of Block or any Subsidiary), then the Participant’s purchases of shares of Common Stock attributable to that calendar year under all such options must not exceed $25,000 as measured by the fair market value of such shares (determined in the case of each such share as of the date of grant of the related option).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PURCHASE PRICE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purchase price of Common Stock issued pursuant to the exercise of an Option shall be eighty-five percent (85%) of the fair market value of Common Stock on the last trading day of the Option Period (the "Purchase Date").</w:t>
      </w:r>
    </w:p>
    <w:p>
      <w:pPr>
        <w:spacing w:after="0" w:line="204"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Fair market value shall mean the closing price of Common Stock on the New York Stock Exchange or other national securities exchange on which the Common Stock is then principally traded or, if that measure of price is not available, on a composite index of such exchanges or, if that measure of price is not available, in a national market system for securities. In the event that there are no sales of Common Stock on any such exchange or market on the Grant Date, the fair market value of the Common Stock shall be deemed to be the closing sales price on the next following day on which Common Stock was sold on any such exchange or market. In the event that there are no sales of Common Stock on any such exchange or market on the Purchase Date, the fair market value of the Common Stock shall be deemed to be the closing sales price on the next preceding day on which Common Stock was sold on any such exchange or market. In the event that the Common Stock is not listed on any such market or exchange on the Grant or Purchase Dates, a reasonable valuation of the fair market value of the Common Stock on such dates shall be made by the Administrator.</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9. </w:t>
      </w:r>
      <w:r>
        <w:rPr>
          <w:rFonts w:ascii="Arial" w:cs="Arial" w:eastAsia="Arial" w:hAnsi="Arial"/>
          <w:sz w:val="20"/>
          <w:szCs w:val="20"/>
          <w:u w:val="single" w:color="auto"/>
          <w:color w:val="auto"/>
        </w:rPr>
        <w:t>EXERCISE OF OPTIONS; SIX-MONTH HOLDING PERIOD</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If an Employee is a Participant in the Plan on a Purchase Date, he or she will be deemed to have exercised the Option granted to him or her for the period ending on that Purchase Date. Upon such exercise, the Company will apply the balance of the Participant's Payment Account to the purchase of the number of whole or fractional shares of Common Stock determined under Section 6 and, as soon as practicable thereafter, will issue and deliver said whole shares to the Participant (unless Stock Accounts are established by the Administrator pursuant to Section 2 of the Plan). Any cash remaining in the Participant's Payment Account shall be paid to Participant without interest.</w:t>
      </w:r>
    </w:p>
    <w:p>
      <w:pPr>
        <w:spacing w:after="0" w:line="213"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Notwithstanding anything herein to the contrary, Block's obligation to issue and deliver whole shares of Common Stock under the Plan will be subject to the approval required by any governmental authority in connection with the authorization, issuance, sale or transfer of said shares, to any requirements of any national securities exchange applicable thereto, and to compliance by Block with other applicable legal requirements in effect from time to time.</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52" w:right="339" w:bottom="1440" w:gutter="0" w:footer="0" w:header="0"/>
        </w:sectPr>
      </w:pPr>
    </w:p>
    <w:bookmarkStart w:id="45" w:name="page46"/>
    <w:bookmarkEnd w:id="45"/>
    <w:p>
      <w:pPr>
        <w:jc w:val="both"/>
        <w:ind w:firstLine="648"/>
        <w:spacing w:after="0" w:line="243" w:lineRule="auto"/>
        <w:rPr>
          <w:sz w:val="20"/>
          <w:szCs w:val="20"/>
          <w:color w:val="auto"/>
        </w:rPr>
      </w:pPr>
      <w:r>
        <w:rPr>
          <w:rFonts w:ascii="Arial" w:cs="Arial" w:eastAsia="Arial" w:hAnsi="Arial"/>
          <w:sz w:val="20"/>
          <w:szCs w:val="20"/>
          <w:color w:val="auto"/>
        </w:rPr>
        <w:t>Any shares of Common Stock issued under the Plan may not be sold, transferred or assigned for a period of six months after the date issued. Each certificate or book entry representing shares of Common Stock issued under this Plan during such six-month period shall bear the following legend or notation:</w:t>
      </w:r>
    </w:p>
    <w:p>
      <w:pPr>
        <w:spacing w:after="0" w:line="206" w:lineRule="exact"/>
        <w:rPr>
          <w:sz w:val="20"/>
          <w:szCs w:val="20"/>
          <w:color w:val="auto"/>
        </w:rPr>
      </w:pPr>
    </w:p>
    <w:p>
      <w:pPr>
        <w:ind w:left="660"/>
        <w:spacing w:after="0" w:line="246" w:lineRule="auto"/>
        <w:rPr>
          <w:sz w:val="20"/>
          <w:szCs w:val="20"/>
          <w:color w:val="auto"/>
        </w:rPr>
      </w:pPr>
      <w:r>
        <w:rPr>
          <w:rFonts w:ascii="Arial" w:cs="Arial" w:eastAsia="Arial" w:hAnsi="Arial"/>
          <w:sz w:val="20"/>
          <w:szCs w:val="20"/>
          <w:color w:val="auto"/>
        </w:rPr>
        <w:t>"These Shares may not be sold, transferred or assigned, and the issuer shall not be required to give effect to any attempted sale, transfer or assignment, until a date that is more than six months after the date of issuance.";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or such other legend or notation as shall be approved by the Administrator.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TERMINATION OF EMPLOYMENT</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Subject to Section 11, upon the termination of a Participant's employment with the Company for any reason, the Participant's Payment Account balance shall be frozen to future accruals and the Participant shall be withdrawn from Plan participation and cease to be a Participant. Upon the cessation of participation, any Option held by the Participant under the Plan will be deemed cancelled, the balance of the Participant's Payment Account will be returned to the Participant, without interest, or, in the case of death, refunded or paid in accordance with Section 11, without interest, as soon as administratively practicable and the Participant will have no further rights under the Plan.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DEATH OF A PARTICIPANT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Upon the death of a Participant any cash then credited to the Participant’s Payment Account will be refunded to the Participant’s estate without interest.</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ASSIGNMENT</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20"/>
          <w:szCs w:val="20"/>
          <w:color w:val="auto"/>
        </w:rPr>
        <w:t>Except as provided in Section 11 above, funds, securities, rights or other property held for the account of a Participant shall not be sold, pledged, assigned, transferred, or hypothecated in any way (whether by operation of law or otherwise) and shall not be subject to sale under execution, attachment, or similar process. A Participant's right to purchase shares under the Plan shall be exercisable during the Participant's lifetime only by the Participant. If this provision is violated, the Participant's election to purchase Common Stock shall terminate and the only obligation of the Company remaining under the Plan will be to refund to the Participant the amount then credited to his or her Payment Account and deliver to Participant any whole shares of Common Stock credited to him or her under any Stock Account.</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EQUAL RIGHTS AND PRIVILEGES</w:t>
      </w:r>
    </w:p>
    <w:p>
      <w:pPr>
        <w:spacing w:after="0" w:line="216"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All eligible Employees shall have equal rights and privileges with respect to the Plan so that the Plan qualifies as an "employee stock purchase plan" within the meaning of Section 423 or any successor provisions of the Code and related regulations. Any provision of the Plan that is inconsistent with Section 423 or any successor provision of the Code shall without further act of amendment by the Company be reformed to comply with the requirements of Section 423. This Section 13 shall take precedence over all other provisions of the Plan.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RIGHTS AS STOCKHOLDER</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 Participant shall have no rights as a stockholder under an Option until he or she becomes a stockholder as herein provided. A Participant will become a stockholder with respect to shares for which</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52" w:right="339" w:bottom="1440" w:gutter="0" w:footer="0" w:header="0"/>
        </w:sectPr>
      </w:pPr>
    </w:p>
    <w:bookmarkStart w:id="46" w:name="page47"/>
    <w:bookmarkEnd w:id="46"/>
    <w:p>
      <w:pPr>
        <w:ind w:right="180"/>
        <w:spacing w:after="0" w:line="464" w:lineRule="auto"/>
        <w:rPr>
          <w:sz w:val="20"/>
          <w:szCs w:val="20"/>
          <w:color w:val="auto"/>
        </w:rPr>
      </w:pPr>
      <w:r>
        <w:rPr>
          <w:rFonts w:ascii="Arial" w:cs="Arial" w:eastAsia="Arial" w:hAnsi="Arial"/>
          <w:sz w:val="20"/>
          <w:szCs w:val="20"/>
          <w:color w:val="auto"/>
        </w:rPr>
        <w:t xml:space="preserve">payment has been completed as provided in Section 8 as of the close of business on the Purchase Date for the Option Period. SECTION 15. </w:t>
      </w:r>
      <w:r>
        <w:rPr>
          <w:rFonts w:ascii="Arial" w:cs="Arial" w:eastAsia="Arial" w:hAnsi="Arial"/>
          <w:sz w:val="20"/>
          <w:szCs w:val="20"/>
          <w:u w:val="single" w:color="auto"/>
          <w:color w:val="auto"/>
        </w:rPr>
        <w:t>MODIFICATION AND TERMINATION OF THE PLAN</w:t>
      </w:r>
    </w:p>
    <w:p>
      <w:pPr>
        <w:spacing w:after="0" w:line="2"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The Board or the Committee may terminate the Plan at any time and may at any time and from time to time amend the Plan in any manner permitted by law. No amendment shall be effective unless within one (1) year after it is adopted by the Board it is approved by Block's shareholders in the manner prescribed under the Treasury Regulations under Section 423 of the Code, if such amendment would:</w:t>
      </w:r>
    </w:p>
    <w:p>
      <w:pPr>
        <w:spacing w:after="0" w:line="210" w:lineRule="exact"/>
        <w:rPr>
          <w:sz w:val="20"/>
          <w:szCs w:val="20"/>
          <w:color w:val="auto"/>
        </w:rPr>
      </w:pPr>
    </w:p>
    <w:p>
      <w:pPr>
        <w:ind w:left="1300" w:right="20" w:hanging="644"/>
        <w:spacing w:after="0" w:line="239" w:lineRule="auto"/>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increase the number of shares reserved for purchase under the Plan, unless such increase is by reason of any change in the capital structure of the Company referred to in Section 3 hereof;</w:t>
      </w:r>
    </w:p>
    <w:p>
      <w:pPr>
        <w:ind w:left="1300" w:right="20" w:hanging="644"/>
        <w:spacing w:after="0" w:line="239" w:lineRule="auto"/>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change the designation of corporations or other entities whose employees may be offered Options under the Plan, except as permitted under Treasury Regulations ss.1.423-2(c)(4);</w:t>
      </w:r>
    </w:p>
    <w:p>
      <w:pPr>
        <w:ind w:left="1300" w:hanging="644"/>
        <w:spacing w:after="0"/>
        <w:tabs>
          <w:tab w:leader="none" w:pos="13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materially modify the requirements as to eligibility for participation in the Plan; or</w:t>
      </w:r>
    </w:p>
    <w:p>
      <w:pPr>
        <w:ind w:left="1160" w:hanging="504"/>
        <w:spacing w:after="0"/>
        <w:tabs>
          <w:tab w:leader="none" w:pos="1160" w:val="left"/>
        </w:tabs>
        <w:numPr>
          <w:ilvl w:val="0"/>
          <w:numId w:val="33"/>
        </w:numPr>
        <w:rPr>
          <w:rFonts w:ascii="Arial" w:cs="Arial" w:eastAsia="Arial" w:hAnsi="Arial"/>
          <w:sz w:val="20"/>
          <w:szCs w:val="20"/>
          <w:color w:val="auto"/>
        </w:rPr>
      </w:pPr>
      <w:r>
        <w:rPr>
          <w:rFonts w:ascii="Arial" w:cs="Arial" w:eastAsia="Arial" w:hAnsi="Arial"/>
          <w:sz w:val="20"/>
          <w:szCs w:val="20"/>
          <w:color w:val="auto"/>
        </w:rPr>
        <w:t>materially increase the benefits accruing to Participants under the Plan.</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In the event the Plan is terminated, the Board or Committee may elect to terminate all outstanding Options either immediately or upon completion of the purchase of shares on the next Purchase Date, unless the Board has determined that the right to make all such purchases shall expire on some other designated date occurring prior to the next Purchase Date. If Options are terminated prior to expiration, all funds contributed to the Plan that have not been used to purchase shares shall be returned without interest to the Participants.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OTHER PROVISIONS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Options and other documentation under the Plan shall contain such other provisions as the Administrator shall deem advisable, provided that no such provision shall conflict with the express terms of the Plan.</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EMPLOYMENT RIGHTS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Nothing contained in the provisions of the Plan shall be construed to give to any individual the right to be retained in the employ of the Company or to interfere with the right of the Company to discharge any employee at any time.</w:t>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352"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color w:val="auto"/>
        </w:rPr>
        <w:t>Exhibit 31.1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Jeffrey J. Jones II, Chief Executive Officer, certify that:</w:t>
      </w:r>
    </w:p>
    <w:p>
      <w:pPr>
        <w:spacing w:after="0" w:line="225" w:lineRule="exact"/>
        <w:rPr>
          <w:sz w:val="20"/>
          <w:szCs w:val="20"/>
          <w:color w:val="auto"/>
        </w:rPr>
      </w:pPr>
    </w:p>
    <w:p>
      <w:pPr>
        <w:ind w:left="200" w:hanging="192"/>
        <w:spacing w:after="0"/>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right="480" w:firstLine="8"/>
        <w:spacing w:after="0" w:line="256"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480" w:firstLine="8"/>
        <w:spacing w:after="0" w:line="256" w:lineRule="auto"/>
        <w:tabs>
          <w:tab w:leader="none" w:pos="2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right="640" w:firstLine="8"/>
        <w:spacing w:after="0" w:line="261"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Jeffrey J. Jones II</w:t>
      </w:r>
    </w:p>
    <w:p>
      <w:pPr>
        <w:spacing w:after="0" w:line="4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ind w:left="67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240"/>
          </w:cols>
          <w:pgMar w:left="320" w:top="14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color w:val="auto"/>
        </w:rPr>
        <w:t>Exhibit 31.2</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Tony G. Bowen, Chief Financial Officer, certify that:</w:t>
      </w:r>
    </w:p>
    <w:p>
      <w:pPr>
        <w:spacing w:after="0" w:line="225" w:lineRule="exact"/>
        <w:rPr>
          <w:sz w:val="20"/>
          <w:szCs w:val="20"/>
          <w:color w:val="auto"/>
        </w:rPr>
      </w:pPr>
    </w:p>
    <w:p>
      <w:pPr>
        <w:ind w:left="200" w:hanging="192"/>
        <w:spacing w:after="0"/>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H&amp;R Block, Inc.;</w:t>
      </w:r>
    </w:p>
    <w:p>
      <w:pPr>
        <w:spacing w:after="0" w:line="225" w:lineRule="exact"/>
        <w:rPr>
          <w:rFonts w:ascii="Arial" w:cs="Arial" w:eastAsia="Arial" w:hAnsi="Arial"/>
          <w:sz w:val="18"/>
          <w:szCs w:val="18"/>
          <w:color w:val="auto"/>
        </w:rPr>
      </w:pPr>
    </w:p>
    <w:p>
      <w:pPr>
        <w:ind w:right="100" w:firstLine="8"/>
        <w:spacing w:after="0" w:line="256" w:lineRule="auto"/>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right="480" w:firstLine="8"/>
        <w:spacing w:after="0" w:line="261" w:lineRule="auto"/>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56" w:lineRule="auto"/>
        <w:tabs>
          <w:tab w:leader="none" w:pos="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sz w:val="20"/>
          <w:szCs w:val="20"/>
          <w:color w:val="auto"/>
        </w:rPr>
      </w:pPr>
    </w:p>
    <w:p>
      <w:pPr>
        <w:ind w:right="480" w:firstLine="8"/>
        <w:spacing w:after="0" w:line="256"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ind w:right="200" w:firstLine="8"/>
        <w:spacing w:after="0" w:line="256"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ind w:right="160" w:firstLine="8"/>
        <w:spacing w:after="0" w:line="261"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20" w:firstLine="8"/>
        <w:spacing w:after="0" w:line="256" w:lineRule="auto"/>
        <w:tabs>
          <w:tab w:leader="none" w:pos="2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480" w:firstLine="8"/>
        <w:spacing w:after="0" w:line="256" w:lineRule="auto"/>
        <w:tabs>
          <w:tab w:leader="none" w:pos="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sz w:val="20"/>
          <w:szCs w:val="20"/>
          <w:color w:val="auto"/>
        </w:rPr>
      </w:pPr>
    </w:p>
    <w:p>
      <w:pPr>
        <w:ind w:right="640" w:firstLine="8"/>
        <w:spacing w:after="0" w:line="261"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right="240" w:firstLine="8"/>
        <w:spacing w:after="0" w:line="261"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2" w:lineRule="exact"/>
        <w:rPr>
          <w:sz w:val="20"/>
          <w:szCs w:val="20"/>
          <w:color w:val="auto"/>
        </w:rPr>
      </w:pPr>
    </w:p>
    <w:p>
      <w:pPr>
        <w:ind w:left="40"/>
        <w:spacing w:after="0"/>
        <w:tabs>
          <w:tab w:leader="none" w:pos="6760" w:val="left"/>
        </w:tabs>
        <w:rPr>
          <w:sz w:val="20"/>
          <w:szCs w:val="20"/>
          <w:color w:val="auto"/>
        </w:rPr>
      </w:pPr>
      <w:r>
        <w:rPr>
          <w:rFonts w:ascii="Arial" w:cs="Arial" w:eastAsia="Arial" w:hAnsi="Arial"/>
          <w:sz w:val="18"/>
          <w:szCs w:val="18"/>
          <w:color w:val="auto"/>
        </w:rPr>
        <w:t>Date:  March 9, 2020</w:t>
      </w:r>
      <w:r>
        <w:rPr>
          <w:sz w:val="20"/>
          <w:szCs w:val="20"/>
          <w:color w:val="auto"/>
        </w:rPr>
        <w:tab/>
      </w:r>
      <w:r>
        <w:rPr>
          <w:rFonts w:ascii="Arial" w:cs="Arial" w:eastAsia="Arial" w:hAnsi="Arial"/>
          <w:sz w:val="17"/>
          <w:szCs w:val="17"/>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Tony G. Bowen</w:t>
      </w:r>
    </w:p>
    <w:p>
      <w:pPr>
        <w:spacing w:after="0" w:line="4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ind w:left="6780"/>
        <w:spacing w:after="0"/>
        <w:rPr>
          <w:sz w:val="20"/>
          <w:szCs w:val="20"/>
          <w:color w:val="auto"/>
        </w:rPr>
      </w:pPr>
      <w:r>
        <w:rPr>
          <w:rFonts w:ascii="Arial" w:cs="Arial" w:eastAsia="Arial" w:hAnsi="Arial"/>
          <w:sz w:val="18"/>
          <w:szCs w:val="18"/>
          <w:color w:val="auto"/>
        </w:rPr>
        <w:t>H&amp;R Block, Inc.</w:t>
      </w:r>
    </w:p>
    <w:p>
      <w:pPr>
        <w:sectPr>
          <w:pgSz w:w="11900" w:h="16838" w:orient="portrait"/>
          <w:cols w:equalWidth="0" w:num="1">
            <w:col w:w="11240"/>
          </w:cols>
          <w:pgMar w:left="320" w:top="24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32.1</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January 31, 2020 as filed with the Securities and Exchange Commission on the date hereof (the “Report”), I, Jeffrey J. Jones II, Chief Executive Officer of the Company, certify pursuant to 18 U.S.C. § 1350, as adopted pursuant to § 906 of the Sarbanes-Oxley Act of 2002, that:</w:t>
      </w:r>
    </w:p>
    <w:p>
      <w:pPr>
        <w:spacing w:after="0" w:line="21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/s/ Jeffrey J. Jones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14605</wp:posOffset>
            </wp:positionV>
            <wp:extent cx="2100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00580" cy="8255"/>
                    </a:xfrm>
                    <a:prstGeom prst="rect">
                      <a:avLst/>
                    </a:prstGeom>
                    <a:noFill/>
                  </pic:spPr>
                </pic:pic>
              </a:graphicData>
            </a:graphic>
          </wp:anchor>
        </w:drawing>
      </w:r>
    </w:p>
    <w:p>
      <w:pPr>
        <w:spacing w:after="0" w:line="39"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Jeffrey J. Jones II</w:t>
      </w:r>
    </w:p>
    <w:p>
      <w:pPr>
        <w:ind w:left="796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March 9, 2020</w:t>
      </w:r>
    </w:p>
    <w:p>
      <w:pPr>
        <w:sectPr>
          <w:pgSz w:w="11900" w:h="16838" w:orient="portrait"/>
          <w:cols w:equalWidth="0" w:num="1">
            <w:col w:w="11240"/>
          </w:cols>
          <w:pgMar w:left="320" w:top="140"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47" w:lineRule="exact"/>
        <w:rPr>
          <w:sz w:val="20"/>
          <w:szCs w:val="20"/>
          <w:color w:val="auto"/>
        </w:rPr>
      </w:pPr>
    </w:p>
    <w:p>
      <w:pPr>
        <w:jc w:val="both"/>
        <w:ind w:firstLine="648"/>
        <w:spacing w:after="0" w:line="216" w:lineRule="exact"/>
        <w:rPr>
          <w:sz w:val="20"/>
          <w:szCs w:val="20"/>
          <w:color w:val="auto"/>
        </w:rPr>
      </w:pPr>
      <w:r>
        <w:rPr>
          <w:rFonts w:ascii="Arial" w:cs="Arial" w:eastAsia="Arial" w:hAnsi="Arial"/>
          <w:sz w:val="18"/>
          <w:szCs w:val="18"/>
          <w:color w:val="auto"/>
        </w:rPr>
        <w:t>In connection with the quarterly report of H&amp;R Block, Inc. (the “Company”) on Form 10</w:t>
      </w:r>
      <w:r>
        <w:rPr>
          <w:rFonts w:ascii="MS PGothic" w:cs="MS PGothic" w:eastAsia="MS PGothic" w:hAnsi="MS PGothic"/>
          <w:sz w:val="18"/>
          <w:szCs w:val="18"/>
          <w:color w:val="auto"/>
        </w:rPr>
        <w:t>‑</w:t>
      </w:r>
      <w:r>
        <w:rPr>
          <w:rFonts w:ascii="Arial" w:cs="Arial" w:eastAsia="Arial" w:hAnsi="Arial"/>
          <w:sz w:val="18"/>
          <w:szCs w:val="18"/>
          <w:color w:val="auto"/>
        </w:rPr>
        <w:t>Q for the fiscal quarter ending January 31, 2020 as filed with the Securities and Exchange Commission on the date hereof (the “Report”), I, Tony G. Bowen, Chief Financial Officer of the Company, certify pursuant to 18 U.S.C. § 1350, as adopted pursuant to § 906 of the Sarbanes-Oxley Act of 2002, that:</w:t>
      </w:r>
    </w:p>
    <w:p>
      <w:pPr>
        <w:spacing w:after="0" w:line="217"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20" w:hanging="644"/>
        <w:spacing w:after="0" w:line="261" w:lineRule="auto"/>
        <w:tabs>
          <w:tab w:leader="none" w:pos="1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/s/ Tony G. Bowen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14605</wp:posOffset>
            </wp:positionV>
            <wp:extent cx="21170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3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Tony G. Bowen</w:t>
      </w:r>
    </w:p>
    <w:p>
      <w:pPr>
        <w:ind w:left="79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H&amp;R Block, Inc.</w:t>
      </w:r>
    </w:p>
    <w:p>
      <w:pPr>
        <w:spacing w:after="0" w:line="50"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March 9, 2020</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2"/>
      <w:numFmt w:val="bullet"/>
      <w:start w:val="1"/>
    </w:lvl>
  </w:abstractNum>
  <w:abstractNum w:abstractNumId="1">
    <w:nsid w:val="2443A858"/>
    <w:multiLevelType w:val="hybridMultilevel"/>
    <w:lvl w:ilvl="0">
      <w:lvlJc w:val="left"/>
      <w:lvlText w:val="4"/>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6"/>
      <w:numFmt w:val="bullet"/>
      <w:start w:val="1"/>
    </w:lvl>
  </w:abstractNum>
  <w:abstractNum w:abstractNumId="4">
    <w:nsid w:val="75A2A8D4"/>
    <w:multiLevelType w:val="hybridMultilevel"/>
    <w:lvl w:ilvl="0">
      <w:lvlJc w:val="left"/>
      <w:lvlText w:val="8"/>
      <w:numFmt w:val="bullet"/>
      <w:start w:val="1"/>
    </w:lvl>
  </w:abstractNum>
  <w:abstractNum w:abstractNumId="5">
    <w:nsid w:val="8EDBDAB"/>
    <w:multiLevelType w:val="hybridMultilevel"/>
    <w:lvl w:ilvl="0">
      <w:lvlJc w:val="left"/>
      <w:lvlText w:val="%1"/>
      <w:numFmt w:val="decimal"/>
      <w:start w:val="10"/>
    </w:lvl>
  </w:abstractNum>
  <w:abstractNum w:abstractNumId="6">
    <w:nsid w:val="79838CB2"/>
    <w:multiLevelType w:val="hybridMultilevel"/>
    <w:lvl w:ilvl="0">
      <w:lvlJc w:val="left"/>
      <w:lvlText w:val="(%1)"/>
      <w:numFmt w:val="decimal"/>
      <w:start w:val="1"/>
    </w:lvl>
  </w:abstractNum>
  <w:abstractNum w:abstractNumId="7">
    <w:nsid w:val="4353D0CD"/>
    <w:multiLevelType w:val="hybridMultilevel"/>
    <w:lvl w:ilvl="0">
      <w:lvlJc w:val="left"/>
      <w:lvlText w:val="%1"/>
      <w:numFmt w:val="decimal"/>
      <w:start w:val="12"/>
    </w:lvl>
  </w:abstractNum>
  <w:abstractNum w:abstractNumId="8">
    <w:nsid w:val="B03E0C6"/>
    <w:multiLevelType w:val="hybridMultilevel"/>
    <w:lvl w:ilvl="0">
      <w:lvlJc w:val="left"/>
      <w:lvlText w:val="%1"/>
      <w:numFmt w:val="decimal"/>
      <w:start w:val="14"/>
    </w:lvl>
  </w:abstractNum>
  <w:abstractNum w:abstractNumId="9">
    <w:nsid w:val="189A769B"/>
    <w:multiLevelType w:val="hybridMultilevel"/>
    <w:lvl w:ilvl="0">
      <w:lvlJc w:val="left"/>
      <w:lvlText w:val="%1"/>
      <w:numFmt w:val="decimal"/>
      <w:start w:val="16"/>
    </w:lvl>
  </w:abstractNum>
  <w:abstractNum w:abstractNumId="10">
    <w:nsid w:val="54E49EB4"/>
    <w:multiLevelType w:val="hybridMultilevel"/>
    <w:lvl w:ilvl="0">
      <w:lvlJc w:val="left"/>
      <w:lvlText w:val="%1"/>
      <w:numFmt w:val="decimal"/>
      <w:start w:val="18"/>
    </w:lvl>
  </w:abstractNum>
  <w:abstractNum w:abstractNumId="11">
    <w:nsid w:val="71F32454"/>
    <w:multiLevelType w:val="hybridMultilevel"/>
    <w:lvl w:ilvl="0">
      <w:lvlJc w:val="left"/>
      <w:lvlText w:val="%1"/>
      <w:numFmt w:val="decimal"/>
      <w:start w:val="20"/>
    </w:lvl>
  </w:abstractNum>
  <w:abstractNum w:abstractNumId="12">
    <w:nsid w:val="2CA88611"/>
    <w:multiLevelType w:val="hybridMultilevel"/>
    <w:lvl w:ilvl="0">
      <w:lvlJc w:val="left"/>
      <w:lvlText w:val="%1"/>
      <w:numFmt w:val="decimal"/>
      <w:start w:val="22"/>
    </w:lvl>
  </w:abstractNum>
  <w:abstractNum w:abstractNumId="13">
    <w:nsid w:val="836C40E"/>
    <w:multiLevelType w:val="hybridMultilevel"/>
    <w:lvl w:ilvl="0">
      <w:lvlJc w:val="left"/>
      <w:lvlText w:val="%1"/>
      <w:numFmt w:val="decimal"/>
      <w:start w:val="24"/>
    </w:lvl>
  </w:abstractNum>
  <w:abstractNum w:abstractNumId="14">
    <w:nsid w:val="2901D82"/>
    <w:multiLevelType w:val="hybridMultilevel"/>
    <w:lvl w:ilvl="0">
      <w:lvlJc w:val="left"/>
      <w:lvlText w:val="%1"/>
      <w:numFmt w:val="decimal"/>
      <w:start w:val="26"/>
    </w:lvl>
  </w:abstractNum>
  <w:abstractNum w:abstractNumId="15">
    <w:nsid w:val="3A95F874"/>
    <w:multiLevelType w:val="hybridMultilevel"/>
    <w:lvl w:ilvl="0">
      <w:lvlJc w:val="left"/>
      <w:lvlText w:val="%1"/>
      <w:numFmt w:val="decimal"/>
      <w:start w:val="28"/>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1"/>
      <w:numFmt w:val="decimal"/>
      <w:start w:val="30"/>
    </w:lvl>
  </w:abstractNum>
  <w:abstractNum w:abstractNumId="19">
    <w:nsid w:val="737B8DDC"/>
    <w:multiLevelType w:val="hybridMultilevel"/>
    <w:lvl w:ilvl="0">
      <w:lvlJc w:val="left"/>
      <w:lvlText w:val="(%1)"/>
      <w:numFmt w:val="decimal"/>
      <w:start w:val="1"/>
    </w:lvl>
  </w:abstractNum>
  <w:abstractNum w:abstractNumId="20">
    <w:nsid w:val="6CEAF087"/>
    <w:multiLevelType w:val="hybridMultilevel"/>
    <w:lvl w:ilvl="0">
      <w:lvlJc w:val="left"/>
      <w:lvlText w:val="%1"/>
      <w:numFmt w:val="decimal"/>
      <w:start w:val="32"/>
    </w:lvl>
  </w:abstractNum>
  <w:abstractNum w:abstractNumId="21">
    <w:nsid w:val="22221A70"/>
    <w:multiLevelType w:val="hybridMultilevel"/>
    <w:lvl w:ilvl="0">
      <w:lvlJc w:val="left"/>
      <w:lvlText w:val="%1"/>
      <w:numFmt w:val="decimal"/>
      <w:start w:val="34"/>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36"/>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38"/>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1)"/>
      <w:numFmt w:val="lowerLetter"/>
      <w:start w:val="1"/>
    </w:lvl>
  </w:abstractNum>
  <w:abstractNum w:abstractNumId="29">
    <w:nsid w:val="3804823E"/>
    <w:multiLevelType w:val="hybridMultilevel"/>
    <w:lvl w:ilvl="0">
      <w:lvlJc w:val="left"/>
      <w:lvlText w:val="(%1)"/>
      <w:numFmt w:val="lowerLetter"/>
      <w:start w:val="2"/>
    </w:lvl>
  </w:abstractNum>
  <w:abstractNum w:abstractNumId="30">
    <w:nsid w:val="77465F01"/>
    <w:multiLevelType w:val="hybridMultilevel"/>
    <w:lvl w:ilvl="0">
      <w:lvlJc w:val="left"/>
      <w:lvlText w:val="(%1)"/>
      <w:numFmt w:val="lowerLetter"/>
      <w:start w:val="2"/>
    </w:lvl>
  </w:abstractNum>
  <w:abstractNum w:abstractNumId="31">
    <w:nsid w:val="7724C67E"/>
    <w:multiLevelType w:val="hybridMultilevel"/>
    <w:lvl w:ilvl="0">
      <w:lvlJc w:val="left"/>
      <w:lvlText w:val="(%1)"/>
      <w:numFmt w:val="lowerLetter"/>
      <w:start w:val="3"/>
    </w:lvl>
  </w:abstractNum>
  <w:abstractNum w:abstractNumId="32">
    <w:nsid w:val="5C482A97"/>
    <w:multiLevelType w:val="hybridMultilevel"/>
    <w:lvl w:ilvl="0">
      <w:lvlJc w:val="left"/>
      <w:lvlText w:val="(%1)"/>
      <w:numFmt w:val="lowerRoman"/>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decimal"/>
      <w:start w:val="5"/>
    </w:lvl>
  </w:abstractNum>
  <w:abstractNum w:abstractNumId="36">
    <w:nsid w:val="2D517796"/>
    <w:multiLevelType w:val="hybridMultilevel"/>
    <w:lvl w:ilvl="0">
      <w:lvlJc w:val="left"/>
      <w:lvlText w:val="(%1)"/>
      <w:numFmt w:val="lowerLetter"/>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lowerLetter"/>
      <w:start w:val="1"/>
    </w:lvl>
  </w:abstractNum>
  <w:abstractNum w:abstractNumId="39">
    <w:nsid w:val="3855585C"/>
    <w:multiLevelType w:val="hybridMultilevel"/>
    <w:lvl w:ilvl="0">
      <w:lvlJc w:val="left"/>
      <w:lvlText w:val="%1."/>
      <w:numFmt w:val="decimal"/>
      <w:start w:val="5"/>
    </w:lvl>
  </w:abstractNum>
  <w:abstractNum w:abstractNumId="40">
    <w:nsid w:val="70A64E2A"/>
    <w:multiLevelType w:val="hybridMultilevel"/>
    <w:lvl w:ilvl="0">
      <w:lvlJc w:val="left"/>
      <w:lvlText w:val="(%1)"/>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2020-03-09T15:47:53Z</dcterms:created>
  <dcterms:modified xsi:type="dcterms:W3CDTF">2020-03-09T15:47:53Z</dcterms:modified>
</cp:coreProperties>
</file>