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Breig Geralyn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H&amp;R BLOCK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120"/>
              <w:spacing w:after="0"/>
              <w:rPr>
                <w:sz w:val="20"/>
                <w:szCs w:val="20"/>
                <w:color w:val="auto"/>
              </w:rPr>
            </w:pPr>
            <w:r>
              <w:rPr>
                <w:rFonts w:ascii="Arial" w:cs="Arial" w:eastAsia="Arial" w:hAnsi="Arial"/>
                <w:sz w:val="15"/>
                <w:szCs w:val="15"/>
                <w:color w:val="auto"/>
              </w:rPr>
              <w:t>(First)</w:t>
            </w:r>
          </w:p>
        </w:tc>
        <w:tc>
          <w:tcPr>
            <w:tcW w:w="1000" w:type="dxa"/>
            <w:vAlign w:val="bottom"/>
          </w:tcPr>
          <w:p>
            <w:pPr>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H&amp;R BLOCK</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ONE H&amp;R BLOCK WAY</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KANSAS</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MO</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64105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11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Katharine M. Haynes, per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The undersigned hereby makes, constitutes and appoints each of Dara S. Redler, Katharine M. Haynes, and Taylor J. Anthony, or either of them acting singly,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H&amp;R Block, Inc., a Missouri corporation (the "Company"), to:</w:t>
      </w:r>
    </w:p>
    <w:p>
      <w:pPr>
        <w:spacing w:after="0" w:line="5" w:lineRule="exact"/>
        <w:rPr>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w:t>
      </w:r>
    </w:p>
    <w:p>
      <w:pPr>
        <w:spacing w:after="0" w:line="5"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enabling the undersigned to make filings and submissions utilizing the EDGAR system;</w:t>
      </w: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w:t>
      </w:r>
    </w:p>
    <w:p>
      <w:pPr>
        <w:spacing w:after="0" w:line="2"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 w:lineRule="exact"/>
        <w:rPr>
          <w:rFonts w:ascii="Courier New" w:cs="Courier New" w:eastAsia="Courier New" w:hAnsi="Courier New"/>
          <w:sz w:val="18"/>
          <w:szCs w:val="18"/>
          <w:color w:val="auto"/>
        </w:rPr>
      </w:pPr>
    </w:p>
    <w:p>
      <w:pPr>
        <w:ind w:right="82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and file SEC Filings with the SEC utilizing the EDGAR system or cause them to be submitted and filed by a person appointed under Section 5 below;</w:t>
      </w:r>
    </w:p>
    <w:p>
      <w:pPr>
        <w:spacing w:after="0" w:line="1" w:lineRule="exact"/>
        <w:rPr>
          <w:rFonts w:ascii="Courier New" w:cs="Courier New" w:eastAsia="Courier New" w:hAnsi="Courier New"/>
          <w:sz w:val="18"/>
          <w:szCs w:val="18"/>
          <w:color w:val="auto"/>
        </w:rPr>
      </w:pPr>
    </w:p>
    <w:p>
      <w:pPr>
        <w:ind w:right="92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ind w:right="104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 w:lineRule="exact"/>
        <w:rPr>
          <w:rFonts w:ascii="Courier New" w:cs="Courier New" w:eastAsia="Courier New" w:hAnsi="Courier New"/>
          <w:sz w:val="20"/>
          <w:szCs w:val="20"/>
          <w:color w:val="auto"/>
        </w:rPr>
      </w:pPr>
    </w:p>
    <w:p>
      <w:pPr>
        <w:ind w:right="116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 w:lineRule="exact"/>
        <w:rPr>
          <w:rFonts w:ascii="Courier New" w:cs="Courier New" w:eastAsia="Courier New" w:hAnsi="Courier New"/>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w:t>
      </w:r>
    </w:p>
    <w:p>
      <w:pPr>
        <w:spacing w:after="0" w:line="3" w:lineRule="exact"/>
        <w:rPr>
          <w:rFonts w:ascii="Courier New" w:cs="Courier New" w:eastAsia="Courier New" w:hAnsi="Courier New"/>
          <w:sz w:val="18"/>
          <w:szCs w:val="18"/>
          <w:color w:val="auto"/>
        </w:rPr>
      </w:pPr>
    </w:p>
    <w:p>
      <w:pPr>
        <w:ind w:left="940" w:right="1860" w:hanging="702"/>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third party to release any such information to the Attorney-in-Fact. The undersigned acknowledges that:</w:t>
      </w:r>
    </w:p>
    <w:p>
      <w:pPr>
        <w:ind w:left="240" w:right="700" w:hanging="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 This Power of Attorney authorizes, but does not require, the Attorney-in-Fact to act in his or her discretion on information provided to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Attorney-in-Fact without independent verification of such information;</w:t>
      </w:r>
    </w:p>
    <w:p>
      <w:pPr>
        <w:ind w:right="340"/>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deems necessary or desirable;</w:t>
      </w:r>
    </w:p>
    <w:p>
      <w:pPr>
        <w:ind w:right="46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13 or Section 16 of the Exchange Act or Rule 144, any liability of the undersigned for</w:t>
      </w:r>
    </w:p>
    <w:p>
      <w:pPr>
        <w:spacing w:after="0" w:line="2"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such requirements, or any liability of the undersigned for disgorgement of profits under Section 16(b) of the Exchange Act;</w:t>
      </w:r>
    </w:p>
    <w:p>
      <w:pPr>
        <w:spacing w:after="0" w:line="1" w:lineRule="exact"/>
        <w:rPr>
          <w:rFonts w:ascii="Courier New" w:cs="Courier New" w:eastAsia="Courier New" w:hAnsi="Courier New"/>
          <w:sz w:val="18"/>
          <w:szCs w:val="18"/>
          <w:color w:val="auto"/>
        </w:rPr>
      </w:pPr>
    </w:p>
    <w:p>
      <w:pPr>
        <w:ind w:left="24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and</w:t>
      </w:r>
    </w:p>
    <w:p>
      <w:pPr>
        <w:ind w:right="34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w:t>
      </w:r>
    </w:p>
    <w:p>
      <w:pPr>
        <w:spacing w:after="0" w:line="1" w:lineRule="exact"/>
        <w:rPr>
          <w:rFonts w:ascii="Courier New" w:cs="Courier New" w:eastAsia="Courier New" w:hAnsi="Courier New"/>
          <w:sz w:val="18"/>
          <w:szCs w:val="18"/>
          <w:color w:val="auto"/>
        </w:rPr>
      </w:pPr>
    </w:p>
    <w:p>
      <w:pPr>
        <w:ind w:left="240" w:right="70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Exchange Act, including, without limitation, the reporting requirements under Section 13 or Section 16 of the Exchange Act.</w:t>
      </w:r>
    </w:p>
    <w:p>
      <w:pPr>
        <w:ind w:firstLine="937"/>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advisable</w:t>
      </w:r>
    </w:p>
    <w:p>
      <w:pPr>
        <w:spacing w:after="0" w:line="1"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pacing w:after="0" w:line="3" w:lineRule="exact"/>
        <w:rPr>
          <w:rFonts w:ascii="Courier New" w:cs="Courier New" w:eastAsia="Courier New" w:hAnsi="Courier New"/>
          <w:sz w:val="18"/>
          <w:szCs w:val="18"/>
          <w:color w:val="auto"/>
        </w:rPr>
      </w:pPr>
    </w:p>
    <w:p>
      <w:pPr>
        <w:ind w:left="240"/>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Attorney.</w:t>
      </w:r>
    </w:p>
    <w:p>
      <w:pPr>
        <w:sectPr>
          <w:pgSz w:w="11900" w:h="16838" w:orient="portrait"/>
          <w:cols w:equalWidth="0" w:num="1">
            <w:col w:w="10060"/>
          </w:cols>
          <w:pgMar w:left="480" w:top="106" w:right="1359" w:bottom="0" w:gutter="0" w:footer="0" w:header="0"/>
        </w:sectPr>
      </w:pPr>
    </w:p>
    <w:bookmarkStart w:id="2" w:name="page3"/>
    <w:bookmarkEnd w:id="2"/>
    <w:p>
      <w:pPr>
        <w:ind w:right="619" w:firstLine="937"/>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w:t>
      </w:r>
    </w:p>
    <w:p>
      <w:pPr>
        <w:spacing w:after="0" w:line="2" w:lineRule="exact"/>
        <w:rPr>
          <w:sz w:val="20"/>
          <w:szCs w:val="20"/>
          <w:color w:val="auto"/>
        </w:rPr>
      </w:pPr>
    </w:p>
    <w:p>
      <w:pPr>
        <w:jc w:val="both"/>
        <w:ind w:right="739" w:firstLine="234"/>
        <w:spacing w:after="0" w:line="274" w:lineRule="auto"/>
        <w:rPr>
          <w:sz w:val="20"/>
          <w:szCs w:val="20"/>
          <w:color w:val="auto"/>
        </w:rPr>
      </w:pPr>
      <w:r>
        <w:rPr>
          <w:rFonts w:ascii="Courier New" w:cs="Courier New" w:eastAsia="Courier New" w:hAnsi="Courier New"/>
          <w:sz w:val="20"/>
          <w:szCs w:val="20"/>
          <w:color w:val="auto"/>
        </w:rPr>
        <w:t>writing delivered to the Attorney-in-Fact. This Power of Attorney revokes all previous powers of attorney with respect to the subject matter of this Power of Attorney.</w:t>
      </w:r>
    </w:p>
    <w:p>
      <w:pPr>
        <w:spacing w:after="0" w:line="88" w:lineRule="exact"/>
        <w:rPr>
          <w:sz w:val="20"/>
          <w:szCs w:val="20"/>
          <w:color w:val="auto"/>
        </w:rPr>
      </w:pPr>
    </w:p>
    <w:p>
      <w:pPr>
        <w:ind w:right="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January 13, 2026.</w:t>
      </w:r>
    </w:p>
    <w:p>
      <w:pPr>
        <w:spacing w:after="0" w:line="243"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Geralyn R. Breig</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Geralyn R. Breig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8343" TargetMode="External"/><Relationship Id="rId11"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2026-01-23T15:40:37Z</dcterms:created>
  <dcterms:modified xsi:type="dcterms:W3CDTF">2026-01-23T15:40:37Z</dcterms:modified>
</cp:coreProperties>
</file>